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D1" w:rsidRDefault="00A32DD1" w:rsidP="00791999">
      <w:pPr>
        <w:pStyle w:val="CoverFrontProgram"/>
        <w:spacing w:before="6040"/>
      </w:pPr>
    </w:p>
    <w:p w:rsidR="00A32DD1" w:rsidRPr="002A2625" w:rsidRDefault="00566DA6" w:rsidP="00791999">
      <w:pPr>
        <w:pStyle w:val="CoverFrontDate"/>
        <w:spacing w:before="7640"/>
      </w:pPr>
      <w:r>
        <w:t>december</w:t>
      </w:r>
      <w:r w:rsidR="00A32DD1" w:rsidRPr="00697311">
        <w:t xml:space="preserve"> </w:t>
      </w:r>
      <w:r>
        <w:t>2015</w:t>
      </w:r>
    </w:p>
    <w:p w:rsidR="00A32DD1" w:rsidRPr="00856128" w:rsidRDefault="001A526F" w:rsidP="00A32DD1">
      <w:pPr>
        <w:rPr>
          <w:rFonts w:ascii="Arial" w:hAnsi="Arial" w:cs="Arial"/>
        </w:rPr>
      </w:pPr>
      <w:r w:rsidRPr="00856128">
        <w:rPr>
          <w:rFonts w:ascii="Arial" w:hAnsi="Arial" w:cs="Arial"/>
        </w:rPr>
        <w:br w:type="column"/>
      </w:r>
    </w:p>
    <w:p w:rsidR="00802BF3" w:rsidRPr="009C362C" w:rsidRDefault="00566DA6" w:rsidP="009C362C">
      <w:pPr>
        <w:pStyle w:val="Heading1"/>
      </w:pPr>
      <w:r w:rsidRPr="00566DA6">
        <w:t>Massachusetts Study of Teacher Supply and Demand</w:t>
      </w:r>
    </w:p>
    <w:p w:rsidR="00B10354" w:rsidRPr="00F712CC" w:rsidRDefault="00566DA6" w:rsidP="00802BF3">
      <w:pPr>
        <w:pStyle w:val="CoverSubtitle"/>
        <w:spacing w:before="120"/>
      </w:pPr>
      <w:r w:rsidRPr="00566DA6">
        <w:t>Trends and Projections</w:t>
      </w:r>
    </w:p>
    <w:p w:rsidR="00F712CC" w:rsidRPr="00055942" w:rsidRDefault="004A2816" w:rsidP="00566DA6">
      <w:pPr>
        <w:pStyle w:val="CoverFrontAuthorName"/>
      </w:pPr>
      <w:r>
        <w:t>Jesse Levin</w:t>
      </w:r>
      <w:r>
        <w:br/>
      </w:r>
      <w:r w:rsidR="00566DA6">
        <w:t>Alex Berg-Jacobson</w:t>
      </w:r>
      <w:r w:rsidR="00566DA6">
        <w:br/>
        <w:t>Drew Atchison</w:t>
      </w:r>
      <w:r w:rsidR="00566DA6">
        <w:br/>
        <w:t>Katelyn Lee</w:t>
      </w:r>
      <w:r w:rsidR="00566DA6">
        <w:br/>
        <w:t xml:space="preserve">Emily </w:t>
      </w:r>
      <w:proofErr w:type="spellStart"/>
      <w:r w:rsidR="00566DA6">
        <w:t>Vontsolos</w:t>
      </w:r>
      <w:proofErr w:type="spellEnd"/>
    </w:p>
    <w:p w:rsidR="00F712CC" w:rsidRDefault="00F712CC" w:rsidP="004F66BC">
      <w:pPr>
        <w:pStyle w:val="CoverFrontOrganization"/>
      </w:pPr>
      <w:r>
        <w:br w:type="page"/>
      </w:r>
    </w:p>
    <w:p w:rsidR="00F712CC" w:rsidRDefault="00F712CC" w:rsidP="008F5A9F"/>
    <w:p w:rsidR="008F5A9F" w:rsidRDefault="008F5A9F" w:rsidP="008F5A9F"/>
    <w:p w:rsidR="008F5A9F" w:rsidRDefault="008F5A9F" w:rsidP="008F5A9F">
      <w:pPr>
        <w:sectPr w:rsidR="008F5A9F" w:rsidSect="00A32DD1">
          <w:headerReference w:type="first" r:id="rId13"/>
          <w:pgSz w:w="12240" w:h="15840" w:code="1"/>
          <w:pgMar w:top="360" w:right="360" w:bottom="360" w:left="360" w:header="360" w:footer="360" w:gutter="0"/>
          <w:cols w:num="2" w:space="432" w:equalWidth="0">
            <w:col w:w="3067" w:space="432"/>
            <w:col w:w="8021"/>
          </w:cols>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6"/>
      </w:tblGrid>
      <w:tr w:rsidR="00DC7F8E" w:rsidRPr="004F66BC" w:rsidTr="00DF3451">
        <w:trPr>
          <w:cantSplit/>
          <w:trHeight w:hRule="exact" w:val="9648"/>
          <w:tblHeader/>
        </w:trPr>
        <w:tc>
          <w:tcPr>
            <w:tcW w:w="9576" w:type="dxa"/>
          </w:tcPr>
          <w:p w:rsidR="00727E61" w:rsidRPr="004F66BC" w:rsidRDefault="00566DA6" w:rsidP="00644127">
            <w:pPr>
              <w:pStyle w:val="TitlePageTitle"/>
              <w:rPr>
                <w:rFonts w:cs="Arial"/>
                <w:highlight w:val="yellow"/>
              </w:rPr>
            </w:pPr>
            <w:r>
              <w:rPr>
                <w:rFonts w:cs="Arial"/>
              </w:rPr>
              <w:lastRenderedPageBreak/>
              <w:t>Massachusetts Study of</w:t>
            </w:r>
            <w:r>
              <w:rPr>
                <w:rFonts w:cs="Arial"/>
              </w:rPr>
              <w:br/>
            </w:r>
            <w:r w:rsidRPr="00566DA6">
              <w:rPr>
                <w:rFonts w:cs="Arial"/>
              </w:rPr>
              <w:t>Teacher Supply and Demand</w:t>
            </w:r>
          </w:p>
          <w:p w:rsidR="00DC7F8E" w:rsidRPr="004F66BC" w:rsidRDefault="00566DA6" w:rsidP="00791999">
            <w:pPr>
              <w:pStyle w:val="TitlePageSubtitle"/>
            </w:pPr>
            <w:r w:rsidRPr="00566DA6">
              <w:t>Trends and Projections</w:t>
            </w:r>
          </w:p>
          <w:p w:rsidR="00DC7F8E" w:rsidRPr="004F66BC" w:rsidRDefault="00566DA6" w:rsidP="00DC7F8E">
            <w:pPr>
              <w:pStyle w:val="TitlePageDate"/>
              <w:rPr>
                <w:rFonts w:cs="Arial"/>
              </w:rPr>
            </w:pPr>
            <w:r>
              <w:rPr>
                <w:rFonts w:cs="Arial"/>
              </w:rPr>
              <w:t>December 2015</w:t>
            </w:r>
          </w:p>
          <w:p w:rsidR="00DC7F8E" w:rsidRPr="004F66BC" w:rsidRDefault="004A2816" w:rsidP="00566DA6">
            <w:pPr>
              <w:pStyle w:val="TitlePageAuthor"/>
              <w:rPr>
                <w:rFonts w:cs="Arial"/>
              </w:rPr>
            </w:pPr>
            <w:r w:rsidRPr="00566DA6">
              <w:rPr>
                <w:rFonts w:cs="Arial"/>
              </w:rPr>
              <w:t>Jesse Levin</w:t>
            </w:r>
            <w:r>
              <w:rPr>
                <w:rFonts w:cs="Arial"/>
              </w:rPr>
              <w:br/>
            </w:r>
            <w:r w:rsidR="00566DA6" w:rsidRPr="00566DA6">
              <w:rPr>
                <w:rFonts w:cs="Arial"/>
              </w:rPr>
              <w:t>Alex Berg-Jacobson</w:t>
            </w:r>
            <w:r w:rsidR="00566DA6">
              <w:rPr>
                <w:rFonts w:cs="Arial"/>
              </w:rPr>
              <w:br/>
            </w:r>
            <w:r w:rsidR="00566DA6" w:rsidRPr="00566DA6">
              <w:rPr>
                <w:rFonts w:cs="Arial"/>
              </w:rPr>
              <w:t>Drew Atchison</w:t>
            </w:r>
            <w:r w:rsidR="00566DA6">
              <w:rPr>
                <w:rFonts w:cs="Arial"/>
              </w:rPr>
              <w:br/>
            </w:r>
            <w:r w:rsidR="00566DA6" w:rsidRPr="00566DA6">
              <w:rPr>
                <w:rFonts w:cs="Arial"/>
              </w:rPr>
              <w:t>Katelyn Lee</w:t>
            </w:r>
            <w:r w:rsidR="00566DA6">
              <w:rPr>
                <w:rFonts w:cs="Arial"/>
              </w:rPr>
              <w:br/>
            </w:r>
            <w:r w:rsidR="00566DA6" w:rsidRPr="00566DA6">
              <w:rPr>
                <w:rFonts w:cs="Arial"/>
              </w:rPr>
              <w:t xml:space="preserve">Emily </w:t>
            </w:r>
            <w:proofErr w:type="spellStart"/>
            <w:r w:rsidR="00566DA6" w:rsidRPr="00566DA6">
              <w:rPr>
                <w:rFonts w:cs="Arial"/>
              </w:rPr>
              <w:t>Vontsolos</w:t>
            </w:r>
            <w:proofErr w:type="spellEnd"/>
          </w:p>
          <w:p w:rsidR="00DC7F8E" w:rsidRPr="004F66BC" w:rsidRDefault="00DC7F8E" w:rsidP="00DC7F8E">
            <w:pPr>
              <w:pStyle w:val="TitlePageOrganization"/>
              <w:rPr>
                <w:rFonts w:cs="Arial"/>
              </w:rPr>
            </w:pPr>
          </w:p>
        </w:tc>
      </w:tr>
      <w:tr w:rsidR="00DC7F8E" w:rsidRPr="004F66BC" w:rsidTr="00DC7F8E">
        <w:trPr>
          <w:cantSplit/>
        </w:trPr>
        <w:tc>
          <w:tcPr>
            <w:tcW w:w="9576" w:type="dxa"/>
            <w:vAlign w:val="bottom"/>
          </w:tcPr>
          <w:p w:rsidR="00DC7F8E" w:rsidRPr="00791999" w:rsidRDefault="00DC7F8E" w:rsidP="00DC7F8E">
            <w:pPr>
              <w:pStyle w:val="TitlePageAddress"/>
              <w:rPr>
                <w:rFonts w:ascii="Arial" w:hAnsi="Arial" w:cs="Arial"/>
              </w:rPr>
            </w:pPr>
            <w:r w:rsidRPr="00856128">
              <w:rPr>
                <w:rFonts w:ascii="Arial" w:hAnsi="Arial" w:cs="Arial"/>
                <w:lang w:eastAsia="zh-CN" w:bidi="km-KH"/>
              </w:rPr>
              <w:drawing>
                <wp:inline distT="0" distB="0" distL="0" distR="0">
                  <wp:extent cx="1788160" cy="698500"/>
                  <wp:effectExtent l="0" t="0" r="2540" b="6350"/>
                  <wp:docPr id="4"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791999">
              <w:rPr>
                <w:rFonts w:ascii="Arial" w:hAnsi="Arial" w:cs="Arial"/>
              </w:rPr>
              <w:br/>
            </w:r>
            <w:r w:rsidRPr="00791999">
              <w:rPr>
                <w:rFonts w:ascii="Arial" w:hAnsi="Arial" w:cs="Arial"/>
              </w:rPr>
              <w:br/>
            </w:r>
            <w:r w:rsidRPr="003B3CD3">
              <w:rPr>
                <w:rFonts w:ascii="Arial" w:hAnsi="Arial" w:cs="Arial"/>
              </w:rPr>
              <w:t>1000 Thomas Jefferson Street NW</w:t>
            </w:r>
            <w:r w:rsidRPr="003B3CD3">
              <w:rPr>
                <w:rFonts w:ascii="Arial" w:hAnsi="Arial" w:cs="Arial"/>
              </w:rPr>
              <w:br/>
              <w:t>Washington</w:t>
            </w:r>
            <w:r w:rsidR="00B01754" w:rsidRPr="003B3CD3">
              <w:rPr>
                <w:rFonts w:ascii="Arial" w:hAnsi="Arial" w:cs="Arial"/>
              </w:rPr>
              <w:t>,</w:t>
            </w:r>
            <w:r w:rsidRPr="003B3CD3">
              <w:rPr>
                <w:rFonts w:ascii="Arial" w:hAnsi="Arial" w:cs="Arial"/>
              </w:rPr>
              <w:t xml:space="preserve"> DC 20007-3835</w:t>
            </w:r>
            <w:r w:rsidRPr="003B3CD3">
              <w:rPr>
                <w:rFonts w:ascii="Arial" w:hAnsi="Arial" w:cs="Arial"/>
              </w:rPr>
              <w:br/>
              <w:t>202.403.5000</w:t>
            </w:r>
          </w:p>
          <w:p w:rsidR="00DC7F8E" w:rsidRPr="004F66BC" w:rsidRDefault="00DC7F8E" w:rsidP="00DC7F8E">
            <w:pPr>
              <w:pStyle w:val="TitlePageText"/>
              <w:spacing w:before="120"/>
              <w:rPr>
                <w:rFonts w:cs="Arial"/>
                <w:b/>
              </w:rPr>
            </w:pPr>
            <w:r w:rsidRPr="004F66BC">
              <w:rPr>
                <w:rFonts w:cs="Arial"/>
                <w:b/>
              </w:rPr>
              <w:t>www.air.org</w:t>
            </w:r>
          </w:p>
          <w:p w:rsidR="00DC7F8E" w:rsidRPr="004F66BC" w:rsidRDefault="00DC7F8E" w:rsidP="00566DA6">
            <w:pPr>
              <w:pStyle w:val="TitlePageText"/>
              <w:rPr>
                <w:rFonts w:cs="Arial"/>
              </w:rPr>
            </w:pPr>
            <w:r w:rsidRPr="004F66BC">
              <w:rPr>
                <w:rFonts w:cs="Arial"/>
              </w:rPr>
              <w:t xml:space="preserve">Copyright © </w:t>
            </w:r>
            <w:r w:rsidR="00566DA6">
              <w:rPr>
                <w:rFonts w:cs="Arial"/>
              </w:rPr>
              <w:t>2015</w:t>
            </w:r>
            <w:r w:rsidRPr="004F66BC">
              <w:rPr>
                <w:rFonts w:cs="Arial"/>
              </w:rPr>
              <w:t xml:space="preserve"> American Institutes for Research. All rights reserved.</w:t>
            </w:r>
          </w:p>
        </w:tc>
      </w:tr>
    </w:tbl>
    <w:p w:rsidR="008F5A9F" w:rsidRPr="00DC7F8E" w:rsidRDefault="008F5A9F" w:rsidP="00DC7F8E">
      <w:pPr>
        <w:rPr>
          <w:sz w:val="12"/>
          <w:szCs w:val="12"/>
        </w:rPr>
      </w:pPr>
      <w:r w:rsidRPr="00DC7F8E">
        <w:rPr>
          <w:sz w:val="12"/>
          <w:szCs w:val="12"/>
        </w:rPr>
        <w:br w:type="page"/>
      </w:r>
    </w:p>
    <w:p w:rsidR="008F5A9F" w:rsidRDefault="008F5A9F" w:rsidP="008F5A9F"/>
    <w:p w:rsidR="008F5A9F" w:rsidRDefault="008F5A9F" w:rsidP="008F5A9F">
      <w:pPr>
        <w:sectPr w:rsidR="008F5A9F" w:rsidSect="00787A89">
          <w:footerReference w:type="default" r:id="rId15"/>
          <w:headerReference w:type="first" r:id="rId16"/>
          <w:footerReference w:type="first" r:id="rId17"/>
          <w:pgSz w:w="12240" w:h="15840"/>
          <w:pgMar w:top="1440" w:right="1440" w:bottom="1440" w:left="1440" w:header="720" w:footer="720" w:gutter="0"/>
          <w:pgNumType w:fmt="lowerRoman" w:start="1"/>
          <w:cols w:space="720"/>
          <w:titlePg/>
          <w:docGrid w:linePitch="360"/>
        </w:sectPr>
      </w:pPr>
    </w:p>
    <w:p w:rsidR="008F5A9F" w:rsidRDefault="008F5A9F" w:rsidP="008F5A9F">
      <w:pPr>
        <w:pStyle w:val="TOCHeading"/>
      </w:pPr>
      <w:r>
        <w:t>Contents</w:t>
      </w:r>
    </w:p>
    <w:p w:rsidR="008F5A9F" w:rsidRDefault="008F5A9F" w:rsidP="008F5A9F">
      <w:pPr>
        <w:jc w:val="right"/>
        <w:rPr>
          <w:b/>
        </w:rPr>
      </w:pPr>
      <w:r>
        <w:rPr>
          <w:b/>
        </w:rPr>
        <w:t>Page</w:t>
      </w:r>
    </w:p>
    <w:p w:rsidR="00461E17" w:rsidRDefault="002555E4" w:rsidP="00197E8D">
      <w:pPr>
        <w:pStyle w:val="TOC1"/>
        <w:spacing w:beforeLines="40" w:afterLines="40"/>
        <w:rPr>
          <w:rFonts w:eastAsiaTheme="minorEastAsia"/>
          <w:noProof/>
          <w:sz w:val="22"/>
          <w:szCs w:val="22"/>
        </w:rPr>
      </w:pPr>
      <w:r>
        <w:fldChar w:fldCharType="begin"/>
      </w:r>
      <w:r w:rsidR="00DD64A0">
        <w:instrText xml:space="preserve"> TOC \h \z \u \t "Heading 2,1,Heading 3,2" </w:instrText>
      </w:r>
      <w:r>
        <w:fldChar w:fldCharType="separate"/>
      </w:r>
      <w:hyperlink w:anchor="_Toc437284975" w:history="1">
        <w:r w:rsidR="00461E17" w:rsidRPr="003D65CA">
          <w:rPr>
            <w:rStyle w:val="Hyperlink"/>
            <w:noProof/>
          </w:rPr>
          <w:t>Executive Summary</w:t>
        </w:r>
        <w:r w:rsidR="00461E17">
          <w:rPr>
            <w:noProof/>
            <w:webHidden/>
          </w:rPr>
          <w:tab/>
        </w:r>
        <w:r>
          <w:rPr>
            <w:noProof/>
            <w:webHidden/>
          </w:rPr>
          <w:fldChar w:fldCharType="begin"/>
        </w:r>
        <w:r w:rsidR="00461E17">
          <w:rPr>
            <w:noProof/>
            <w:webHidden/>
          </w:rPr>
          <w:instrText xml:space="preserve"> PAGEREF _Toc437284975 \h </w:instrText>
        </w:r>
        <w:r>
          <w:rPr>
            <w:noProof/>
            <w:webHidden/>
          </w:rPr>
        </w:r>
        <w:r>
          <w:rPr>
            <w:noProof/>
            <w:webHidden/>
          </w:rPr>
          <w:fldChar w:fldCharType="separate"/>
        </w:r>
        <w:r w:rsidR="00026FAD">
          <w:rPr>
            <w:noProof/>
            <w:webHidden/>
          </w:rPr>
          <w:t>1</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76" w:history="1">
        <w:r w:rsidR="00461E17" w:rsidRPr="003D65CA">
          <w:rPr>
            <w:rStyle w:val="Hyperlink"/>
            <w:noProof/>
          </w:rPr>
          <w:t>Data Sources</w:t>
        </w:r>
        <w:r w:rsidR="00461E17">
          <w:rPr>
            <w:noProof/>
            <w:webHidden/>
          </w:rPr>
          <w:tab/>
        </w:r>
        <w:r>
          <w:rPr>
            <w:noProof/>
            <w:webHidden/>
          </w:rPr>
          <w:fldChar w:fldCharType="begin"/>
        </w:r>
        <w:r w:rsidR="00461E17">
          <w:rPr>
            <w:noProof/>
            <w:webHidden/>
          </w:rPr>
          <w:instrText xml:space="preserve"> PAGEREF _Toc437284976 \h </w:instrText>
        </w:r>
        <w:r>
          <w:rPr>
            <w:noProof/>
            <w:webHidden/>
          </w:rPr>
        </w:r>
        <w:r>
          <w:rPr>
            <w:noProof/>
            <w:webHidden/>
          </w:rPr>
          <w:fldChar w:fldCharType="separate"/>
        </w:r>
        <w:r w:rsidR="00026FAD">
          <w:rPr>
            <w:noProof/>
            <w:webHidden/>
          </w:rPr>
          <w:t>2</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77" w:history="1">
        <w:r w:rsidR="00461E17" w:rsidRPr="003D65CA">
          <w:rPr>
            <w:rStyle w:val="Hyperlink"/>
            <w:noProof/>
          </w:rPr>
          <w:t>Research Questions</w:t>
        </w:r>
        <w:r w:rsidR="00461E17">
          <w:rPr>
            <w:noProof/>
            <w:webHidden/>
          </w:rPr>
          <w:tab/>
        </w:r>
        <w:r>
          <w:rPr>
            <w:noProof/>
            <w:webHidden/>
          </w:rPr>
          <w:fldChar w:fldCharType="begin"/>
        </w:r>
        <w:r w:rsidR="00461E17">
          <w:rPr>
            <w:noProof/>
            <w:webHidden/>
          </w:rPr>
          <w:instrText xml:space="preserve"> PAGEREF _Toc437284977 \h </w:instrText>
        </w:r>
        <w:r>
          <w:rPr>
            <w:noProof/>
            <w:webHidden/>
          </w:rPr>
        </w:r>
        <w:r>
          <w:rPr>
            <w:noProof/>
            <w:webHidden/>
          </w:rPr>
          <w:fldChar w:fldCharType="separate"/>
        </w:r>
        <w:r w:rsidR="00026FAD">
          <w:rPr>
            <w:noProof/>
            <w:webHidden/>
          </w:rPr>
          <w:t>2</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78" w:history="1">
        <w:r w:rsidR="00461E17" w:rsidRPr="003D65CA">
          <w:rPr>
            <w:rStyle w:val="Hyperlink"/>
            <w:noProof/>
          </w:rPr>
          <w:t>Key Findings</w:t>
        </w:r>
        <w:r w:rsidR="00461E17">
          <w:rPr>
            <w:noProof/>
            <w:webHidden/>
          </w:rPr>
          <w:tab/>
        </w:r>
        <w:r>
          <w:rPr>
            <w:noProof/>
            <w:webHidden/>
          </w:rPr>
          <w:fldChar w:fldCharType="begin"/>
        </w:r>
        <w:r w:rsidR="00461E17">
          <w:rPr>
            <w:noProof/>
            <w:webHidden/>
          </w:rPr>
          <w:instrText xml:space="preserve"> PAGEREF _Toc437284978 \h </w:instrText>
        </w:r>
        <w:r>
          <w:rPr>
            <w:noProof/>
            <w:webHidden/>
          </w:rPr>
        </w:r>
        <w:r>
          <w:rPr>
            <w:noProof/>
            <w:webHidden/>
          </w:rPr>
          <w:fldChar w:fldCharType="separate"/>
        </w:r>
        <w:r w:rsidR="00026FAD">
          <w:rPr>
            <w:noProof/>
            <w:webHidden/>
          </w:rPr>
          <w:t>3</w:t>
        </w:r>
        <w:r>
          <w:rPr>
            <w:noProof/>
            <w:webHidden/>
          </w:rPr>
          <w:fldChar w:fldCharType="end"/>
        </w:r>
      </w:hyperlink>
    </w:p>
    <w:p w:rsidR="00461E17" w:rsidRDefault="002555E4" w:rsidP="00197E8D">
      <w:pPr>
        <w:pStyle w:val="TOC1"/>
        <w:spacing w:beforeLines="40" w:afterLines="40"/>
        <w:rPr>
          <w:rFonts w:eastAsiaTheme="minorEastAsia"/>
          <w:noProof/>
          <w:sz w:val="22"/>
          <w:szCs w:val="22"/>
        </w:rPr>
      </w:pPr>
      <w:hyperlink w:anchor="_Toc437284979" w:history="1">
        <w:r w:rsidR="00461E17" w:rsidRPr="003D65CA">
          <w:rPr>
            <w:rStyle w:val="Hyperlink"/>
            <w:noProof/>
          </w:rPr>
          <w:t>Introduction</w:t>
        </w:r>
        <w:r w:rsidR="00461E17">
          <w:rPr>
            <w:noProof/>
            <w:webHidden/>
          </w:rPr>
          <w:tab/>
        </w:r>
        <w:r>
          <w:rPr>
            <w:noProof/>
            <w:webHidden/>
          </w:rPr>
          <w:fldChar w:fldCharType="begin"/>
        </w:r>
        <w:r w:rsidR="00461E17">
          <w:rPr>
            <w:noProof/>
            <w:webHidden/>
          </w:rPr>
          <w:instrText xml:space="preserve"> PAGEREF _Toc437284979 \h </w:instrText>
        </w:r>
        <w:r>
          <w:rPr>
            <w:noProof/>
            <w:webHidden/>
          </w:rPr>
        </w:r>
        <w:r>
          <w:rPr>
            <w:noProof/>
            <w:webHidden/>
          </w:rPr>
          <w:fldChar w:fldCharType="separate"/>
        </w:r>
        <w:r w:rsidR="00026FAD">
          <w:rPr>
            <w:noProof/>
            <w:webHidden/>
          </w:rPr>
          <w:t>6</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80" w:history="1">
        <w:r w:rsidR="00461E17" w:rsidRPr="003D65CA">
          <w:rPr>
            <w:rStyle w:val="Hyperlink"/>
            <w:noProof/>
          </w:rPr>
          <w:t>Study Objectives</w:t>
        </w:r>
        <w:r w:rsidR="00461E17">
          <w:rPr>
            <w:noProof/>
            <w:webHidden/>
          </w:rPr>
          <w:tab/>
        </w:r>
        <w:r>
          <w:rPr>
            <w:noProof/>
            <w:webHidden/>
          </w:rPr>
          <w:fldChar w:fldCharType="begin"/>
        </w:r>
        <w:r w:rsidR="00461E17">
          <w:rPr>
            <w:noProof/>
            <w:webHidden/>
          </w:rPr>
          <w:instrText xml:space="preserve"> PAGEREF _Toc437284980 \h </w:instrText>
        </w:r>
        <w:r>
          <w:rPr>
            <w:noProof/>
            <w:webHidden/>
          </w:rPr>
        </w:r>
        <w:r>
          <w:rPr>
            <w:noProof/>
            <w:webHidden/>
          </w:rPr>
          <w:fldChar w:fldCharType="separate"/>
        </w:r>
        <w:r w:rsidR="00026FAD">
          <w:rPr>
            <w:noProof/>
            <w:webHidden/>
          </w:rPr>
          <w:t>6</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81" w:history="1">
        <w:r w:rsidR="00461E17" w:rsidRPr="003D65CA">
          <w:rPr>
            <w:rStyle w:val="Hyperlink"/>
            <w:noProof/>
          </w:rPr>
          <w:t>Research Questions</w:t>
        </w:r>
        <w:r w:rsidR="00461E17">
          <w:rPr>
            <w:noProof/>
            <w:webHidden/>
          </w:rPr>
          <w:tab/>
        </w:r>
        <w:r>
          <w:rPr>
            <w:noProof/>
            <w:webHidden/>
          </w:rPr>
          <w:fldChar w:fldCharType="begin"/>
        </w:r>
        <w:r w:rsidR="00461E17">
          <w:rPr>
            <w:noProof/>
            <w:webHidden/>
          </w:rPr>
          <w:instrText xml:space="preserve"> PAGEREF _Toc437284981 \h </w:instrText>
        </w:r>
        <w:r>
          <w:rPr>
            <w:noProof/>
            <w:webHidden/>
          </w:rPr>
        </w:r>
        <w:r>
          <w:rPr>
            <w:noProof/>
            <w:webHidden/>
          </w:rPr>
          <w:fldChar w:fldCharType="separate"/>
        </w:r>
        <w:r w:rsidR="00026FAD">
          <w:rPr>
            <w:noProof/>
            <w:webHidden/>
          </w:rPr>
          <w:t>7</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82" w:history="1">
        <w:r w:rsidR="00461E17" w:rsidRPr="003D65CA">
          <w:rPr>
            <w:rStyle w:val="Hyperlink"/>
            <w:noProof/>
          </w:rPr>
          <w:t>Report Organization</w:t>
        </w:r>
        <w:r w:rsidR="00461E17">
          <w:rPr>
            <w:noProof/>
            <w:webHidden/>
          </w:rPr>
          <w:tab/>
        </w:r>
        <w:r>
          <w:rPr>
            <w:noProof/>
            <w:webHidden/>
          </w:rPr>
          <w:fldChar w:fldCharType="begin"/>
        </w:r>
        <w:r w:rsidR="00461E17">
          <w:rPr>
            <w:noProof/>
            <w:webHidden/>
          </w:rPr>
          <w:instrText xml:space="preserve"> PAGEREF _Toc437284982 \h </w:instrText>
        </w:r>
        <w:r>
          <w:rPr>
            <w:noProof/>
            <w:webHidden/>
          </w:rPr>
        </w:r>
        <w:r>
          <w:rPr>
            <w:noProof/>
            <w:webHidden/>
          </w:rPr>
          <w:fldChar w:fldCharType="separate"/>
        </w:r>
        <w:r w:rsidR="00026FAD">
          <w:rPr>
            <w:noProof/>
            <w:webHidden/>
          </w:rPr>
          <w:t>7</w:t>
        </w:r>
        <w:r>
          <w:rPr>
            <w:noProof/>
            <w:webHidden/>
          </w:rPr>
          <w:fldChar w:fldCharType="end"/>
        </w:r>
      </w:hyperlink>
    </w:p>
    <w:p w:rsidR="00461E17" w:rsidRDefault="002555E4" w:rsidP="00197E8D">
      <w:pPr>
        <w:pStyle w:val="TOC1"/>
        <w:spacing w:beforeLines="40" w:afterLines="40"/>
        <w:rPr>
          <w:rFonts w:eastAsiaTheme="minorEastAsia"/>
          <w:noProof/>
          <w:sz w:val="22"/>
          <w:szCs w:val="22"/>
        </w:rPr>
      </w:pPr>
      <w:hyperlink w:anchor="_Toc437284983" w:history="1">
        <w:r w:rsidR="00461E17" w:rsidRPr="003D65CA">
          <w:rPr>
            <w:rStyle w:val="Hyperlink"/>
            <w:noProof/>
          </w:rPr>
          <w:t>Section 1. Data and Methods</w:t>
        </w:r>
        <w:r w:rsidR="00461E17">
          <w:rPr>
            <w:noProof/>
            <w:webHidden/>
          </w:rPr>
          <w:tab/>
        </w:r>
        <w:r>
          <w:rPr>
            <w:noProof/>
            <w:webHidden/>
          </w:rPr>
          <w:fldChar w:fldCharType="begin"/>
        </w:r>
        <w:r w:rsidR="00461E17">
          <w:rPr>
            <w:noProof/>
            <w:webHidden/>
          </w:rPr>
          <w:instrText xml:space="preserve"> PAGEREF _Toc437284983 \h </w:instrText>
        </w:r>
        <w:r>
          <w:rPr>
            <w:noProof/>
            <w:webHidden/>
          </w:rPr>
        </w:r>
        <w:r>
          <w:rPr>
            <w:noProof/>
            <w:webHidden/>
          </w:rPr>
          <w:fldChar w:fldCharType="separate"/>
        </w:r>
        <w:r w:rsidR="00026FAD">
          <w:rPr>
            <w:noProof/>
            <w:webHidden/>
          </w:rPr>
          <w:t>8</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84" w:history="1">
        <w:r w:rsidR="00461E17" w:rsidRPr="003D65CA">
          <w:rPr>
            <w:rStyle w:val="Hyperlink"/>
            <w:noProof/>
          </w:rPr>
          <w:t>Conceptual Approach</w:t>
        </w:r>
        <w:r w:rsidR="00461E17">
          <w:rPr>
            <w:noProof/>
            <w:webHidden/>
          </w:rPr>
          <w:tab/>
        </w:r>
        <w:r>
          <w:rPr>
            <w:noProof/>
            <w:webHidden/>
          </w:rPr>
          <w:fldChar w:fldCharType="begin"/>
        </w:r>
        <w:r w:rsidR="00461E17">
          <w:rPr>
            <w:noProof/>
            <w:webHidden/>
          </w:rPr>
          <w:instrText xml:space="preserve"> PAGEREF _Toc437284984 \h </w:instrText>
        </w:r>
        <w:r>
          <w:rPr>
            <w:noProof/>
            <w:webHidden/>
          </w:rPr>
        </w:r>
        <w:r>
          <w:rPr>
            <w:noProof/>
            <w:webHidden/>
          </w:rPr>
          <w:fldChar w:fldCharType="separate"/>
        </w:r>
        <w:r w:rsidR="00026FAD">
          <w:rPr>
            <w:noProof/>
            <w:webHidden/>
          </w:rPr>
          <w:t>8</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85" w:history="1">
        <w:r w:rsidR="00461E17" w:rsidRPr="003D65CA">
          <w:rPr>
            <w:rStyle w:val="Hyperlink"/>
            <w:noProof/>
          </w:rPr>
          <w:t>General Approach to the Analysis</w:t>
        </w:r>
        <w:r w:rsidR="00461E17">
          <w:rPr>
            <w:noProof/>
            <w:webHidden/>
          </w:rPr>
          <w:tab/>
        </w:r>
        <w:r>
          <w:rPr>
            <w:noProof/>
            <w:webHidden/>
          </w:rPr>
          <w:fldChar w:fldCharType="begin"/>
        </w:r>
        <w:r w:rsidR="00461E17">
          <w:rPr>
            <w:noProof/>
            <w:webHidden/>
          </w:rPr>
          <w:instrText xml:space="preserve"> PAGEREF _Toc437284985 \h </w:instrText>
        </w:r>
        <w:r>
          <w:rPr>
            <w:noProof/>
            <w:webHidden/>
          </w:rPr>
        </w:r>
        <w:r>
          <w:rPr>
            <w:noProof/>
            <w:webHidden/>
          </w:rPr>
          <w:fldChar w:fldCharType="separate"/>
        </w:r>
        <w:r w:rsidR="00026FAD">
          <w:rPr>
            <w:noProof/>
            <w:webHidden/>
          </w:rPr>
          <w:t>9</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86" w:history="1">
        <w:r w:rsidR="00461E17" w:rsidRPr="003D65CA">
          <w:rPr>
            <w:rStyle w:val="Hyperlink"/>
            <w:noProof/>
          </w:rPr>
          <w:t>Data Sources</w:t>
        </w:r>
        <w:r w:rsidR="00461E17">
          <w:rPr>
            <w:noProof/>
            <w:webHidden/>
          </w:rPr>
          <w:tab/>
        </w:r>
        <w:r>
          <w:rPr>
            <w:noProof/>
            <w:webHidden/>
          </w:rPr>
          <w:fldChar w:fldCharType="begin"/>
        </w:r>
        <w:r w:rsidR="00461E17">
          <w:rPr>
            <w:noProof/>
            <w:webHidden/>
          </w:rPr>
          <w:instrText xml:space="preserve"> PAGEREF _Toc437284986 \h </w:instrText>
        </w:r>
        <w:r>
          <w:rPr>
            <w:noProof/>
            <w:webHidden/>
          </w:rPr>
        </w:r>
        <w:r>
          <w:rPr>
            <w:noProof/>
            <w:webHidden/>
          </w:rPr>
          <w:fldChar w:fldCharType="separate"/>
        </w:r>
        <w:r w:rsidR="00026FAD">
          <w:rPr>
            <w:noProof/>
            <w:webHidden/>
          </w:rPr>
          <w:t>9</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87" w:history="1">
        <w:r w:rsidR="00461E17" w:rsidRPr="003D65CA">
          <w:rPr>
            <w:rStyle w:val="Hyperlink"/>
            <w:noProof/>
          </w:rPr>
          <w:t>Methods</w:t>
        </w:r>
        <w:r w:rsidR="00461E17">
          <w:rPr>
            <w:noProof/>
            <w:webHidden/>
          </w:rPr>
          <w:tab/>
        </w:r>
        <w:r>
          <w:rPr>
            <w:noProof/>
            <w:webHidden/>
          </w:rPr>
          <w:fldChar w:fldCharType="begin"/>
        </w:r>
        <w:r w:rsidR="00461E17">
          <w:rPr>
            <w:noProof/>
            <w:webHidden/>
          </w:rPr>
          <w:instrText xml:space="preserve"> PAGEREF _Toc437284987 \h </w:instrText>
        </w:r>
        <w:r>
          <w:rPr>
            <w:noProof/>
            <w:webHidden/>
          </w:rPr>
        </w:r>
        <w:r>
          <w:rPr>
            <w:noProof/>
            <w:webHidden/>
          </w:rPr>
          <w:fldChar w:fldCharType="separate"/>
        </w:r>
        <w:r w:rsidR="00026FAD">
          <w:rPr>
            <w:noProof/>
            <w:webHidden/>
          </w:rPr>
          <w:t>12</w:t>
        </w:r>
        <w:r>
          <w:rPr>
            <w:noProof/>
            <w:webHidden/>
          </w:rPr>
          <w:fldChar w:fldCharType="end"/>
        </w:r>
      </w:hyperlink>
    </w:p>
    <w:p w:rsidR="00461E17" w:rsidRDefault="002555E4" w:rsidP="00197E8D">
      <w:pPr>
        <w:pStyle w:val="TOC1"/>
        <w:spacing w:beforeLines="40" w:afterLines="40"/>
        <w:rPr>
          <w:rFonts w:eastAsiaTheme="minorEastAsia"/>
          <w:noProof/>
          <w:sz w:val="22"/>
          <w:szCs w:val="22"/>
        </w:rPr>
      </w:pPr>
      <w:hyperlink w:anchor="_Toc437284988" w:history="1">
        <w:r w:rsidR="00461E17" w:rsidRPr="003D65CA">
          <w:rPr>
            <w:rStyle w:val="Hyperlink"/>
            <w:noProof/>
          </w:rPr>
          <w:t>Section 2. Results</w:t>
        </w:r>
        <w:r w:rsidR="00461E17">
          <w:rPr>
            <w:noProof/>
            <w:webHidden/>
          </w:rPr>
          <w:tab/>
        </w:r>
        <w:r>
          <w:rPr>
            <w:noProof/>
            <w:webHidden/>
          </w:rPr>
          <w:fldChar w:fldCharType="begin"/>
        </w:r>
        <w:r w:rsidR="00461E17">
          <w:rPr>
            <w:noProof/>
            <w:webHidden/>
          </w:rPr>
          <w:instrText xml:space="preserve"> PAGEREF _Toc437284988 \h </w:instrText>
        </w:r>
        <w:r>
          <w:rPr>
            <w:noProof/>
            <w:webHidden/>
          </w:rPr>
        </w:r>
        <w:r>
          <w:rPr>
            <w:noProof/>
            <w:webHidden/>
          </w:rPr>
          <w:fldChar w:fldCharType="separate"/>
        </w:r>
        <w:r w:rsidR="00026FAD">
          <w:rPr>
            <w:noProof/>
            <w:webHidden/>
          </w:rPr>
          <w:t>15</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89" w:history="1">
        <w:r w:rsidR="00461E17" w:rsidRPr="003D65CA">
          <w:rPr>
            <w:rStyle w:val="Hyperlink"/>
            <w:noProof/>
          </w:rPr>
          <w:t>Research Question 1: Statewide Projections of Annual Demand</w:t>
        </w:r>
        <w:r w:rsidR="00461E17">
          <w:rPr>
            <w:noProof/>
            <w:webHidden/>
          </w:rPr>
          <w:tab/>
        </w:r>
        <w:r>
          <w:rPr>
            <w:noProof/>
            <w:webHidden/>
          </w:rPr>
          <w:fldChar w:fldCharType="begin"/>
        </w:r>
        <w:r w:rsidR="00461E17">
          <w:rPr>
            <w:noProof/>
            <w:webHidden/>
          </w:rPr>
          <w:instrText xml:space="preserve"> PAGEREF _Toc437284989 \h </w:instrText>
        </w:r>
        <w:r>
          <w:rPr>
            <w:noProof/>
            <w:webHidden/>
          </w:rPr>
        </w:r>
        <w:r>
          <w:rPr>
            <w:noProof/>
            <w:webHidden/>
          </w:rPr>
          <w:fldChar w:fldCharType="separate"/>
        </w:r>
        <w:r w:rsidR="00026FAD">
          <w:rPr>
            <w:noProof/>
            <w:webHidden/>
          </w:rPr>
          <w:t>15</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90" w:history="1">
        <w:r w:rsidR="00461E17" w:rsidRPr="003D65CA">
          <w:rPr>
            <w:rStyle w:val="Hyperlink"/>
            <w:noProof/>
          </w:rPr>
          <w:t>Research Question 2: Statewide Projections of Annual Supply</w:t>
        </w:r>
        <w:r w:rsidR="00461E17">
          <w:rPr>
            <w:noProof/>
            <w:webHidden/>
          </w:rPr>
          <w:tab/>
        </w:r>
        <w:r>
          <w:rPr>
            <w:noProof/>
            <w:webHidden/>
          </w:rPr>
          <w:fldChar w:fldCharType="begin"/>
        </w:r>
        <w:r w:rsidR="00461E17">
          <w:rPr>
            <w:noProof/>
            <w:webHidden/>
          </w:rPr>
          <w:instrText xml:space="preserve"> PAGEREF _Toc437284990 \h </w:instrText>
        </w:r>
        <w:r>
          <w:rPr>
            <w:noProof/>
            <w:webHidden/>
          </w:rPr>
        </w:r>
        <w:r>
          <w:rPr>
            <w:noProof/>
            <w:webHidden/>
          </w:rPr>
          <w:fldChar w:fldCharType="separate"/>
        </w:r>
        <w:r w:rsidR="00026FAD">
          <w:rPr>
            <w:noProof/>
            <w:webHidden/>
          </w:rPr>
          <w:t>19</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91" w:history="1">
        <w:r w:rsidR="00461E17" w:rsidRPr="003D65CA">
          <w:rPr>
            <w:rStyle w:val="Hyperlink"/>
            <w:noProof/>
          </w:rPr>
          <w:t>Research Question 1 and 2: Comparing Aggregate Supply and Demand</w:t>
        </w:r>
        <w:r w:rsidR="00461E17">
          <w:rPr>
            <w:noProof/>
            <w:webHidden/>
          </w:rPr>
          <w:tab/>
        </w:r>
        <w:r>
          <w:rPr>
            <w:noProof/>
            <w:webHidden/>
          </w:rPr>
          <w:fldChar w:fldCharType="begin"/>
        </w:r>
        <w:r w:rsidR="00461E17">
          <w:rPr>
            <w:noProof/>
            <w:webHidden/>
          </w:rPr>
          <w:instrText xml:space="preserve"> PAGEREF _Toc437284991 \h </w:instrText>
        </w:r>
        <w:r>
          <w:rPr>
            <w:noProof/>
            <w:webHidden/>
          </w:rPr>
        </w:r>
        <w:r>
          <w:rPr>
            <w:noProof/>
            <w:webHidden/>
          </w:rPr>
          <w:fldChar w:fldCharType="separate"/>
        </w:r>
        <w:r w:rsidR="00026FAD">
          <w:rPr>
            <w:noProof/>
            <w:webHidden/>
          </w:rPr>
          <w:t>26</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92" w:history="1">
        <w:r w:rsidR="00461E17" w:rsidRPr="003D65CA">
          <w:rPr>
            <w:rStyle w:val="Hyperlink"/>
            <w:noProof/>
          </w:rPr>
          <w:t>Research Question 3: Detailed Supply and Demand Projections by Program Area</w:t>
        </w:r>
        <w:r w:rsidR="00461E17">
          <w:rPr>
            <w:noProof/>
            <w:webHidden/>
          </w:rPr>
          <w:tab/>
        </w:r>
        <w:r>
          <w:rPr>
            <w:noProof/>
            <w:webHidden/>
          </w:rPr>
          <w:fldChar w:fldCharType="begin"/>
        </w:r>
        <w:r w:rsidR="00461E17">
          <w:rPr>
            <w:noProof/>
            <w:webHidden/>
          </w:rPr>
          <w:instrText xml:space="preserve"> PAGEREF _Toc437284992 \h </w:instrText>
        </w:r>
        <w:r>
          <w:rPr>
            <w:noProof/>
            <w:webHidden/>
          </w:rPr>
        </w:r>
        <w:r>
          <w:rPr>
            <w:noProof/>
            <w:webHidden/>
          </w:rPr>
          <w:fldChar w:fldCharType="separate"/>
        </w:r>
        <w:r w:rsidR="00026FAD">
          <w:rPr>
            <w:noProof/>
            <w:webHidden/>
          </w:rPr>
          <w:t>27</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93" w:history="1">
        <w:r w:rsidR="00461E17" w:rsidRPr="003D65CA">
          <w:rPr>
            <w:rStyle w:val="Hyperlink"/>
            <w:noProof/>
          </w:rPr>
          <w:t>Research Question 4: Detailed Supply and Demand Projections by Race and Age</w:t>
        </w:r>
        <w:r w:rsidR="00461E17">
          <w:rPr>
            <w:noProof/>
            <w:webHidden/>
          </w:rPr>
          <w:tab/>
        </w:r>
        <w:r>
          <w:rPr>
            <w:noProof/>
            <w:webHidden/>
          </w:rPr>
          <w:fldChar w:fldCharType="begin"/>
        </w:r>
        <w:r w:rsidR="00461E17">
          <w:rPr>
            <w:noProof/>
            <w:webHidden/>
          </w:rPr>
          <w:instrText xml:space="preserve"> PAGEREF _Toc437284993 \h </w:instrText>
        </w:r>
        <w:r>
          <w:rPr>
            <w:noProof/>
            <w:webHidden/>
          </w:rPr>
        </w:r>
        <w:r>
          <w:rPr>
            <w:noProof/>
            <w:webHidden/>
          </w:rPr>
          <w:fldChar w:fldCharType="separate"/>
        </w:r>
        <w:r w:rsidR="00026FAD">
          <w:rPr>
            <w:noProof/>
            <w:webHidden/>
          </w:rPr>
          <w:t>39</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94" w:history="1">
        <w:r w:rsidR="00461E17" w:rsidRPr="003D65CA">
          <w:rPr>
            <w:rStyle w:val="Hyperlink"/>
            <w:noProof/>
          </w:rPr>
          <w:t>Research Question 5: Detailed Supply and Demand Projections by Region</w:t>
        </w:r>
        <w:r w:rsidR="00461E17">
          <w:rPr>
            <w:noProof/>
            <w:webHidden/>
          </w:rPr>
          <w:tab/>
        </w:r>
        <w:r>
          <w:rPr>
            <w:noProof/>
            <w:webHidden/>
          </w:rPr>
          <w:fldChar w:fldCharType="begin"/>
        </w:r>
        <w:r w:rsidR="00461E17">
          <w:rPr>
            <w:noProof/>
            <w:webHidden/>
          </w:rPr>
          <w:instrText xml:space="preserve"> PAGEREF _Toc437284994 \h </w:instrText>
        </w:r>
        <w:r>
          <w:rPr>
            <w:noProof/>
            <w:webHidden/>
          </w:rPr>
        </w:r>
        <w:r>
          <w:rPr>
            <w:noProof/>
            <w:webHidden/>
          </w:rPr>
          <w:fldChar w:fldCharType="separate"/>
        </w:r>
        <w:r w:rsidR="00026FAD">
          <w:rPr>
            <w:noProof/>
            <w:webHidden/>
          </w:rPr>
          <w:t>52</w:t>
        </w:r>
        <w:r>
          <w:rPr>
            <w:noProof/>
            <w:webHidden/>
          </w:rPr>
          <w:fldChar w:fldCharType="end"/>
        </w:r>
      </w:hyperlink>
    </w:p>
    <w:p w:rsidR="00461E17" w:rsidRDefault="002555E4" w:rsidP="00197E8D">
      <w:pPr>
        <w:pStyle w:val="TOC1"/>
        <w:spacing w:beforeLines="40" w:afterLines="40"/>
        <w:rPr>
          <w:rFonts w:eastAsiaTheme="minorEastAsia"/>
          <w:noProof/>
          <w:sz w:val="22"/>
          <w:szCs w:val="22"/>
        </w:rPr>
      </w:pPr>
      <w:hyperlink w:anchor="_Toc437284995" w:history="1">
        <w:r w:rsidR="00461E17" w:rsidRPr="003D65CA">
          <w:rPr>
            <w:rStyle w:val="Hyperlink"/>
            <w:noProof/>
          </w:rPr>
          <w:t>Section 3. Study Limitations</w:t>
        </w:r>
        <w:r w:rsidR="00461E17">
          <w:rPr>
            <w:noProof/>
            <w:webHidden/>
          </w:rPr>
          <w:tab/>
        </w:r>
        <w:r>
          <w:rPr>
            <w:noProof/>
            <w:webHidden/>
          </w:rPr>
          <w:fldChar w:fldCharType="begin"/>
        </w:r>
        <w:r w:rsidR="00461E17">
          <w:rPr>
            <w:noProof/>
            <w:webHidden/>
          </w:rPr>
          <w:instrText xml:space="preserve"> PAGEREF _Toc437284995 \h </w:instrText>
        </w:r>
        <w:r>
          <w:rPr>
            <w:noProof/>
            <w:webHidden/>
          </w:rPr>
        </w:r>
        <w:r>
          <w:rPr>
            <w:noProof/>
            <w:webHidden/>
          </w:rPr>
          <w:fldChar w:fldCharType="separate"/>
        </w:r>
        <w:r w:rsidR="00026FAD">
          <w:rPr>
            <w:noProof/>
            <w:webHidden/>
          </w:rPr>
          <w:t>59</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96" w:history="1">
        <w:r w:rsidR="00461E17" w:rsidRPr="003D65CA">
          <w:rPr>
            <w:rStyle w:val="Hyperlink"/>
            <w:noProof/>
          </w:rPr>
          <w:t>Data Limitations</w:t>
        </w:r>
        <w:r w:rsidR="00461E17">
          <w:rPr>
            <w:noProof/>
            <w:webHidden/>
          </w:rPr>
          <w:tab/>
        </w:r>
        <w:r>
          <w:rPr>
            <w:noProof/>
            <w:webHidden/>
          </w:rPr>
          <w:fldChar w:fldCharType="begin"/>
        </w:r>
        <w:r w:rsidR="00461E17">
          <w:rPr>
            <w:noProof/>
            <w:webHidden/>
          </w:rPr>
          <w:instrText xml:space="preserve"> PAGEREF _Toc437284996 \h </w:instrText>
        </w:r>
        <w:r>
          <w:rPr>
            <w:noProof/>
            <w:webHidden/>
          </w:rPr>
        </w:r>
        <w:r>
          <w:rPr>
            <w:noProof/>
            <w:webHidden/>
          </w:rPr>
          <w:fldChar w:fldCharType="separate"/>
        </w:r>
        <w:r w:rsidR="00026FAD">
          <w:rPr>
            <w:noProof/>
            <w:webHidden/>
          </w:rPr>
          <w:t>59</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97" w:history="1">
        <w:r w:rsidR="00461E17" w:rsidRPr="003D65CA">
          <w:rPr>
            <w:rStyle w:val="Hyperlink"/>
            <w:noProof/>
          </w:rPr>
          <w:t>Projection Limitations</w:t>
        </w:r>
        <w:r w:rsidR="00461E17">
          <w:rPr>
            <w:noProof/>
            <w:webHidden/>
          </w:rPr>
          <w:tab/>
        </w:r>
        <w:r>
          <w:rPr>
            <w:noProof/>
            <w:webHidden/>
          </w:rPr>
          <w:fldChar w:fldCharType="begin"/>
        </w:r>
        <w:r w:rsidR="00461E17">
          <w:rPr>
            <w:noProof/>
            <w:webHidden/>
          </w:rPr>
          <w:instrText xml:space="preserve"> PAGEREF _Toc437284997 \h </w:instrText>
        </w:r>
        <w:r>
          <w:rPr>
            <w:noProof/>
            <w:webHidden/>
          </w:rPr>
        </w:r>
        <w:r>
          <w:rPr>
            <w:noProof/>
            <w:webHidden/>
          </w:rPr>
          <w:fldChar w:fldCharType="separate"/>
        </w:r>
        <w:r w:rsidR="00026FAD">
          <w:rPr>
            <w:noProof/>
            <w:webHidden/>
          </w:rPr>
          <w:t>59</w:t>
        </w:r>
        <w:r>
          <w:rPr>
            <w:noProof/>
            <w:webHidden/>
          </w:rPr>
          <w:fldChar w:fldCharType="end"/>
        </w:r>
      </w:hyperlink>
    </w:p>
    <w:p w:rsidR="00461E17" w:rsidRDefault="002555E4" w:rsidP="00197E8D">
      <w:pPr>
        <w:pStyle w:val="TOC1"/>
        <w:spacing w:beforeLines="40" w:afterLines="40"/>
        <w:rPr>
          <w:rFonts w:eastAsiaTheme="minorEastAsia"/>
          <w:noProof/>
          <w:sz w:val="22"/>
          <w:szCs w:val="22"/>
        </w:rPr>
      </w:pPr>
      <w:hyperlink w:anchor="_Toc437284998" w:history="1">
        <w:r w:rsidR="00461E17" w:rsidRPr="003D65CA">
          <w:rPr>
            <w:rStyle w:val="Hyperlink"/>
            <w:noProof/>
          </w:rPr>
          <w:t>Section 4. Opportunities for Future Study</w:t>
        </w:r>
        <w:r w:rsidR="00461E17">
          <w:rPr>
            <w:noProof/>
            <w:webHidden/>
          </w:rPr>
          <w:tab/>
        </w:r>
        <w:r>
          <w:rPr>
            <w:noProof/>
            <w:webHidden/>
          </w:rPr>
          <w:fldChar w:fldCharType="begin"/>
        </w:r>
        <w:r w:rsidR="00461E17">
          <w:rPr>
            <w:noProof/>
            <w:webHidden/>
          </w:rPr>
          <w:instrText xml:space="preserve"> PAGEREF _Toc437284998 \h </w:instrText>
        </w:r>
        <w:r>
          <w:rPr>
            <w:noProof/>
            <w:webHidden/>
          </w:rPr>
        </w:r>
        <w:r>
          <w:rPr>
            <w:noProof/>
            <w:webHidden/>
          </w:rPr>
          <w:fldChar w:fldCharType="separate"/>
        </w:r>
        <w:r w:rsidR="00026FAD">
          <w:rPr>
            <w:noProof/>
            <w:webHidden/>
          </w:rPr>
          <w:t>60</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4999" w:history="1">
        <w:r w:rsidR="00461E17" w:rsidRPr="003D65CA">
          <w:rPr>
            <w:rStyle w:val="Hyperlink"/>
            <w:noProof/>
          </w:rPr>
          <w:t>Demand and Supply by Subject</w:t>
        </w:r>
        <w:r w:rsidR="00461E17">
          <w:rPr>
            <w:noProof/>
            <w:webHidden/>
          </w:rPr>
          <w:tab/>
        </w:r>
        <w:r>
          <w:rPr>
            <w:noProof/>
            <w:webHidden/>
          </w:rPr>
          <w:fldChar w:fldCharType="begin"/>
        </w:r>
        <w:r w:rsidR="00461E17">
          <w:rPr>
            <w:noProof/>
            <w:webHidden/>
          </w:rPr>
          <w:instrText xml:space="preserve"> PAGEREF _Toc437284999 \h </w:instrText>
        </w:r>
        <w:r>
          <w:rPr>
            <w:noProof/>
            <w:webHidden/>
          </w:rPr>
        </w:r>
        <w:r>
          <w:rPr>
            <w:noProof/>
            <w:webHidden/>
          </w:rPr>
          <w:fldChar w:fldCharType="separate"/>
        </w:r>
        <w:r w:rsidR="00026FAD">
          <w:rPr>
            <w:noProof/>
            <w:webHidden/>
          </w:rPr>
          <w:t>60</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5000" w:history="1">
        <w:r w:rsidR="00461E17" w:rsidRPr="003D65CA">
          <w:rPr>
            <w:rStyle w:val="Hyperlink"/>
            <w:noProof/>
          </w:rPr>
          <w:t>Teacher Mobility Analysis</w:t>
        </w:r>
        <w:r w:rsidR="00461E17">
          <w:rPr>
            <w:noProof/>
            <w:webHidden/>
          </w:rPr>
          <w:tab/>
        </w:r>
        <w:r>
          <w:rPr>
            <w:noProof/>
            <w:webHidden/>
          </w:rPr>
          <w:fldChar w:fldCharType="begin"/>
        </w:r>
        <w:r w:rsidR="00461E17">
          <w:rPr>
            <w:noProof/>
            <w:webHidden/>
          </w:rPr>
          <w:instrText xml:space="preserve"> PAGEREF _Toc437285000 \h </w:instrText>
        </w:r>
        <w:r>
          <w:rPr>
            <w:noProof/>
            <w:webHidden/>
          </w:rPr>
        </w:r>
        <w:r>
          <w:rPr>
            <w:noProof/>
            <w:webHidden/>
          </w:rPr>
          <w:fldChar w:fldCharType="separate"/>
        </w:r>
        <w:r w:rsidR="00026FAD">
          <w:rPr>
            <w:noProof/>
            <w:webHidden/>
          </w:rPr>
          <w:t>61</w:t>
        </w:r>
        <w:r>
          <w:rPr>
            <w:noProof/>
            <w:webHidden/>
          </w:rPr>
          <w:fldChar w:fldCharType="end"/>
        </w:r>
      </w:hyperlink>
    </w:p>
    <w:p w:rsidR="00461E17" w:rsidRDefault="002555E4" w:rsidP="00197E8D">
      <w:pPr>
        <w:pStyle w:val="TOC2"/>
        <w:spacing w:beforeLines="40" w:afterLines="40"/>
        <w:rPr>
          <w:rFonts w:eastAsiaTheme="minorEastAsia"/>
          <w:noProof/>
          <w:sz w:val="22"/>
          <w:szCs w:val="22"/>
        </w:rPr>
      </w:pPr>
      <w:hyperlink w:anchor="_Toc437285001" w:history="1">
        <w:r w:rsidR="00461E17" w:rsidRPr="003D65CA">
          <w:rPr>
            <w:rStyle w:val="Hyperlink"/>
            <w:noProof/>
          </w:rPr>
          <w:t>Teacher Pipeline Analysis</w:t>
        </w:r>
        <w:r w:rsidR="00461E17">
          <w:rPr>
            <w:noProof/>
            <w:webHidden/>
          </w:rPr>
          <w:tab/>
        </w:r>
        <w:r>
          <w:rPr>
            <w:noProof/>
            <w:webHidden/>
          </w:rPr>
          <w:fldChar w:fldCharType="begin"/>
        </w:r>
        <w:r w:rsidR="00461E17">
          <w:rPr>
            <w:noProof/>
            <w:webHidden/>
          </w:rPr>
          <w:instrText xml:space="preserve"> PAGEREF _Toc437285001 \h </w:instrText>
        </w:r>
        <w:r>
          <w:rPr>
            <w:noProof/>
            <w:webHidden/>
          </w:rPr>
        </w:r>
        <w:r>
          <w:rPr>
            <w:noProof/>
            <w:webHidden/>
          </w:rPr>
          <w:fldChar w:fldCharType="separate"/>
        </w:r>
        <w:r w:rsidR="00026FAD">
          <w:rPr>
            <w:noProof/>
            <w:webHidden/>
          </w:rPr>
          <w:t>61</w:t>
        </w:r>
        <w:r>
          <w:rPr>
            <w:noProof/>
            <w:webHidden/>
          </w:rPr>
          <w:fldChar w:fldCharType="end"/>
        </w:r>
      </w:hyperlink>
    </w:p>
    <w:p w:rsidR="00461E17" w:rsidRDefault="002555E4" w:rsidP="00197E8D">
      <w:pPr>
        <w:pStyle w:val="TOC1"/>
        <w:spacing w:beforeLines="40" w:afterLines="40"/>
        <w:rPr>
          <w:rFonts w:eastAsiaTheme="minorEastAsia"/>
          <w:noProof/>
          <w:sz w:val="22"/>
          <w:szCs w:val="22"/>
        </w:rPr>
      </w:pPr>
      <w:hyperlink w:anchor="_Toc437285002" w:history="1">
        <w:r w:rsidR="00461E17" w:rsidRPr="003D65CA">
          <w:rPr>
            <w:rStyle w:val="Hyperlink"/>
            <w:noProof/>
          </w:rPr>
          <w:t>Conclusion</w:t>
        </w:r>
        <w:r w:rsidR="00461E17">
          <w:rPr>
            <w:noProof/>
            <w:webHidden/>
          </w:rPr>
          <w:tab/>
        </w:r>
        <w:r>
          <w:rPr>
            <w:noProof/>
            <w:webHidden/>
          </w:rPr>
          <w:fldChar w:fldCharType="begin"/>
        </w:r>
        <w:r w:rsidR="00461E17">
          <w:rPr>
            <w:noProof/>
            <w:webHidden/>
          </w:rPr>
          <w:instrText xml:space="preserve"> PAGEREF _Toc437285002 \h </w:instrText>
        </w:r>
        <w:r>
          <w:rPr>
            <w:noProof/>
            <w:webHidden/>
          </w:rPr>
        </w:r>
        <w:r>
          <w:rPr>
            <w:noProof/>
            <w:webHidden/>
          </w:rPr>
          <w:fldChar w:fldCharType="separate"/>
        </w:r>
        <w:r w:rsidR="00026FAD">
          <w:rPr>
            <w:noProof/>
            <w:webHidden/>
          </w:rPr>
          <w:t>63</w:t>
        </w:r>
        <w:r>
          <w:rPr>
            <w:noProof/>
            <w:webHidden/>
          </w:rPr>
          <w:fldChar w:fldCharType="end"/>
        </w:r>
      </w:hyperlink>
    </w:p>
    <w:p w:rsidR="00461E17" w:rsidRDefault="002555E4" w:rsidP="00197E8D">
      <w:pPr>
        <w:pStyle w:val="TOC1"/>
        <w:spacing w:beforeLines="40" w:afterLines="40"/>
        <w:rPr>
          <w:rFonts w:eastAsiaTheme="minorEastAsia"/>
          <w:noProof/>
          <w:sz w:val="22"/>
          <w:szCs w:val="22"/>
        </w:rPr>
      </w:pPr>
      <w:hyperlink w:anchor="_Toc437285003" w:history="1">
        <w:r w:rsidR="00461E17" w:rsidRPr="003D65CA">
          <w:rPr>
            <w:rStyle w:val="Hyperlink"/>
            <w:noProof/>
          </w:rPr>
          <w:t>References</w:t>
        </w:r>
        <w:r w:rsidR="00461E17">
          <w:rPr>
            <w:noProof/>
            <w:webHidden/>
          </w:rPr>
          <w:tab/>
        </w:r>
        <w:r>
          <w:rPr>
            <w:noProof/>
            <w:webHidden/>
          </w:rPr>
          <w:fldChar w:fldCharType="begin"/>
        </w:r>
        <w:r w:rsidR="00461E17">
          <w:rPr>
            <w:noProof/>
            <w:webHidden/>
          </w:rPr>
          <w:instrText xml:space="preserve"> PAGEREF _Toc437285003 \h </w:instrText>
        </w:r>
        <w:r>
          <w:rPr>
            <w:noProof/>
            <w:webHidden/>
          </w:rPr>
        </w:r>
        <w:r>
          <w:rPr>
            <w:noProof/>
            <w:webHidden/>
          </w:rPr>
          <w:fldChar w:fldCharType="separate"/>
        </w:r>
        <w:r w:rsidR="00026FAD">
          <w:rPr>
            <w:noProof/>
            <w:webHidden/>
          </w:rPr>
          <w:t>64</w:t>
        </w:r>
        <w:r>
          <w:rPr>
            <w:noProof/>
            <w:webHidden/>
          </w:rPr>
          <w:fldChar w:fldCharType="end"/>
        </w:r>
      </w:hyperlink>
    </w:p>
    <w:p w:rsidR="00461E17" w:rsidRDefault="002555E4" w:rsidP="00197E8D">
      <w:pPr>
        <w:pStyle w:val="TOC1"/>
        <w:spacing w:beforeLines="40" w:afterLines="40"/>
        <w:rPr>
          <w:rFonts w:eastAsiaTheme="minorEastAsia"/>
          <w:noProof/>
          <w:sz w:val="22"/>
          <w:szCs w:val="22"/>
        </w:rPr>
      </w:pPr>
      <w:hyperlink w:anchor="_Toc437285004" w:history="1">
        <w:r w:rsidR="00461E17" w:rsidRPr="003D65CA">
          <w:rPr>
            <w:rStyle w:val="Hyperlink"/>
            <w:noProof/>
          </w:rPr>
          <w:t>Appendix A. Technical Description of Methods</w:t>
        </w:r>
        <w:r w:rsidR="00461E17">
          <w:rPr>
            <w:noProof/>
            <w:webHidden/>
          </w:rPr>
          <w:tab/>
          <w:t>A-</w:t>
        </w:r>
        <w:r>
          <w:rPr>
            <w:noProof/>
            <w:webHidden/>
          </w:rPr>
          <w:fldChar w:fldCharType="begin"/>
        </w:r>
        <w:r w:rsidR="00461E17">
          <w:rPr>
            <w:noProof/>
            <w:webHidden/>
          </w:rPr>
          <w:instrText xml:space="preserve"> PAGEREF _Toc437285004 \h </w:instrText>
        </w:r>
        <w:r>
          <w:rPr>
            <w:noProof/>
            <w:webHidden/>
          </w:rPr>
        </w:r>
        <w:r>
          <w:rPr>
            <w:noProof/>
            <w:webHidden/>
          </w:rPr>
          <w:fldChar w:fldCharType="separate"/>
        </w:r>
        <w:r w:rsidR="00026FAD">
          <w:rPr>
            <w:noProof/>
            <w:webHidden/>
          </w:rPr>
          <w:t>1</w:t>
        </w:r>
        <w:r>
          <w:rPr>
            <w:noProof/>
            <w:webHidden/>
          </w:rPr>
          <w:fldChar w:fldCharType="end"/>
        </w:r>
      </w:hyperlink>
    </w:p>
    <w:p w:rsidR="00461E17" w:rsidRDefault="002555E4" w:rsidP="00197E8D">
      <w:pPr>
        <w:pStyle w:val="TOC1"/>
        <w:spacing w:beforeLines="40" w:afterLines="40"/>
        <w:rPr>
          <w:rFonts w:eastAsiaTheme="minorEastAsia"/>
          <w:noProof/>
          <w:sz w:val="22"/>
          <w:szCs w:val="22"/>
        </w:rPr>
      </w:pPr>
      <w:hyperlink w:anchor="_Toc437285005" w:history="1">
        <w:r w:rsidR="00461E17" w:rsidRPr="003D65CA">
          <w:rPr>
            <w:rStyle w:val="Hyperlink"/>
            <w:noProof/>
          </w:rPr>
          <w:t>Appendix B. Additional Findings and Exhibits</w:t>
        </w:r>
        <w:r w:rsidR="00461E17">
          <w:rPr>
            <w:noProof/>
            <w:webHidden/>
          </w:rPr>
          <w:tab/>
          <w:t>B-</w:t>
        </w:r>
        <w:r>
          <w:rPr>
            <w:noProof/>
            <w:webHidden/>
          </w:rPr>
          <w:fldChar w:fldCharType="begin"/>
        </w:r>
        <w:r w:rsidR="00461E17">
          <w:rPr>
            <w:noProof/>
            <w:webHidden/>
          </w:rPr>
          <w:instrText xml:space="preserve"> PAGEREF _Toc437285005 \h </w:instrText>
        </w:r>
        <w:r>
          <w:rPr>
            <w:noProof/>
            <w:webHidden/>
          </w:rPr>
        </w:r>
        <w:r>
          <w:rPr>
            <w:noProof/>
            <w:webHidden/>
          </w:rPr>
          <w:fldChar w:fldCharType="separate"/>
        </w:r>
        <w:r w:rsidR="00026FAD">
          <w:rPr>
            <w:noProof/>
            <w:webHidden/>
          </w:rPr>
          <w:t>1</w:t>
        </w:r>
        <w:r>
          <w:rPr>
            <w:noProof/>
            <w:webHidden/>
          </w:rPr>
          <w:fldChar w:fldCharType="end"/>
        </w:r>
      </w:hyperlink>
    </w:p>
    <w:p w:rsidR="00461E17" w:rsidRDefault="002555E4" w:rsidP="00197E8D">
      <w:pPr>
        <w:pStyle w:val="TOC1"/>
        <w:spacing w:beforeLines="40" w:afterLines="40"/>
        <w:rPr>
          <w:rFonts w:eastAsiaTheme="minorEastAsia"/>
          <w:noProof/>
          <w:sz w:val="22"/>
          <w:szCs w:val="22"/>
        </w:rPr>
      </w:pPr>
      <w:hyperlink w:anchor="_Toc437285006" w:history="1">
        <w:r w:rsidR="00461E17" w:rsidRPr="003D65CA">
          <w:rPr>
            <w:rStyle w:val="Hyperlink"/>
            <w:noProof/>
          </w:rPr>
          <w:t>Appendix C: Validation Testing</w:t>
        </w:r>
        <w:r w:rsidR="00461E17">
          <w:rPr>
            <w:noProof/>
            <w:webHidden/>
          </w:rPr>
          <w:tab/>
          <w:t>C-</w:t>
        </w:r>
        <w:r>
          <w:rPr>
            <w:noProof/>
            <w:webHidden/>
          </w:rPr>
          <w:fldChar w:fldCharType="begin"/>
        </w:r>
        <w:r w:rsidR="00461E17">
          <w:rPr>
            <w:noProof/>
            <w:webHidden/>
          </w:rPr>
          <w:instrText xml:space="preserve"> PAGEREF _Toc437285006 \h </w:instrText>
        </w:r>
        <w:r>
          <w:rPr>
            <w:noProof/>
            <w:webHidden/>
          </w:rPr>
        </w:r>
        <w:r>
          <w:rPr>
            <w:noProof/>
            <w:webHidden/>
          </w:rPr>
          <w:fldChar w:fldCharType="separate"/>
        </w:r>
        <w:r w:rsidR="00026FAD">
          <w:rPr>
            <w:noProof/>
            <w:webHidden/>
          </w:rPr>
          <w:t>1</w:t>
        </w:r>
        <w:r>
          <w:rPr>
            <w:noProof/>
            <w:webHidden/>
          </w:rPr>
          <w:fldChar w:fldCharType="end"/>
        </w:r>
      </w:hyperlink>
    </w:p>
    <w:p w:rsidR="00DD64A0" w:rsidRDefault="002555E4" w:rsidP="00197E8D">
      <w:pPr>
        <w:spacing w:beforeLines="40" w:afterLines="40"/>
      </w:pPr>
      <w:r>
        <w:fldChar w:fldCharType="end"/>
      </w:r>
    </w:p>
    <w:p w:rsidR="00DD64A0" w:rsidRDefault="00DD64A0" w:rsidP="00DD64A0"/>
    <w:p w:rsidR="00DD64A0" w:rsidRDefault="00DD64A0" w:rsidP="00DD64A0">
      <w:pPr>
        <w:sectPr w:rsidR="00DD64A0" w:rsidSect="00787A89">
          <w:headerReference w:type="first" r:id="rId18"/>
          <w:footerReference w:type="first" r:id="rId19"/>
          <w:pgSz w:w="12240" w:h="15840"/>
          <w:pgMar w:top="1440" w:right="1440" w:bottom="1440" w:left="1440" w:header="720" w:footer="720" w:gutter="0"/>
          <w:pgNumType w:fmt="lowerRoman"/>
          <w:cols w:space="720"/>
          <w:docGrid w:linePitch="360"/>
        </w:sectPr>
      </w:pPr>
    </w:p>
    <w:p w:rsidR="00C157EC" w:rsidRPr="00336754" w:rsidRDefault="00C157EC" w:rsidP="00C157EC">
      <w:pPr>
        <w:pStyle w:val="Heading2"/>
      </w:pPr>
      <w:bookmarkStart w:id="0" w:name="_Toc436724271"/>
      <w:bookmarkStart w:id="1" w:name="_Toc437284975"/>
      <w:r w:rsidRPr="00336754">
        <w:t>Executive Summary</w:t>
      </w:r>
      <w:bookmarkEnd w:id="0"/>
      <w:bookmarkEnd w:id="1"/>
    </w:p>
    <w:p w:rsidR="00C157EC" w:rsidRDefault="00C157EC" w:rsidP="00C157EC">
      <w:pPr>
        <w:pStyle w:val="BodyText"/>
      </w:pPr>
      <w:r>
        <w:t xml:space="preserve">Although historically less attention has been paid to the </w:t>
      </w:r>
      <w:r w:rsidRPr="00F57F68">
        <w:t xml:space="preserve">study </w:t>
      </w:r>
      <w:r>
        <w:t>of educator</w:t>
      </w:r>
      <w:r w:rsidRPr="00F57F68">
        <w:t xml:space="preserve"> quantity</w:t>
      </w:r>
      <w:r>
        <w:t>, in recent years growing concerns about teacher shortages have motivated state policymakers to turn their attention to the supply and demand of teachers (</w:t>
      </w:r>
      <w:proofErr w:type="spellStart"/>
      <w:r>
        <w:t>Motoko</w:t>
      </w:r>
      <w:proofErr w:type="spellEnd"/>
      <w:r>
        <w:t>, 2015)</w:t>
      </w:r>
      <w:r w:rsidRPr="00F57F68">
        <w:t xml:space="preserve">. </w:t>
      </w:r>
      <w:r>
        <w:t>However, t</w:t>
      </w:r>
      <w:r w:rsidRPr="00F57F68">
        <w:t xml:space="preserve">o the extent that states report </w:t>
      </w:r>
      <w:r>
        <w:t xml:space="preserve">on </w:t>
      </w:r>
      <w:r w:rsidRPr="00F57F68">
        <w:t xml:space="preserve">teacher supply and demand, the approaches </w:t>
      </w:r>
      <w:r>
        <w:t xml:space="preserve">have </w:t>
      </w:r>
      <w:r w:rsidRPr="00F57F68">
        <w:t>var</w:t>
      </w:r>
      <w:r>
        <w:t>ied</w:t>
      </w:r>
      <w:r w:rsidRPr="00F57F68">
        <w:t xml:space="preserve"> considerably (Lindsay, Wan, &amp; </w:t>
      </w:r>
      <w:proofErr w:type="spellStart"/>
      <w:r w:rsidRPr="00F57F68">
        <w:t>Gossin</w:t>
      </w:r>
      <w:proofErr w:type="spellEnd"/>
      <w:r w:rsidRPr="00F57F68">
        <w:t>-Wilson,</w:t>
      </w:r>
      <w:r>
        <w:t xml:space="preserve"> </w:t>
      </w:r>
      <w:r w:rsidRPr="00F57F68">
        <w:t>2009). Conducting studies</w:t>
      </w:r>
      <w:r>
        <w:t xml:space="preserve"> of teacher supply and demand</w:t>
      </w:r>
      <w:r w:rsidRPr="00F57F68">
        <w:t xml:space="preserve"> is complicated by the fact that the available indicators of teacher supply, demand, shortage, and surplus are complex and often paint a</w:t>
      </w:r>
      <w:r>
        <w:t>n</w:t>
      </w:r>
      <w:r w:rsidRPr="00F57F68">
        <w:t xml:space="preserve"> </w:t>
      </w:r>
      <w:r>
        <w:t xml:space="preserve">ambiguous </w:t>
      </w:r>
      <w:r w:rsidRPr="00F57F68">
        <w:t>picture of whether and where problems exist, which can create more confusion than clarity for state leaders addressing the issue (</w:t>
      </w:r>
      <w:proofErr w:type="spellStart"/>
      <w:r w:rsidRPr="00F57F68">
        <w:t>Behrstock</w:t>
      </w:r>
      <w:proofErr w:type="spellEnd"/>
      <w:r w:rsidRPr="00F57F68">
        <w:t>, 2009</w:t>
      </w:r>
      <w:r>
        <w:t xml:space="preserve">; Berg-Jacobson &amp; Levin, 2015; Cowan, </w:t>
      </w:r>
      <w:proofErr w:type="spellStart"/>
      <w:r w:rsidRPr="0044505A">
        <w:t>Goldhaber</w:t>
      </w:r>
      <w:proofErr w:type="spellEnd"/>
      <w:r w:rsidRPr="0044505A">
        <w:t xml:space="preserve">, </w:t>
      </w:r>
      <w:r w:rsidRPr="0008350C">
        <w:t xml:space="preserve">Hayes, </w:t>
      </w:r>
      <w:r>
        <w:t xml:space="preserve">&amp; </w:t>
      </w:r>
      <w:proofErr w:type="spellStart"/>
      <w:r>
        <w:t>Theobald</w:t>
      </w:r>
      <w:proofErr w:type="spellEnd"/>
      <w:r>
        <w:t>, 2015</w:t>
      </w:r>
      <w:r w:rsidRPr="00F57F68">
        <w:t>).</w:t>
      </w:r>
      <w:r>
        <w:t xml:space="preserve"> Gaining </w:t>
      </w:r>
      <w:r w:rsidRPr="00F57F68">
        <w:t xml:space="preserve">a clear </w:t>
      </w:r>
      <w:r>
        <w:t xml:space="preserve">understanding </w:t>
      </w:r>
      <w:r w:rsidRPr="00F57F68">
        <w:t xml:space="preserve">of </w:t>
      </w:r>
      <w:r>
        <w:t>teacher</w:t>
      </w:r>
      <w:r w:rsidRPr="00F57F68">
        <w:t xml:space="preserve"> supply and demand </w:t>
      </w:r>
      <w:r>
        <w:t xml:space="preserve">in </w:t>
      </w:r>
      <w:r w:rsidRPr="00F57F68">
        <w:t xml:space="preserve">Massachusetts is especially important. </w:t>
      </w:r>
      <w:r>
        <w:t>D</w:t>
      </w:r>
      <w:r w:rsidRPr="00F57F68">
        <w:t xml:space="preserve">espite a recent increase in the number of </w:t>
      </w:r>
      <w:r>
        <w:t>individual</w:t>
      </w:r>
      <w:r w:rsidRPr="00F57F68">
        <w:t>s completing teacher preparation programs in fields</w:t>
      </w:r>
      <w:r>
        <w:t xml:space="preserve"> exhibiting </w:t>
      </w:r>
      <w:r w:rsidRPr="00F57F68">
        <w:t>shortage</w:t>
      </w:r>
      <w:r>
        <w:t>s (i.e., special education)</w:t>
      </w:r>
      <w:r w:rsidRPr="00F57F68">
        <w:t>, there is sti</w:t>
      </w:r>
      <w:r>
        <w:t xml:space="preserve">ll unmet demand in these areas </w:t>
      </w:r>
      <w:r w:rsidRPr="00F57F68">
        <w:t>(ESE</w:t>
      </w:r>
      <w:r>
        <w:t>,</w:t>
      </w:r>
      <w:r w:rsidRPr="00F57F68">
        <w:t xml:space="preserve"> 2013). </w:t>
      </w:r>
      <w:r>
        <w:t>Moreover</w:t>
      </w:r>
      <w:r w:rsidRPr="00F57F68">
        <w:t>, the demogra</w:t>
      </w:r>
      <w:r>
        <w:t>phics of the teacher workforce</w:t>
      </w:r>
      <w:r w:rsidRPr="00F57F68">
        <w:t xml:space="preserve"> </w:t>
      </w:r>
      <w:r>
        <w:t>do</w:t>
      </w:r>
      <w:r w:rsidRPr="00F57F68">
        <w:t xml:space="preserve"> not reflect the population of students served</w:t>
      </w:r>
      <w:r>
        <w:t xml:space="preserve">, with </w:t>
      </w:r>
      <w:r w:rsidRPr="00F57F68">
        <w:t>minority teachers consistently underrepresented (ESE</w:t>
      </w:r>
      <w:r>
        <w:t xml:space="preserve">, </w:t>
      </w:r>
      <w:r w:rsidRPr="00F57F68">
        <w:t>2011, 2013</w:t>
      </w:r>
      <w:r>
        <w:t xml:space="preserve">; </w:t>
      </w:r>
      <w:r w:rsidRPr="00F57F68">
        <w:t>Owen</w:t>
      </w:r>
      <w:r>
        <w:t xml:space="preserve">, </w:t>
      </w:r>
      <w:r w:rsidRPr="00F57F68">
        <w:t>2010).</w:t>
      </w:r>
    </w:p>
    <w:p w:rsidR="00C157EC" w:rsidRDefault="00C157EC" w:rsidP="00C157EC">
      <w:pPr>
        <w:pStyle w:val="BodyText"/>
      </w:pPr>
      <w:r w:rsidRPr="00E773D3">
        <w:t>In April 2015</w:t>
      </w:r>
      <w:r w:rsidRPr="00336754">
        <w:t xml:space="preserve">, the Massachusetts Department of Elementary and Secondary Education (ESE) commissioned American Institutes for Research (AIR) </w:t>
      </w:r>
      <w:r>
        <w:t>to develop</w:t>
      </w:r>
      <w:r w:rsidRPr="00336754">
        <w:t xml:space="preserve"> a </w:t>
      </w:r>
      <w:r>
        <w:t>comprehensive set</w:t>
      </w:r>
      <w:r w:rsidRPr="00336754">
        <w:t xml:space="preserve"> of</w:t>
      </w:r>
      <w:r>
        <w:t xml:space="preserve"> 10-year projections of</w:t>
      </w:r>
      <w:r w:rsidRPr="00336754">
        <w:t xml:space="preserve"> </w:t>
      </w:r>
      <w:r>
        <w:t>teacher</w:t>
      </w:r>
      <w:r w:rsidRPr="00336754">
        <w:t xml:space="preserve"> supply and demand in order to inform plan</w:t>
      </w:r>
      <w:r>
        <w:t>ning for future workforce needs. This included state-level projections both in the aggregate, as well as for a variety of disaggregated categories, including assigned program area, teacher race and age, and geographic areas across the state. AIR collaborated with representatives from</w:t>
      </w:r>
      <w:r w:rsidRPr="00336754">
        <w:t xml:space="preserve"> ESE’s Office of Planning and Research </w:t>
      </w:r>
      <w:r>
        <w:t>as well as the</w:t>
      </w:r>
      <w:r w:rsidRPr="00336754">
        <w:t xml:space="preserve"> Center for Educator Effectiveness</w:t>
      </w:r>
      <w:r>
        <w:t xml:space="preserve"> to develop research questions that target the needs of </w:t>
      </w:r>
      <w:r w:rsidRPr="003F2731">
        <w:t xml:space="preserve">policymakers and </w:t>
      </w:r>
      <w:r>
        <w:t>teacher-</w:t>
      </w:r>
      <w:r w:rsidRPr="003F2731">
        <w:t>preparation programs</w:t>
      </w:r>
      <w:r>
        <w:t>.</w:t>
      </w:r>
    </w:p>
    <w:p w:rsidR="00C157EC" w:rsidRDefault="00C157EC" w:rsidP="00C157EC">
      <w:pPr>
        <w:pStyle w:val="BodyText"/>
      </w:pPr>
      <w:r>
        <w:t>The study examined the following:</w:t>
      </w:r>
    </w:p>
    <w:p w:rsidR="00C157EC" w:rsidRDefault="00C157EC" w:rsidP="00C157EC">
      <w:pPr>
        <w:pStyle w:val="Bullet1"/>
      </w:pPr>
      <w:r>
        <w:t>Aggregate</w:t>
      </w:r>
      <w:r w:rsidRPr="00AF5D2A">
        <w:t xml:space="preserve"> </w:t>
      </w:r>
      <w:r>
        <w:t>p</w:t>
      </w:r>
      <w:r w:rsidRPr="00AF5D2A">
        <w:t xml:space="preserve">rojections of </w:t>
      </w:r>
      <w:r>
        <w:t>a</w:t>
      </w:r>
      <w:r w:rsidRPr="00AF5D2A">
        <w:t xml:space="preserve">nnual </w:t>
      </w:r>
      <w:r>
        <w:t>d</w:t>
      </w:r>
      <w:r w:rsidRPr="00AF5D2A">
        <w:t>emand</w:t>
      </w:r>
    </w:p>
    <w:p w:rsidR="00C157EC" w:rsidRDefault="00C157EC" w:rsidP="00C157EC">
      <w:pPr>
        <w:pStyle w:val="Bullet1"/>
      </w:pPr>
      <w:r>
        <w:t>Aggregate</w:t>
      </w:r>
      <w:r w:rsidRPr="00AF5D2A">
        <w:t xml:space="preserve"> </w:t>
      </w:r>
      <w:r>
        <w:t>p</w:t>
      </w:r>
      <w:r w:rsidRPr="00AF5D2A">
        <w:t xml:space="preserve">rojections of </w:t>
      </w:r>
      <w:r>
        <w:t>annual supply</w:t>
      </w:r>
    </w:p>
    <w:p w:rsidR="00C157EC" w:rsidRDefault="00C157EC" w:rsidP="00C157EC">
      <w:pPr>
        <w:pStyle w:val="Bullet1"/>
      </w:pPr>
      <w:r>
        <w:t>Detailed supply and demand projections by program area</w:t>
      </w:r>
    </w:p>
    <w:p w:rsidR="00C157EC" w:rsidRDefault="00C157EC" w:rsidP="00C157EC">
      <w:pPr>
        <w:pStyle w:val="Bullet1"/>
      </w:pPr>
      <w:r>
        <w:t>Detailed supply and demand projections by teacher demographic groups</w:t>
      </w:r>
    </w:p>
    <w:p w:rsidR="00C157EC" w:rsidRDefault="00C157EC" w:rsidP="00C157EC">
      <w:pPr>
        <w:pStyle w:val="Bullet1"/>
      </w:pPr>
      <w:r>
        <w:t>Detailed supply and demand projections by region</w:t>
      </w:r>
    </w:p>
    <w:p w:rsidR="00C157EC" w:rsidRPr="00336754" w:rsidRDefault="00C157EC" w:rsidP="00C157EC">
      <w:pPr>
        <w:pStyle w:val="BodyText"/>
      </w:pPr>
      <w:r w:rsidRPr="003F2731">
        <w:t>The result</w:t>
      </w:r>
      <w:r>
        <w:t xml:space="preserve">s of these analyses, including supporting </w:t>
      </w:r>
      <w:r w:rsidRPr="003F2731">
        <w:t xml:space="preserve">tables and </w:t>
      </w:r>
      <w:r w:rsidR="00AD2BBD">
        <w:t>figures</w:t>
      </w:r>
      <w:r>
        <w:t xml:space="preserve">, </w:t>
      </w:r>
      <w:r w:rsidRPr="003F2731">
        <w:t>are contained within this report.</w:t>
      </w:r>
      <w:r w:rsidRPr="00785B6A">
        <w:t xml:space="preserve"> </w:t>
      </w:r>
      <w:r w:rsidRPr="003F2731">
        <w:t xml:space="preserve">In addition, </w:t>
      </w:r>
      <w:r>
        <w:t xml:space="preserve">the results of </w:t>
      </w:r>
      <w:r w:rsidRPr="003F2731">
        <w:t>each analysis</w:t>
      </w:r>
      <w:r>
        <w:t xml:space="preserve"> are tied to relevant policy implications.</w:t>
      </w:r>
    </w:p>
    <w:p w:rsidR="00C157EC" w:rsidRPr="00336754" w:rsidRDefault="00C157EC" w:rsidP="00C157EC">
      <w:pPr>
        <w:pStyle w:val="Heading3"/>
      </w:pPr>
      <w:bookmarkStart w:id="2" w:name="_Toc435614367"/>
      <w:bookmarkStart w:id="3" w:name="_Toc436724272"/>
      <w:bookmarkStart w:id="4" w:name="_Toc437284976"/>
      <w:r w:rsidRPr="00336754">
        <w:t>Data Sources</w:t>
      </w:r>
      <w:bookmarkEnd w:id="2"/>
      <w:bookmarkEnd w:id="3"/>
      <w:bookmarkEnd w:id="4"/>
    </w:p>
    <w:p w:rsidR="00C157EC" w:rsidRPr="00336754" w:rsidRDefault="00C157EC" w:rsidP="002C5575">
      <w:pPr>
        <w:pStyle w:val="BodyText"/>
      </w:pPr>
      <w:r w:rsidRPr="00336754">
        <w:t xml:space="preserve">The research team at AIR worked closely with ESE to identify and obtain appropriate </w:t>
      </w:r>
      <w:r>
        <w:t xml:space="preserve">extant </w:t>
      </w:r>
      <w:r w:rsidRPr="00336754">
        <w:t>data for the study analyses.</w:t>
      </w:r>
      <w:r w:rsidRPr="00DC2A1D">
        <w:t xml:space="preserve"> </w:t>
      </w:r>
      <w:r>
        <w:t xml:space="preserve">Data were drawn from publicly available </w:t>
      </w:r>
      <w:r w:rsidRPr="00DC2A1D">
        <w:t>databases</w:t>
      </w:r>
      <w:r>
        <w:rPr>
          <w:rStyle w:val="FootnoteReference"/>
        </w:rPr>
        <w:footnoteReference w:id="2"/>
      </w:r>
      <w:r w:rsidRPr="00DC2A1D">
        <w:t>, including the following:</w:t>
      </w:r>
    </w:p>
    <w:p w:rsidR="00C157EC" w:rsidRPr="00336754" w:rsidRDefault="00C157EC" w:rsidP="002C5575">
      <w:pPr>
        <w:pStyle w:val="Bullet1"/>
      </w:pPr>
      <w:r w:rsidRPr="003A0DD7">
        <w:rPr>
          <w:b/>
        </w:rPr>
        <w:t>School and District Profiles</w:t>
      </w:r>
      <w:r w:rsidRPr="0044505A">
        <w:t>.</w:t>
      </w:r>
      <w:r w:rsidRPr="00424D69">
        <w:t xml:space="preserve"> </w:t>
      </w:r>
      <w:r w:rsidRPr="007E43DF">
        <w:t>These online profiles include aggregate school- and district-level data on a number of different elements, including student enrollment, college enrollment</w:t>
      </w:r>
      <w:r>
        <w:t xml:space="preserve"> and program completion</w:t>
      </w:r>
      <w:r w:rsidRPr="007E43DF">
        <w:t xml:space="preserve">, </w:t>
      </w:r>
      <w:r>
        <w:t>teacher and student characteristics, and teacher retention</w:t>
      </w:r>
      <w:r w:rsidRPr="007E43DF">
        <w:t xml:space="preserve">. To complete the project analyses, </w:t>
      </w:r>
      <w:r>
        <w:t>the research team</w:t>
      </w:r>
      <w:r w:rsidRPr="007E43DF">
        <w:t xml:space="preserve"> </w:t>
      </w:r>
      <w:r>
        <w:t>used the</w:t>
      </w:r>
      <w:r w:rsidRPr="007E43DF">
        <w:t xml:space="preserve"> data on which these reports are based.</w:t>
      </w:r>
      <w:r>
        <w:rPr>
          <w:rStyle w:val="FootnoteReference"/>
        </w:rPr>
        <w:footnoteReference w:id="3"/>
      </w:r>
    </w:p>
    <w:p w:rsidR="00C157EC" w:rsidRPr="00D37382" w:rsidRDefault="00C157EC" w:rsidP="002C5575">
      <w:pPr>
        <w:pStyle w:val="Bullet1"/>
      </w:pPr>
      <w:r w:rsidRPr="00795207">
        <w:rPr>
          <w:b/>
        </w:rPr>
        <w:t>2014 Lists of Massachusetts Schools and Districts by Accountability and Assistance Level</w:t>
      </w:r>
      <w:r w:rsidRPr="00B34E0D">
        <w:t xml:space="preserve">. </w:t>
      </w:r>
      <w:r>
        <w:t>This dataset contains a list of school districts linked to the regional District and School Assistance Centers (</w:t>
      </w:r>
      <w:r w:rsidRPr="00D37382">
        <w:t>DSAC</w:t>
      </w:r>
      <w:r>
        <w:t>)</w:t>
      </w:r>
      <w:r w:rsidRPr="00D37382">
        <w:t xml:space="preserve"> </w:t>
      </w:r>
      <w:r>
        <w:t>that serve these districts.</w:t>
      </w:r>
    </w:p>
    <w:p w:rsidR="00C157EC" w:rsidRDefault="00C157EC" w:rsidP="002C5575">
      <w:pPr>
        <w:pStyle w:val="Bullet1"/>
      </w:pPr>
      <w:r w:rsidRPr="00795207">
        <w:rPr>
          <w:b/>
        </w:rPr>
        <w:t>Center for Disease Control (CDC) Wide-Ranging Online Data for Epidemiologic Research (WONDER)</w:t>
      </w:r>
      <w:r w:rsidRPr="0044505A">
        <w:t>.</w:t>
      </w:r>
      <w:r w:rsidRPr="00B34E0D">
        <w:t xml:space="preserve"> </w:t>
      </w:r>
      <w:r w:rsidRPr="00D37382">
        <w:t xml:space="preserve">This online database includes the birth counts in Massachusetts by county for </w:t>
      </w:r>
      <w:r>
        <w:t xml:space="preserve">the </w:t>
      </w:r>
      <w:r w:rsidRPr="00D37382">
        <w:t>years 2002</w:t>
      </w:r>
      <w:r>
        <w:t xml:space="preserve"> through </w:t>
      </w:r>
      <w:r w:rsidRPr="00D37382">
        <w:t>2013, and the county fertility rate in 2013.</w:t>
      </w:r>
    </w:p>
    <w:p w:rsidR="00C157EC" w:rsidRDefault="00C157EC" w:rsidP="002C5575">
      <w:pPr>
        <w:pStyle w:val="Bullet1"/>
      </w:pPr>
      <w:r w:rsidRPr="003A0DD7">
        <w:rPr>
          <w:b/>
        </w:rPr>
        <w:t>U</w:t>
      </w:r>
      <w:r>
        <w:rPr>
          <w:b/>
        </w:rPr>
        <w:t>.</w:t>
      </w:r>
      <w:r w:rsidRPr="003A0DD7">
        <w:rPr>
          <w:b/>
        </w:rPr>
        <w:t>S</w:t>
      </w:r>
      <w:r>
        <w:rPr>
          <w:b/>
        </w:rPr>
        <w:t>.</w:t>
      </w:r>
      <w:r w:rsidRPr="003A0DD7">
        <w:rPr>
          <w:b/>
        </w:rPr>
        <w:t xml:space="preserve"> Census Population Data</w:t>
      </w:r>
      <w:r w:rsidRPr="0044505A">
        <w:t>.</w:t>
      </w:r>
      <w:r w:rsidRPr="00B34E0D">
        <w:t xml:space="preserve"> </w:t>
      </w:r>
      <w:r w:rsidRPr="00D37382">
        <w:t>Th</w:t>
      </w:r>
      <w:r>
        <w:t>e</w:t>
      </w:r>
      <w:r w:rsidRPr="00D37382">
        <w:t xml:space="preserve"> </w:t>
      </w:r>
      <w:r>
        <w:t xml:space="preserve">U.S. Census Bureau’s </w:t>
      </w:r>
      <w:r w:rsidRPr="0044505A">
        <w:rPr>
          <w:i/>
        </w:rPr>
        <w:t xml:space="preserve">Annual County Resident Population Estimates </w:t>
      </w:r>
      <w:r w:rsidRPr="00D37382">
        <w:t xml:space="preserve">report </w:t>
      </w:r>
      <w:r>
        <w:t>contains</w:t>
      </w:r>
      <w:r w:rsidRPr="00D37382">
        <w:t xml:space="preserve"> data </w:t>
      </w:r>
      <w:r>
        <w:t>on the population of females by county and age level. For this study, estimates for counties in Massachusetts were obtained for A</w:t>
      </w:r>
      <w:r w:rsidRPr="00D37382">
        <w:t>pril 2010 through July 2014</w:t>
      </w:r>
      <w:r>
        <w:t>.</w:t>
      </w:r>
    </w:p>
    <w:p w:rsidR="00C157EC" w:rsidRPr="00336754" w:rsidRDefault="00C157EC" w:rsidP="002C5575">
      <w:pPr>
        <w:pStyle w:val="Bullet1"/>
      </w:pPr>
      <w:r w:rsidRPr="003A0DD7">
        <w:rPr>
          <w:b/>
        </w:rPr>
        <w:t>N</w:t>
      </w:r>
      <w:r>
        <w:rPr>
          <w:b/>
        </w:rPr>
        <w:t>ational Center for Education Statistics (</w:t>
      </w:r>
      <w:r w:rsidRPr="003A0DD7">
        <w:rPr>
          <w:b/>
        </w:rPr>
        <w:t>NCES</w:t>
      </w:r>
      <w:r>
        <w:rPr>
          <w:b/>
        </w:rPr>
        <w:t>)</w:t>
      </w:r>
      <w:r w:rsidRPr="003A0DD7">
        <w:rPr>
          <w:b/>
        </w:rPr>
        <w:t xml:space="preserve"> Common Core of Data</w:t>
      </w:r>
      <w:r w:rsidRPr="0044505A">
        <w:t>.</w:t>
      </w:r>
      <w:r w:rsidRPr="00B34E0D">
        <w:t xml:space="preserve"> </w:t>
      </w:r>
      <w:r>
        <w:t>Collected annually by NCES, this resource contains fiscal and non</w:t>
      </w:r>
      <w:r w:rsidR="006D0253">
        <w:t>-</w:t>
      </w:r>
      <w:r>
        <w:t>fiscal data on U.S. public schools. This information is obtained through administrative data that state education agencies maintain and NCES reports at both the school and district levels. For this study, the AIR research team used data on the district-level locale codes and the latitude and longitude of district offices.</w:t>
      </w:r>
    </w:p>
    <w:p w:rsidR="00C157EC" w:rsidRDefault="00C157EC" w:rsidP="002C5575">
      <w:pPr>
        <w:pStyle w:val="Bullet1"/>
      </w:pPr>
      <w:r>
        <w:rPr>
          <w:b/>
        </w:rPr>
        <w:t>NCE</w:t>
      </w:r>
      <w:r w:rsidRPr="003A0DD7">
        <w:rPr>
          <w:b/>
        </w:rPr>
        <w:t>S Comparable Wage Index (CWI)</w:t>
      </w:r>
      <w:r w:rsidRPr="0044505A">
        <w:t>.</w:t>
      </w:r>
      <w:r w:rsidRPr="00B34E0D">
        <w:t xml:space="preserve"> </w:t>
      </w:r>
      <w:r w:rsidRPr="007E43DF">
        <w:t xml:space="preserve">The CWI </w:t>
      </w:r>
      <w:r>
        <w:t xml:space="preserve">is an indicator of the cost of teacher labor for a given geographic area, known as a labor market, relative to other labor markets. Areas with higher labor costs are expected to have to pay higher salaries to attract and retain teachers. </w:t>
      </w:r>
    </w:p>
    <w:p w:rsidR="00C157EC" w:rsidRPr="00336754" w:rsidRDefault="00C157EC" w:rsidP="00C157EC">
      <w:pPr>
        <w:pStyle w:val="Heading3"/>
      </w:pPr>
      <w:bookmarkStart w:id="5" w:name="_Toc435614368"/>
      <w:bookmarkStart w:id="6" w:name="_Toc436724273"/>
      <w:bookmarkStart w:id="7" w:name="_Toc437284977"/>
      <w:r w:rsidRPr="00336754">
        <w:t>Research Questions</w:t>
      </w:r>
      <w:bookmarkEnd w:id="5"/>
      <w:bookmarkEnd w:id="6"/>
      <w:bookmarkEnd w:id="7"/>
    </w:p>
    <w:p w:rsidR="00C157EC" w:rsidRDefault="00C157EC" w:rsidP="002C5575">
      <w:pPr>
        <w:pStyle w:val="BodyText"/>
      </w:pPr>
      <w:r>
        <w:t>This study was motivated by a number of research questions that were developed jointly by AIR’s research team and ESE. The questions ask about the supply and demand for teachers, both generally and disaggregated by key groupings. The questions were:</w:t>
      </w:r>
    </w:p>
    <w:p w:rsidR="00C157EC" w:rsidRPr="00336754" w:rsidRDefault="00C157EC" w:rsidP="002C5575">
      <w:pPr>
        <w:pStyle w:val="NumberedList"/>
      </w:pPr>
      <w:r w:rsidRPr="00336754">
        <w:t xml:space="preserve">What is the projected annual demand for </w:t>
      </w:r>
      <w:r>
        <w:t xml:space="preserve">teachers </w:t>
      </w:r>
      <w:r w:rsidRPr="00336754">
        <w:t xml:space="preserve">in Massachusetts </w:t>
      </w:r>
      <w:r w:rsidR="00427B26">
        <w:t xml:space="preserve">over </w:t>
      </w:r>
      <w:r w:rsidRPr="00336754">
        <w:t>the next 10 years based on pupil–teacher ratios and projections of student enrollment?</w:t>
      </w:r>
    </w:p>
    <w:p w:rsidR="00C157EC" w:rsidRPr="00336754" w:rsidRDefault="00C157EC" w:rsidP="002C5575">
      <w:pPr>
        <w:pStyle w:val="NumberedList"/>
      </w:pPr>
      <w:r w:rsidRPr="00336754">
        <w:t xml:space="preserve">What is the projected annual supply </w:t>
      </w:r>
      <w:r>
        <w:t xml:space="preserve">of teachers </w:t>
      </w:r>
      <w:r w:rsidRPr="00336754">
        <w:t xml:space="preserve">in Massachusetts </w:t>
      </w:r>
      <w:r w:rsidR="00C242F0">
        <w:t xml:space="preserve">over </w:t>
      </w:r>
      <w:r w:rsidRPr="00336754">
        <w:t>the next 10 years</w:t>
      </w:r>
      <w:r>
        <w:t>, and what is the composition of these projections when broken out by components of supply that include</w:t>
      </w:r>
      <w:r w:rsidRPr="00336754">
        <w:t xml:space="preserve"> retained </w:t>
      </w:r>
      <w:r>
        <w:t>teacher</w:t>
      </w:r>
      <w:r w:rsidRPr="00336754">
        <w:t>s</w:t>
      </w:r>
      <w:r>
        <w:t>,</w:t>
      </w:r>
      <w:r w:rsidRPr="00336754">
        <w:t xml:space="preserve"> new entrants</w:t>
      </w:r>
      <w:r>
        <w:t>, and those transferring in and out of districts</w:t>
      </w:r>
      <w:r w:rsidRPr="00336754">
        <w:t>?</w:t>
      </w:r>
    </w:p>
    <w:p w:rsidR="00C157EC" w:rsidRPr="00336754" w:rsidRDefault="00C157EC" w:rsidP="002C5575">
      <w:pPr>
        <w:pStyle w:val="NumberedList"/>
      </w:pPr>
      <w:r w:rsidRPr="00336754">
        <w:t xml:space="preserve">What are the projections for the annual supply and demand of </w:t>
      </w:r>
      <w:r>
        <w:t>teachers</w:t>
      </w:r>
      <w:r w:rsidRPr="00336754">
        <w:t xml:space="preserve"> in Massachusetts for the next 10 years by </w:t>
      </w:r>
      <w:r>
        <w:t>program</w:t>
      </w:r>
      <w:r w:rsidRPr="00336754">
        <w:t xml:space="preserve"> area?</w:t>
      </w:r>
    </w:p>
    <w:p w:rsidR="00C157EC" w:rsidRPr="00336754" w:rsidRDefault="00C157EC" w:rsidP="002C5575">
      <w:pPr>
        <w:pStyle w:val="NumberedList"/>
      </w:pPr>
      <w:r w:rsidRPr="00336754">
        <w:t xml:space="preserve">What are the </w:t>
      </w:r>
      <w:r>
        <w:t xml:space="preserve">supply and demand </w:t>
      </w:r>
      <w:r w:rsidRPr="00336754">
        <w:t xml:space="preserve">projections of </w:t>
      </w:r>
      <w:r>
        <w:t xml:space="preserve">teachers </w:t>
      </w:r>
      <w:r w:rsidRPr="00336754">
        <w:t>in Massachusetts for the next 10 years by demographic group?</w:t>
      </w:r>
    </w:p>
    <w:p w:rsidR="00C157EC" w:rsidRPr="00336754" w:rsidRDefault="00C157EC" w:rsidP="002C5575">
      <w:pPr>
        <w:pStyle w:val="NumberedList"/>
        <w:numPr>
          <w:ilvl w:val="1"/>
          <w:numId w:val="8"/>
        </w:numPr>
      </w:pPr>
      <w:r w:rsidRPr="00336754">
        <w:t xml:space="preserve">What are the </w:t>
      </w:r>
      <w:r>
        <w:t xml:space="preserve">supply and demand </w:t>
      </w:r>
      <w:r w:rsidRPr="00336754">
        <w:t xml:space="preserve">projections of </w:t>
      </w:r>
      <w:r>
        <w:t xml:space="preserve">teachers </w:t>
      </w:r>
      <w:r w:rsidRPr="00336754">
        <w:t>by race/ethnicity?</w:t>
      </w:r>
    </w:p>
    <w:p w:rsidR="00C157EC" w:rsidRPr="00336754" w:rsidRDefault="00C157EC" w:rsidP="002C5575">
      <w:pPr>
        <w:pStyle w:val="NumberedList"/>
        <w:numPr>
          <w:ilvl w:val="1"/>
          <w:numId w:val="8"/>
        </w:numPr>
      </w:pPr>
      <w:r w:rsidRPr="00336754">
        <w:t xml:space="preserve">What are the </w:t>
      </w:r>
      <w:r>
        <w:t xml:space="preserve">supply and demand </w:t>
      </w:r>
      <w:r w:rsidRPr="00336754">
        <w:t xml:space="preserve">projections of </w:t>
      </w:r>
      <w:r>
        <w:t xml:space="preserve">teachers </w:t>
      </w:r>
      <w:r w:rsidRPr="00336754">
        <w:t>by age?</w:t>
      </w:r>
    </w:p>
    <w:p w:rsidR="00C157EC" w:rsidRPr="00336754" w:rsidRDefault="00C157EC" w:rsidP="002C5575">
      <w:pPr>
        <w:pStyle w:val="NumberedList"/>
      </w:pPr>
      <w:r w:rsidRPr="00336754">
        <w:t xml:space="preserve">What are the </w:t>
      </w:r>
      <w:r>
        <w:t xml:space="preserve">supply and demand </w:t>
      </w:r>
      <w:r w:rsidRPr="00336754">
        <w:t xml:space="preserve">projections of </w:t>
      </w:r>
      <w:r>
        <w:t xml:space="preserve">teachers </w:t>
      </w:r>
      <w:r w:rsidRPr="00336754">
        <w:t xml:space="preserve">in Massachusetts for the next 10 years by </w:t>
      </w:r>
      <w:r>
        <w:t xml:space="preserve">state </w:t>
      </w:r>
      <w:r w:rsidRPr="00336754">
        <w:t xml:space="preserve">region </w:t>
      </w:r>
      <w:r>
        <w:t>and locale</w:t>
      </w:r>
      <w:r w:rsidRPr="00336754">
        <w:t>?</w:t>
      </w:r>
    </w:p>
    <w:p w:rsidR="00C157EC" w:rsidRDefault="00C157EC" w:rsidP="002C5575">
      <w:pPr>
        <w:pStyle w:val="NumberedList"/>
        <w:numPr>
          <w:ilvl w:val="1"/>
          <w:numId w:val="8"/>
        </w:numPr>
      </w:pPr>
      <w:r>
        <w:t>What are the supply and demand projections by DSAC region?</w:t>
      </w:r>
    </w:p>
    <w:p w:rsidR="00C157EC" w:rsidRDefault="00C157EC" w:rsidP="002C5575">
      <w:pPr>
        <w:pStyle w:val="NumberedList"/>
        <w:numPr>
          <w:ilvl w:val="1"/>
          <w:numId w:val="8"/>
        </w:numPr>
      </w:pPr>
      <w:r>
        <w:t>What are the supply and demand projections by NCES locale (i.e., city, suburb, town, and rural)?</w:t>
      </w:r>
    </w:p>
    <w:p w:rsidR="00C157EC" w:rsidRPr="00336754" w:rsidRDefault="00C157EC" w:rsidP="002C5575">
      <w:pPr>
        <w:pStyle w:val="NumberedList"/>
        <w:numPr>
          <w:ilvl w:val="1"/>
          <w:numId w:val="8"/>
        </w:numPr>
      </w:pPr>
      <w:r w:rsidRPr="00336754">
        <w:t xml:space="preserve">What are the </w:t>
      </w:r>
      <w:r>
        <w:t xml:space="preserve">supply and demand </w:t>
      </w:r>
      <w:r w:rsidRPr="00336754">
        <w:t>projections by location of the state’s major educator preparation programs?</w:t>
      </w:r>
    </w:p>
    <w:p w:rsidR="00C157EC" w:rsidRPr="00336754" w:rsidRDefault="00C157EC" w:rsidP="002C5575">
      <w:pPr>
        <w:pStyle w:val="NumberedList"/>
        <w:numPr>
          <w:ilvl w:val="1"/>
          <w:numId w:val="8"/>
        </w:numPr>
      </w:pPr>
      <w:r w:rsidRPr="00336754">
        <w:t xml:space="preserve">What are the </w:t>
      </w:r>
      <w:r>
        <w:t xml:space="preserve">supply and demand </w:t>
      </w:r>
      <w:r w:rsidRPr="00336754">
        <w:t>projections by the state’s largest metropolitan areas?</w:t>
      </w:r>
    </w:p>
    <w:p w:rsidR="00C157EC" w:rsidRPr="00336754" w:rsidRDefault="00C157EC" w:rsidP="00C157EC">
      <w:pPr>
        <w:pStyle w:val="Heading3"/>
      </w:pPr>
      <w:bookmarkStart w:id="8" w:name="_Toc435614369"/>
      <w:bookmarkStart w:id="9" w:name="_Toc436724274"/>
      <w:bookmarkStart w:id="10" w:name="_Toc437284978"/>
      <w:r w:rsidRPr="00336754">
        <w:t>Key Findings</w:t>
      </w:r>
      <w:bookmarkEnd w:id="8"/>
      <w:bookmarkEnd w:id="9"/>
      <w:bookmarkEnd w:id="10"/>
    </w:p>
    <w:p w:rsidR="00C157EC" w:rsidRPr="00F15895" w:rsidRDefault="00C157EC" w:rsidP="002C5575">
      <w:pPr>
        <w:pStyle w:val="Heading4"/>
      </w:pPr>
      <w:r w:rsidRPr="00F15895">
        <w:t>Research Question 1: Statewide Projections of Annual Demand</w:t>
      </w:r>
    </w:p>
    <w:p w:rsidR="00C157EC" w:rsidRPr="0044505A" w:rsidRDefault="00C157EC" w:rsidP="002C5575">
      <w:pPr>
        <w:pStyle w:val="Bullet1"/>
      </w:pPr>
      <w:r>
        <w:t>Student enrollment, and therefore d</w:t>
      </w:r>
      <w:r w:rsidRPr="0044505A">
        <w:t>emand for teachers</w:t>
      </w:r>
      <w:r>
        <w:t>,</w:t>
      </w:r>
      <w:r w:rsidRPr="0044505A">
        <w:t xml:space="preserve"> </w:t>
      </w:r>
      <w:r>
        <w:t>is projected to decrease over the next 10 years by approximately 5</w:t>
      </w:r>
      <w:r w:rsidR="00B73466">
        <w:t>.77</w:t>
      </w:r>
      <w:r>
        <w:t xml:space="preserve"> percent.</w:t>
      </w:r>
    </w:p>
    <w:p w:rsidR="00C157EC" w:rsidRPr="00F15895" w:rsidRDefault="00C157EC" w:rsidP="002C5575">
      <w:pPr>
        <w:pStyle w:val="Heading4"/>
      </w:pPr>
      <w:r w:rsidRPr="00F15895">
        <w:t>Research Question 2: Statewide Projections of Annual Supply</w:t>
      </w:r>
    </w:p>
    <w:p w:rsidR="00C157EC" w:rsidRDefault="00C157EC" w:rsidP="002C5575">
      <w:pPr>
        <w:pStyle w:val="Bullet1"/>
      </w:pPr>
      <w:r w:rsidRPr="0044505A">
        <w:t xml:space="preserve">Annual supply is expected to decline over the next </w:t>
      </w:r>
      <w:r>
        <w:t>10</w:t>
      </w:r>
      <w:r w:rsidRPr="0044505A">
        <w:t xml:space="preserve"> years by a little less than 2</w:t>
      </w:r>
      <w:r>
        <w:t xml:space="preserve"> percent</w:t>
      </w:r>
      <w:r w:rsidRPr="0044505A">
        <w:t>.</w:t>
      </w:r>
    </w:p>
    <w:p w:rsidR="00C157EC" w:rsidRDefault="00C157EC" w:rsidP="002C5575">
      <w:pPr>
        <w:pStyle w:val="Bullet1"/>
      </w:pPr>
      <w:r w:rsidRPr="0044505A">
        <w:t xml:space="preserve">The slower </w:t>
      </w:r>
      <w:r>
        <w:t xml:space="preserve">expected </w:t>
      </w:r>
      <w:r w:rsidRPr="0044505A">
        <w:t xml:space="preserve">rate of decline of supply compared to demand indicates </w:t>
      </w:r>
      <w:r>
        <w:t xml:space="preserve">that in 10 years (by 2023–24) </w:t>
      </w:r>
      <w:r w:rsidRPr="0044505A">
        <w:t xml:space="preserve">there will be a surplus in the supply of teachers compared to the demand </w:t>
      </w:r>
      <w:r>
        <w:t xml:space="preserve">by </w:t>
      </w:r>
      <w:r w:rsidRPr="0044505A">
        <w:t>approximately 4</w:t>
      </w:r>
      <w:r>
        <w:t xml:space="preserve"> percent</w:t>
      </w:r>
      <w:r w:rsidRPr="0044505A">
        <w:t>.</w:t>
      </w:r>
    </w:p>
    <w:p w:rsidR="00C157EC" w:rsidRPr="0044505A" w:rsidRDefault="00C157EC" w:rsidP="002C5575">
      <w:pPr>
        <w:pStyle w:val="Bullet1"/>
      </w:pPr>
      <w:r>
        <w:t>The trend over time in the number of retained teachers largely mirrors the overall trend in supply; meanwhile the number of new entrants has decreased over time, indicating a potential constriction of the teacher pipeline; and the number of teachers transferring—either across districts or into the state from elsewhere—has increased over time.</w:t>
      </w:r>
    </w:p>
    <w:p w:rsidR="00C157EC" w:rsidRPr="00F15895" w:rsidRDefault="00C157EC" w:rsidP="002C5575">
      <w:pPr>
        <w:pStyle w:val="Heading4"/>
      </w:pPr>
      <w:r w:rsidRPr="00F15895">
        <w:t xml:space="preserve">Research Question 3: Detailed </w:t>
      </w:r>
      <w:r>
        <w:t xml:space="preserve">Supply and Demand </w:t>
      </w:r>
      <w:r w:rsidRPr="00F15895">
        <w:t>Projections by</w:t>
      </w:r>
      <w:r w:rsidRPr="00F15895" w:rsidDel="00167F90">
        <w:t xml:space="preserve"> </w:t>
      </w:r>
      <w:r>
        <w:t>Program</w:t>
      </w:r>
      <w:r w:rsidRPr="00F15895">
        <w:t xml:space="preserve"> Area</w:t>
      </w:r>
    </w:p>
    <w:p w:rsidR="00C157EC" w:rsidRPr="0044505A" w:rsidRDefault="00C157EC" w:rsidP="002C5575">
      <w:pPr>
        <w:pStyle w:val="Bullet1"/>
      </w:pPr>
      <w:r w:rsidRPr="0044505A">
        <w:t>Demand for teachers in all four program areas</w:t>
      </w:r>
      <w:r>
        <w:t>—</w:t>
      </w:r>
      <w:r w:rsidRPr="0044505A">
        <w:t>general education (</w:t>
      </w:r>
      <w:proofErr w:type="spellStart"/>
      <w:r w:rsidRPr="0044505A">
        <w:t>GenED</w:t>
      </w:r>
      <w:proofErr w:type="spellEnd"/>
      <w:r w:rsidRPr="0044505A">
        <w:t>), special education (SPED), English language learners (ELL</w:t>
      </w:r>
      <w:r>
        <w:t>s</w:t>
      </w:r>
      <w:r w:rsidRPr="0044505A">
        <w:t>), and career</w:t>
      </w:r>
      <w:r w:rsidR="00276368">
        <w:t>/vocational/</w:t>
      </w:r>
      <w:r w:rsidRPr="0044505A">
        <w:t>technical education (CTE)</w:t>
      </w:r>
      <w:r>
        <w:t>—is</w:t>
      </w:r>
      <w:r w:rsidRPr="0044505A">
        <w:t xml:space="preserve"> expected to decline</w:t>
      </w:r>
      <w:r>
        <w:t>.</w:t>
      </w:r>
      <w:r w:rsidRPr="0044505A">
        <w:t xml:space="preserve"> </w:t>
      </w:r>
      <w:r>
        <w:t>T</w:t>
      </w:r>
      <w:r w:rsidRPr="0044505A">
        <w:t>he decline</w:t>
      </w:r>
      <w:r>
        <w:t>s</w:t>
      </w:r>
      <w:r w:rsidRPr="0044505A">
        <w:t xml:space="preserve"> in demand are most profound for the SPED, ELL, and CTE</w:t>
      </w:r>
      <w:r>
        <w:t>,</w:t>
      </w:r>
      <w:r w:rsidRPr="0044505A">
        <w:t xml:space="preserve"> which are</w:t>
      </w:r>
      <w:r>
        <w:t xml:space="preserve"> each</w:t>
      </w:r>
      <w:r w:rsidRPr="0044505A">
        <w:t xml:space="preserve"> expect</w:t>
      </w:r>
      <w:r>
        <w:t xml:space="preserve">ed to drop </w:t>
      </w:r>
      <w:r w:rsidRPr="0044505A">
        <w:t>by more than 10</w:t>
      </w:r>
      <w:r>
        <w:t xml:space="preserve"> percent</w:t>
      </w:r>
      <w:r w:rsidRPr="0044505A">
        <w:t>.</w:t>
      </w:r>
    </w:p>
    <w:p w:rsidR="00C157EC" w:rsidRPr="0044505A" w:rsidRDefault="00C157EC" w:rsidP="002C5575">
      <w:pPr>
        <w:pStyle w:val="Bullet1"/>
      </w:pPr>
      <w:r w:rsidRPr="0044505A">
        <w:t xml:space="preserve">While </w:t>
      </w:r>
      <w:r>
        <w:t xml:space="preserve">the </w:t>
      </w:r>
      <w:r w:rsidRPr="0044505A">
        <w:t xml:space="preserve">supply of </w:t>
      </w:r>
      <w:proofErr w:type="spellStart"/>
      <w:r w:rsidRPr="0044505A">
        <w:t>GenE</w:t>
      </w:r>
      <w:r w:rsidR="00B73466">
        <w:t>D</w:t>
      </w:r>
      <w:proofErr w:type="spellEnd"/>
      <w:r w:rsidRPr="0044505A">
        <w:t xml:space="preserve"> teachers is expected to increase, leading to a surplus, the supplies of ELL and SPED teachers are expected to decline by more than 20</w:t>
      </w:r>
      <w:r>
        <w:t xml:space="preserve"> percent</w:t>
      </w:r>
      <w:r w:rsidRPr="0044505A">
        <w:t xml:space="preserve">. The decline in supply </w:t>
      </w:r>
      <w:r>
        <w:t xml:space="preserve">for these two categories is expected to </w:t>
      </w:r>
      <w:r w:rsidRPr="0044505A">
        <w:t xml:space="preserve">outpace the </w:t>
      </w:r>
      <w:r>
        <w:t xml:space="preserve">corresponding </w:t>
      </w:r>
      <w:r w:rsidRPr="0044505A">
        <w:t>decline in demand</w:t>
      </w:r>
      <w:r>
        <w:t>,</w:t>
      </w:r>
      <w:r w:rsidRPr="0044505A">
        <w:t xml:space="preserve"> leading to projected shortages of ELL and SPED teachers. The </w:t>
      </w:r>
      <w:r>
        <w:t xml:space="preserve">expected </w:t>
      </w:r>
      <w:r w:rsidRPr="0044505A">
        <w:t xml:space="preserve">decline in </w:t>
      </w:r>
      <w:r>
        <w:t xml:space="preserve">the </w:t>
      </w:r>
      <w:r w:rsidRPr="0044505A">
        <w:t xml:space="preserve">supply of CTE teachers is less than the </w:t>
      </w:r>
      <w:r>
        <w:t xml:space="preserve">corresponding </w:t>
      </w:r>
      <w:r w:rsidRPr="0044505A">
        <w:t>decline in demand</w:t>
      </w:r>
      <w:r>
        <w:t>,</w:t>
      </w:r>
      <w:r w:rsidRPr="0044505A">
        <w:t xml:space="preserve"> leading to a</w:t>
      </w:r>
      <w:r>
        <w:t>n expected</w:t>
      </w:r>
      <w:r w:rsidRPr="0044505A">
        <w:t xml:space="preserve"> surplus for this group.</w:t>
      </w:r>
    </w:p>
    <w:p w:rsidR="00C157EC" w:rsidRPr="00F15895" w:rsidRDefault="00C157EC" w:rsidP="002C5575">
      <w:pPr>
        <w:pStyle w:val="Heading4"/>
      </w:pPr>
      <w:r w:rsidRPr="00F15895">
        <w:t xml:space="preserve">Research Question 4: Detailed </w:t>
      </w:r>
      <w:r>
        <w:t xml:space="preserve">Supply and Demand </w:t>
      </w:r>
      <w:r w:rsidRPr="00F15895">
        <w:t xml:space="preserve">Projections by </w:t>
      </w:r>
      <w:r>
        <w:t>Teacher</w:t>
      </w:r>
      <w:r w:rsidRPr="00F15895">
        <w:t xml:space="preserve"> Demographic Groups</w:t>
      </w:r>
    </w:p>
    <w:p w:rsidR="00C157EC" w:rsidRPr="0044505A" w:rsidRDefault="00C157EC" w:rsidP="002C5575">
      <w:pPr>
        <w:pStyle w:val="Bullet1"/>
      </w:pPr>
      <w:r>
        <w:t>D</w:t>
      </w:r>
      <w:r w:rsidRPr="0044505A">
        <w:t>emand for minority teachers is expected to increase</w:t>
      </w:r>
      <w:r>
        <w:t>,</w:t>
      </w:r>
      <w:r w:rsidRPr="0044505A">
        <w:t xml:space="preserve"> while demand for </w:t>
      </w:r>
      <w:r>
        <w:t>W</w:t>
      </w:r>
      <w:r w:rsidRPr="0044505A">
        <w:t>hite teachers is expected to decrease.</w:t>
      </w:r>
    </w:p>
    <w:p w:rsidR="00C157EC" w:rsidRPr="0044505A" w:rsidRDefault="00C157EC" w:rsidP="002C5575">
      <w:pPr>
        <w:pStyle w:val="Bullet1"/>
      </w:pPr>
      <w:r w:rsidRPr="0044505A">
        <w:t xml:space="preserve">The supply of minority teachers is </w:t>
      </w:r>
      <w:r>
        <w:t xml:space="preserve">not </w:t>
      </w:r>
      <w:r w:rsidRPr="0044505A">
        <w:t xml:space="preserve">expected to change </w:t>
      </w:r>
      <w:r>
        <w:t xml:space="preserve">appreciably </w:t>
      </w:r>
      <w:r w:rsidRPr="0044505A">
        <w:t xml:space="preserve">over time. </w:t>
      </w:r>
      <w:r>
        <w:t xml:space="preserve">Given an expected </w:t>
      </w:r>
      <w:r w:rsidRPr="0044505A">
        <w:t>increas</w:t>
      </w:r>
      <w:r>
        <w:t>e</w:t>
      </w:r>
      <w:r w:rsidRPr="0044505A">
        <w:t xml:space="preserve"> </w:t>
      </w:r>
      <w:r>
        <w:t xml:space="preserve">in </w:t>
      </w:r>
      <w:r w:rsidRPr="0044505A">
        <w:t xml:space="preserve">demand and unchanging supply, there is expected to be a shortage of minority teachers. </w:t>
      </w:r>
      <w:r>
        <w:t>In contrast, t</w:t>
      </w:r>
      <w:r w:rsidRPr="0044505A">
        <w:t xml:space="preserve">he supply of </w:t>
      </w:r>
      <w:r>
        <w:t>W</w:t>
      </w:r>
      <w:r w:rsidRPr="0044505A">
        <w:t xml:space="preserve">hite </w:t>
      </w:r>
      <w:r>
        <w:t xml:space="preserve">teachers </w:t>
      </w:r>
      <w:r w:rsidRPr="0044505A">
        <w:t xml:space="preserve">is expected to decline at </w:t>
      </w:r>
      <w:r>
        <w:t xml:space="preserve">a </w:t>
      </w:r>
      <w:r w:rsidRPr="0044505A">
        <w:t>slightly slower rate than demand, leading to a</w:t>
      </w:r>
      <w:r>
        <w:t>n expected</w:t>
      </w:r>
      <w:r w:rsidRPr="0044505A">
        <w:t xml:space="preserve"> slight surplus of </w:t>
      </w:r>
      <w:r>
        <w:t>W</w:t>
      </w:r>
      <w:r w:rsidRPr="0044505A">
        <w:t>hite teachers in later projected years.</w:t>
      </w:r>
    </w:p>
    <w:p w:rsidR="00C157EC" w:rsidRPr="0044505A" w:rsidRDefault="00C157EC" w:rsidP="002C5575">
      <w:pPr>
        <w:pStyle w:val="Bullet1"/>
      </w:pPr>
      <w:r w:rsidRPr="0044505A">
        <w:t xml:space="preserve">By age, the demand for teachers </w:t>
      </w:r>
      <w:r w:rsidR="004E2149">
        <w:t>under 26</w:t>
      </w:r>
      <w:r w:rsidRPr="0044505A">
        <w:t>, 26 to 32, and 49 to 56 are each expected to decline by more than 10</w:t>
      </w:r>
      <w:r>
        <w:t xml:space="preserve"> percent</w:t>
      </w:r>
      <w:r w:rsidRPr="0044505A">
        <w:t xml:space="preserve">, with the decline in the 49 to 56 age group being the largest in both </w:t>
      </w:r>
      <w:r>
        <w:t xml:space="preserve">absolute </w:t>
      </w:r>
      <w:r w:rsidRPr="0042751A">
        <w:t>(5,678 full</w:t>
      </w:r>
      <w:r>
        <w:t>-</w:t>
      </w:r>
      <w:r w:rsidRPr="0042751A">
        <w:t>time equivalent teachers)</w:t>
      </w:r>
      <w:r>
        <w:t xml:space="preserve"> and </w:t>
      </w:r>
      <w:r w:rsidRPr="0044505A">
        <w:t xml:space="preserve">relative </w:t>
      </w:r>
      <w:r>
        <w:t xml:space="preserve">terms </w:t>
      </w:r>
      <w:r w:rsidRPr="0044505A">
        <w:t>(46</w:t>
      </w:r>
      <w:r>
        <w:t xml:space="preserve"> percent</w:t>
      </w:r>
      <w:r w:rsidRPr="0044505A">
        <w:t xml:space="preserve">). Large </w:t>
      </w:r>
      <w:r>
        <w:t xml:space="preserve">demand </w:t>
      </w:r>
      <w:r w:rsidRPr="0044505A">
        <w:t xml:space="preserve">increases are </w:t>
      </w:r>
      <w:r>
        <w:t xml:space="preserve">also </w:t>
      </w:r>
      <w:r w:rsidRPr="0044505A">
        <w:t xml:space="preserve">expected </w:t>
      </w:r>
      <w:r>
        <w:t>for</w:t>
      </w:r>
      <w:r w:rsidRPr="0044505A">
        <w:t xml:space="preserve"> the 41 to 48 and </w:t>
      </w:r>
      <w:r w:rsidR="004E2149">
        <w:t xml:space="preserve">over </w:t>
      </w:r>
      <w:r w:rsidRPr="0044505A">
        <w:t>6</w:t>
      </w:r>
      <w:r w:rsidR="004E2149">
        <w:t>4</w:t>
      </w:r>
      <w:r w:rsidRPr="0044505A">
        <w:t xml:space="preserve"> age group</w:t>
      </w:r>
      <w:r>
        <w:t>s</w:t>
      </w:r>
      <w:r w:rsidRPr="0044505A">
        <w:t>.</w:t>
      </w:r>
    </w:p>
    <w:p w:rsidR="00C157EC" w:rsidRPr="0044505A" w:rsidRDefault="004E2149" w:rsidP="002C5575">
      <w:pPr>
        <w:pStyle w:val="Bullet1"/>
      </w:pPr>
      <w:proofErr w:type="gramStart"/>
      <w:r>
        <w:t>U</w:t>
      </w:r>
      <w:r w:rsidR="00C157EC">
        <w:t>nder</w:t>
      </w:r>
      <w:proofErr w:type="gramEnd"/>
      <w:r>
        <w:t xml:space="preserve"> 26</w:t>
      </w:r>
      <w:r w:rsidR="00C157EC" w:rsidRPr="0044505A">
        <w:t xml:space="preserve"> </w:t>
      </w:r>
      <w:r w:rsidR="00C157EC">
        <w:t xml:space="preserve">is the only </w:t>
      </w:r>
      <w:r w:rsidR="00C157EC" w:rsidRPr="0044505A">
        <w:t xml:space="preserve">age group </w:t>
      </w:r>
      <w:r w:rsidR="00C157EC">
        <w:t xml:space="preserve">for which </w:t>
      </w:r>
      <w:r w:rsidR="00C157EC" w:rsidRPr="0044505A">
        <w:t>the supply of teachers expected to not meet demand</w:t>
      </w:r>
      <w:r w:rsidR="00C157EC">
        <w:t xml:space="preserve"> in 10 years</w:t>
      </w:r>
      <w:r w:rsidR="00C157EC" w:rsidRPr="0044505A">
        <w:t xml:space="preserve">. This </w:t>
      </w:r>
      <w:r w:rsidR="00C157EC">
        <w:t xml:space="preserve">may be </w:t>
      </w:r>
      <w:r w:rsidR="00C157EC" w:rsidRPr="0044505A">
        <w:t xml:space="preserve">particularly </w:t>
      </w:r>
      <w:r w:rsidR="00C157EC">
        <w:t>worrisome</w:t>
      </w:r>
      <w:r w:rsidR="00C157EC" w:rsidRPr="0044505A">
        <w:t xml:space="preserve">, as </w:t>
      </w:r>
      <w:r w:rsidR="00C157EC">
        <w:t>this</w:t>
      </w:r>
      <w:r w:rsidR="00C157EC" w:rsidRPr="0044505A">
        <w:t xml:space="preserve"> group makes up the largest portion of teachers</w:t>
      </w:r>
      <w:r w:rsidR="00C157EC">
        <w:t xml:space="preserve"> newly entering the field and </w:t>
      </w:r>
      <w:r w:rsidR="00C157EC" w:rsidRPr="0044505A">
        <w:t>a large portion of the teacher pipeline.</w:t>
      </w:r>
    </w:p>
    <w:p w:rsidR="00C157EC" w:rsidRPr="00F15895" w:rsidRDefault="00C157EC" w:rsidP="002C5575">
      <w:pPr>
        <w:pStyle w:val="Heading4"/>
      </w:pPr>
      <w:r w:rsidRPr="00F15895">
        <w:t>Research Question 5: Detailed</w:t>
      </w:r>
      <w:r>
        <w:t xml:space="preserve"> Supply and Demand</w:t>
      </w:r>
      <w:r w:rsidRPr="00F15895">
        <w:t xml:space="preserve"> Projections by Region</w:t>
      </w:r>
    </w:p>
    <w:p w:rsidR="00C157EC" w:rsidRPr="0044505A" w:rsidRDefault="00C157EC" w:rsidP="002C5575">
      <w:pPr>
        <w:pStyle w:val="Bullet1"/>
      </w:pPr>
      <w:r w:rsidRPr="0044505A">
        <w:t xml:space="preserve">Demand for teachers by region is projected to decline for all regions except the Commissioner’s Districts, where demand is </w:t>
      </w:r>
      <w:r>
        <w:t xml:space="preserve">expected to be </w:t>
      </w:r>
      <w:r w:rsidRPr="0044505A">
        <w:t>relatively steady over time. Demand in the Berkshires +</w:t>
      </w:r>
      <w:r>
        <w:t xml:space="preserve"> region</w:t>
      </w:r>
      <w:r w:rsidRPr="0044505A">
        <w:t xml:space="preserve">, </w:t>
      </w:r>
      <w:r>
        <w:t>c</w:t>
      </w:r>
      <w:r w:rsidRPr="0044505A">
        <w:t>entral</w:t>
      </w:r>
      <w:r>
        <w:t xml:space="preserve"> region</w:t>
      </w:r>
      <w:r w:rsidRPr="0044505A">
        <w:t xml:space="preserve">, and </w:t>
      </w:r>
      <w:r>
        <w:t>s</w:t>
      </w:r>
      <w:r w:rsidRPr="0044505A">
        <w:t xml:space="preserve">outheast region is expected to decline </w:t>
      </w:r>
      <w:r w:rsidR="00535A6A">
        <w:t xml:space="preserve">for </w:t>
      </w:r>
      <w:r w:rsidR="001B03A8">
        <w:t xml:space="preserve">each </w:t>
      </w:r>
      <w:r w:rsidRPr="0044505A">
        <w:t>by more than 10</w:t>
      </w:r>
      <w:r>
        <w:t xml:space="preserve"> percent between 2013–14 and 2023–24</w:t>
      </w:r>
      <w:r w:rsidRPr="0044505A">
        <w:t xml:space="preserve">, well above the statewide </w:t>
      </w:r>
      <w:r>
        <w:t xml:space="preserve">projected decline </w:t>
      </w:r>
      <w:r w:rsidRPr="0044505A">
        <w:t>of 5</w:t>
      </w:r>
      <w:r w:rsidR="00B73466">
        <w:t>.77</w:t>
      </w:r>
      <w:r>
        <w:t xml:space="preserve"> percent</w:t>
      </w:r>
      <w:r w:rsidRPr="0044505A">
        <w:t>.</w:t>
      </w:r>
    </w:p>
    <w:p w:rsidR="00C157EC" w:rsidRPr="0044505A" w:rsidRDefault="00C157EC" w:rsidP="002C5575">
      <w:pPr>
        <w:pStyle w:val="Bullet1"/>
      </w:pPr>
      <w:r w:rsidRPr="0044505A">
        <w:t>While demand in the Commissioner’s Districts is expected to decline the least, the supply in this region is expected to decline the most, leading to</w:t>
      </w:r>
      <w:r>
        <w:t xml:space="preserve"> </w:t>
      </w:r>
      <w:r w:rsidRPr="0044505A">
        <w:t>teacher shortage</w:t>
      </w:r>
      <w:r w:rsidR="001B03A8">
        <w:t>s</w:t>
      </w:r>
      <w:r w:rsidRPr="0044505A">
        <w:t xml:space="preserve">. </w:t>
      </w:r>
      <w:r>
        <w:t xml:space="preserve">There are also slight projected shortages in the Greater Boston region, though these are expected to shrink over time. </w:t>
      </w:r>
      <w:r w:rsidRPr="0044505A">
        <w:t>In all other regions, supply is expected to meet demand</w:t>
      </w:r>
      <w:r>
        <w:t xml:space="preserve"> over the next 10 years</w:t>
      </w:r>
      <w:r w:rsidRPr="0044505A">
        <w:t>.</w:t>
      </w:r>
    </w:p>
    <w:p w:rsidR="00C157EC" w:rsidRPr="0044505A" w:rsidRDefault="00C157EC" w:rsidP="002C5575">
      <w:pPr>
        <w:pStyle w:val="Bullet1"/>
      </w:pPr>
      <w:r w:rsidRPr="0044505A">
        <w:t xml:space="preserve">Other </w:t>
      </w:r>
      <w:r>
        <w:t xml:space="preserve">notable </w:t>
      </w:r>
      <w:r w:rsidRPr="0044505A">
        <w:t>geographic areas expected to show deficit</w:t>
      </w:r>
      <w:r>
        <w:t>s</w:t>
      </w:r>
      <w:r w:rsidRPr="0044505A">
        <w:t xml:space="preserve"> in the supply of teachers compared to the demand are districts in cities and the Lowell</w:t>
      </w:r>
      <w:r>
        <w:t>–</w:t>
      </w:r>
      <w:r w:rsidRPr="0044505A">
        <w:t>Lawrence metropolitan area.</w:t>
      </w:r>
    </w:p>
    <w:p w:rsidR="00C157EC" w:rsidRPr="00336754" w:rsidRDefault="00C157EC" w:rsidP="002C5575">
      <w:pPr>
        <w:pStyle w:val="Heading2"/>
        <w:pageBreakBefore/>
      </w:pPr>
      <w:bookmarkStart w:id="11" w:name="_Toc435614371"/>
      <w:bookmarkStart w:id="12" w:name="_Toc436724275"/>
      <w:bookmarkStart w:id="13" w:name="_Toc437284979"/>
      <w:r w:rsidRPr="00336754">
        <w:t>Introduction</w:t>
      </w:r>
      <w:bookmarkEnd w:id="11"/>
      <w:bookmarkEnd w:id="12"/>
      <w:bookmarkEnd w:id="13"/>
    </w:p>
    <w:p w:rsidR="00C157EC" w:rsidRDefault="00C157EC" w:rsidP="002C5575">
      <w:pPr>
        <w:pStyle w:val="BodyText"/>
      </w:pPr>
      <w:r>
        <w:t>In recent years, concerns have been growing across the country that there are not enough educators—especially teachers—to meet school and district hiring demands. Massachusetts has often encountered this issue with regard to mathematics, science, English language learners, and special education teachers (</w:t>
      </w:r>
      <w:r w:rsidRPr="00094341">
        <w:t>U.S. Department of Education, 2015</w:t>
      </w:r>
      <w:r>
        <w:t>). Previous studies suggest that these shortages will persist, despite recent increases in the numbers of teacher preparation program graduates specializ</w:t>
      </w:r>
      <w:r w:rsidR="001B03A8">
        <w:t>ing</w:t>
      </w:r>
      <w:r>
        <w:t xml:space="preserve"> in historically high-need subject areas (ESE, 2011).</w:t>
      </w:r>
    </w:p>
    <w:p w:rsidR="00C157EC" w:rsidRPr="00F57F68" w:rsidRDefault="00C157EC" w:rsidP="00C157EC">
      <w:pPr>
        <w:pStyle w:val="BodyText"/>
      </w:pPr>
      <w:r>
        <w:t xml:space="preserve">The </w:t>
      </w:r>
      <w:r w:rsidRPr="00336754">
        <w:t>Massachusetts</w:t>
      </w:r>
      <w:r>
        <w:t xml:space="preserve"> </w:t>
      </w:r>
      <w:r w:rsidRPr="00336754">
        <w:t>Department of Elementary and Secondary Education (ESE)</w:t>
      </w:r>
      <w:r>
        <w:t xml:space="preserve"> has a strong track record of taking action to address these concerns and</w:t>
      </w:r>
      <w:r w:rsidRPr="00F57F68">
        <w:t xml:space="preserve"> has prioritized </w:t>
      </w:r>
      <w:r>
        <w:t xml:space="preserve">strategies to ensure that teacher supply meets demand. </w:t>
      </w:r>
      <w:r w:rsidRPr="00F57F68">
        <w:t xml:space="preserve">In </w:t>
      </w:r>
      <w:r>
        <w:t>the second core strategy of its 2015</w:t>
      </w:r>
      <w:r w:rsidRPr="00F57F68">
        <w:t xml:space="preserve"> </w:t>
      </w:r>
      <w:r>
        <w:t>s</w:t>
      </w:r>
      <w:r w:rsidRPr="00F57F68">
        <w:t xml:space="preserve">trategic </w:t>
      </w:r>
      <w:r>
        <w:t>p</w:t>
      </w:r>
      <w:r w:rsidRPr="00F57F68">
        <w:t>lan</w:t>
      </w:r>
      <w:r>
        <w:t xml:space="preserve">, ESE </w:t>
      </w:r>
      <w:r w:rsidRPr="00F57F68">
        <w:t xml:space="preserve">set objectives to </w:t>
      </w:r>
      <w:r>
        <w:t>expand statewide recruitment to increase effective supply</w:t>
      </w:r>
      <w:r w:rsidRPr="00F57F68">
        <w:t xml:space="preserve">, </w:t>
      </w:r>
      <w:r>
        <w:t xml:space="preserve">foster diversity in the workplace to address the shortage in minority teachers, </w:t>
      </w:r>
      <w:r w:rsidRPr="00F57F68">
        <w:t xml:space="preserve">and </w:t>
      </w:r>
      <w:r>
        <w:t>improve teacher preparation programs to ensure that new high-quality teachers are not in short supply</w:t>
      </w:r>
      <w:r w:rsidRPr="00F57F68">
        <w:t xml:space="preserve"> (ESE</w:t>
      </w:r>
      <w:r>
        <w:t>, 2015</w:t>
      </w:r>
      <w:r w:rsidRPr="00F57F68">
        <w:t>).</w:t>
      </w:r>
      <w:r>
        <w:t xml:space="preserve"> Its streamlined online recruitment tool (</w:t>
      </w:r>
      <w:proofErr w:type="spellStart"/>
      <w:r>
        <w:t>aMAzing</w:t>
      </w:r>
      <w:proofErr w:type="spellEnd"/>
      <w:r>
        <w:t xml:space="preserve"> Educators), the Massachusetts Advocates for Diversity in Education task force (ESE, 2014), and other important initiatives demonstrate ESE’s commitment to develop policies that would improve the availability of effective teachers, especially those in areas with specific shortages. C</w:t>
      </w:r>
      <w:r w:rsidRPr="00187E3B">
        <w:t>lear, accurate</w:t>
      </w:r>
      <w:r>
        <w:t>, and timely</w:t>
      </w:r>
      <w:r w:rsidRPr="00187E3B">
        <w:t xml:space="preserve"> </w:t>
      </w:r>
      <w:r>
        <w:t>teacher</w:t>
      </w:r>
      <w:r w:rsidRPr="00187E3B">
        <w:t xml:space="preserve"> supply and demand projections </w:t>
      </w:r>
      <w:r>
        <w:t>will help ESE to achieve these objectives by providing a complete picture of its teacher workforce needs over the next decade.</w:t>
      </w:r>
    </w:p>
    <w:p w:rsidR="00C157EC" w:rsidRDefault="00C157EC" w:rsidP="002C5575">
      <w:pPr>
        <w:pStyle w:val="BodyText"/>
      </w:pPr>
      <w:r>
        <w:t>Toward this end, in April 2015,</w:t>
      </w:r>
      <w:r w:rsidRPr="00F57F68">
        <w:t xml:space="preserve"> </w:t>
      </w:r>
      <w:r>
        <w:t xml:space="preserve">ESE commissioned AIR to conduct a study to </w:t>
      </w:r>
      <w:r w:rsidR="008756C8">
        <w:t xml:space="preserve">investigate patterns of teacher </w:t>
      </w:r>
      <w:r w:rsidRPr="00336754">
        <w:t xml:space="preserve">supply and demand to inform </w:t>
      </w:r>
      <w:r w:rsidR="008756C8">
        <w:t>policy concerning the instructional labor force</w:t>
      </w:r>
      <w:r>
        <w:t>. The conceptual approach, data sources, analytic methods, and findings of the study are presented in this report.</w:t>
      </w:r>
    </w:p>
    <w:p w:rsidR="00C157EC" w:rsidRPr="00336754" w:rsidRDefault="00C157EC" w:rsidP="00C157EC">
      <w:pPr>
        <w:pStyle w:val="Heading3"/>
      </w:pPr>
      <w:bookmarkStart w:id="14" w:name="_Toc435614372"/>
      <w:bookmarkStart w:id="15" w:name="_Toc436724276"/>
      <w:bookmarkStart w:id="16" w:name="_Toc437284980"/>
      <w:r>
        <w:t xml:space="preserve">Study </w:t>
      </w:r>
      <w:r w:rsidRPr="00336754">
        <w:t>Objective</w:t>
      </w:r>
      <w:r>
        <w:t>s</w:t>
      </w:r>
      <w:bookmarkEnd w:id="14"/>
      <w:bookmarkEnd w:id="15"/>
      <w:bookmarkEnd w:id="16"/>
    </w:p>
    <w:p w:rsidR="00C157EC" w:rsidRDefault="00C157EC" w:rsidP="002C5575">
      <w:pPr>
        <w:pStyle w:val="BodyText"/>
      </w:pPr>
      <w:r w:rsidRPr="00226FC9">
        <w:t xml:space="preserve">The primary objective of this study was to develop a comprehensive set of 10-year projections of </w:t>
      </w:r>
      <w:r>
        <w:t>teacher</w:t>
      </w:r>
      <w:r w:rsidRPr="00226FC9">
        <w:t xml:space="preserve"> supply and demand in order to inform planning for future workforce needs. </w:t>
      </w:r>
      <w:r>
        <w:t xml:space="preserve">The projections of this study were estimated both in the aggregate and by a number of disaggregated categories, including teacher characteristics, geographic regions, and locales. </w:t>
      </w:r>
      <w:r w:rsidRPr="00226FC9">
        <w:t xml:space="preserve">The research team pursued this work in </w:t>
      </w:r>
      <w:r>
        <w:t>two</w:t>
      </w:r>
      <w:r w:rsidRPr="00226FC9">
        <w:t xml:space="preserve"> key study phases:</w:t>
      </w:r>
    </w:p>
    <w:p w:rsidR="00C157EC" w:rsidRPr="00226FC9" w:rsidRDefault="00C157EC" w:rsidP="002C5575">
      <w:pPr>
        <w:pStyle w:val="NumberedList"/>
        <w:numPr>
          <w:ilvl w:val="0"/>
          <w:numId w:val="31"/>
        </w:numPr>
      </w:pPr>
      <w:r w:rsidRPr="002C5575">
        <w:rPr>
          <w:b/>
        </w:rPr>
        <w:t>Data preparation for analysis.</w:t>
      </w:r>
      <w:r w:rsidRPr="00226FC9">
        <w:t xml:space="preserve"> </w:t>
      </w:r>
      <w:r>
        <w:t xml:space="preserve">AIR’s research team initiated the study by obtaining, cleaning, and preparing </w:t>
      </w:r>
      <w:r w:rsidRPr="00226FC9">
        <w:t>the data for analysis</w:t>
      </w:r>
      <w:r>
        <w:t>.</w:t>
      </w:r>
      <w:r w:rsidRPr="00226FC9">
        <w:t xml:space="preserve"> </w:t>
      </w:r>
      <w:r>
        <w:t xml:space="preserve">The data </w:t>
      </w:r>
      <w:r w:rsidRPr="00226FC9">
        <w:t>includ</w:t>
      </w:r>
      <w:r>
        <w:t>ed both the factors that are direct indicators of supply and demand—such as enrollment, pupil–teacher ratios and counts of teachers—and those</w:t>
      </w:r>
      <w:r w:rsidRPr="00226FC9">
        <w:t xml:space="preserve"> that</w:t>
      </w:r>
      <w:r>
        <w:t>, in theory, are related to or influence teacher supply and demand—such as demographic characteristics of students and teachers. The primary purpose of this phase was to ensure that there were no gaps or errors in the data that might prevent the research team from obtaining accurate results. While much of this work was conducted at the beginning of the study timeline, the research team considered this an ongoing task and continually examined the data for issues.</w:t>
      </w:r>
    </w:p>
    <w:p w:rsidR="00C157EC" w:rsidRDefault="00C157EC" w:rsidP="002C5575">
      <w:pPr>
        <w:pStyle w:val="NumberedList"/>
      </w:pPr>
      <w:r w:rsidRPr="00226FC9">
        <w:rPr>
          <w:b/>
        </w:rPr>
        <w:t>Analysis to address research questions</w:t>
      </w:r>
      <w:r>
        <w:rPr>
          <w:b/>
        </w:rPr>
        <w:t>, testing validity of results,</w:t>
      </w:r>
      <w:r w:rsidRPr="00226FC9">
        <w:rPr>
          <w:b/>
        </w:rPr>
        <w:t xml:space="preserve"> and write-up of findings.</w:t>
      </w:r>
      <w:r>
        <w:t xml:space="preserve"> T</w:t>
      </w:r>
      <w:r w:rsidRPr="00226FC9">
        <w:t xml:space="preserve">he research team </w:t>
      </w:r>
      <w:r>
        <w:t>then analyzed</w:t>
      </w:r>
      <w:r w:rsidRPr="00226FC9">
        <w:t xml:space="preserve"> the available</w:t>
      </w:r>
      <w:r>
        <w:t xml:space="preserve"> data. This was an iterative process where multiple models were generated to produce the results. Models were compared based on the accuracy of their predictions of historical data and were altered and refined until a set of satisfactory models were decided upon. Results from these models were used </w:t>
      </w:r>
      <w:r w:rsidRPr="00226FC9">
        <w:t xml:space="preserve">to draw conclusions about </w:t>
      </w:r>
      <w:r>
        <w:t xml:space="preserve">anticipated levels of teacher supply and demand </w:t>
      </w:r>
      <w:r w:rsidRPr="00226FC9">
        <w:t>and</w:t>
      </w:r>
      <w:r>
        <w:t xml:space="preserve"> to describe implications for policymakers and teacher preparation programs. </w:t>
      </w:r>
    </w:p>
    <w:p w:rsidR="00C157EC" w:rsidRPr="00336754" w:rsidRDefault="00C157EC" w:rsidP="00C157EC">
      <w:pPr>
        <w:pStyle w:val="Heading3"/>
      </w:pPr>
      <w:bookmarkStart w:id="17" w:name="_Toc435614373"/>
      <w:bookmarkStart w:id="18" w:name="_Toc436724277"/>
      <w:bookmarkStart w:id="19" w:name="_Toc437284981"/>
      <w:r w:rsidRPr="00336754">
        <w:t>Research Questions</w:t>
      </w:r>
      <w:bookmarkEnd w:id="17"/>
      <w:bookmarkEnd w:id="18"/>
      <w:bookmarkEnd w:id="19"/>
    </w:p>
    <w:p w:rsidR="00C157EC" w:rsidRDefault="00C157EC" w:rsidP="00A46F58">
      <w:pPr>
        <w:pStyle w:val="BodyText"/>
        <w:spacing w:after="80"/>
      </w:pPr>
      <w:r>
        <w:t>Below are the research questions that this study addressed in order to estimate future trends in teacher supply and demand:</w:t>
      </w:r>
    </w:p>
    <w:p w:rsidR="00C157EC" w:rsidRPr="00336754" w:rsidRDefault="00C157EC" w:rsidP="00A46F58">
      <w:pPr>
        <w:pStyle w:val="NumberedList"/>
        <w:numPr>
          <w:ilvl w:val="0"/>
          <w:numId w:val="32"/>
        </w:numPr>
        <w:spacing w:after="80"/>
      </w:pPr>
      <w:r w:rsidRPr="00336754">
        <w:t xml:space="preserve">What is the projected annual demand for </w:t>
      </w:r>
      <w:r>
        <w:t xml:space="preserve">teachers </w:t>
      </w:r>
      <w:r w:rsidRPr="00336754">
        <w:t xml:space="preserve">in Massachusetts </w:t>
      </w:r>
      <w:r w:rsidR="00427B26">
        <w:t xml:space="preserve">over </w:t>
      </w:r>
      <w:r w:rsidRPr="00336754">
        <w:t>the next 10 years based on pupil–teacher ratios and projections of student enrollment?</w:t>
      </w:r>
    </w:p>
    <w:p w:rsidR="00C157EC" w:rsidRPr="00336754" w:rsidRDefault="00C157EC" w:rsidP="00A46F58">
      <w:pPr>
        <w:pStyle w:val="NumberedList"/>
        <w:spacing w:after="80"/>
      </w:pPr>
      <w:r w:rsidRPr="00336754">
        <w:t xml:space="preserve">What is the projected annual supply </w:t>
      </w:r>
      <w:r>
        <w:t xml:space="preserve">of teachers </w:t>
      </w:r>
      <w:r w:rsidRPr="00336754">
        <w:t xml:space="preserve">in Massachusetts </w:t>
      </w:r>
      <w:r w:rsidR="00C242F0">
        <w:t xml:space="preserve">over </w:t>
      </w:r>
      <w:r w:rsidRPr="00336754">
        <w:t>the next 10 years</w:t>
      </w:r>
      <w:r>
        <w:t>, and what is the composition of these projections when broken out by components of supply that include</w:t>
      </w:r>
      <w:r w:rsidRPr="00336754">
        <w:t xml:space="preserve"> retained </w:t>
      </w:r>
      <w:r>
        <w:t>teacher</w:t>
      </w:r>
      <w:r w:rsidRPr="00336754">
        <w:t>s</w:t>
      </w:r>
      <w:r>
        <w:t>,</w:t>
      </w:r>
      <w:r w:rsidRPr="00336754">
        <w:t xml:space="preserve"> new entrants</w:t>
      </w:r>
      <w:r>
        <w:t>, and</w:t>
      </w:r>
      <w:r w:rsidRPr="00C90BAE">
        <w:t xml:space="preserve"> </w:t>
      </w:r>
      <w:r>
        <w:t>those transferring in and out of districts</w:t>
      </w:r>
      <w:r w:rsidRPr="00336754">
        <w:t>?</w:t>
      </w:r>
    </w:p>
    <w:p w:rsidR="00C157EC" w:rsidRPr="00336754" w:rsidRDefault="00C157EC" w:rsidP="00A46F58">
      <w:pPr>
        <w:pStyle w:val="NumberedList"/>
        <w:spacing w:after="80"/>
      </w:pPr>
      <w:r w:rsidRPr="00336754">
        <w:t xml:space="preserve">What are the projections for the annual supply and demand of </w:t>
      </w:r>
      <w:r>
        <w:t>teachers</w:t>
      </w:r>
      <w:r w:rsidRPr="00336754">
        <w:t xml:space="preserve"> in Massachusetts for the next 10 years by </w:t>
      </w:r>
      <w:r>
        <w:t>program</w:t>
      </w:r>
      <w:r w:rsidRPr="00336754">
        <w:t xml:space="preserve"> area?</w:t>
      </w:r>
    </w:p>
    <w:p w:rsidR="00C157EC" w:rsidRPr="00336754" w:rsidRDefault="00C157EC" w:rsidP="00A46F58">
      <w:pPr>
        <w:pStyle w:val="NumberedList"/>
        <w:spacing w:after="80"/>
      </w:pPr>
      <w:r w:rsidRPr="00336754">
        <w:t xml:space="preserve">What are the </w:t>
      </w:r>
      <w:r>
        <w:t xml:space="preserve">supply and demand </w:t>
      </w:r>
      <w:r w:rsidRPr="00336754">
        <w:t xml:space="preserve">projections of </w:t>
      </w:r>
      <w:r>
        <w:t xml:space="preserve">teachers </w:t>
      </w:r>
      <w:r w:rsidRPr="00336754">
        <w:t>in Massachusetts for the next 10 years by demographic group?</w:t>
      </w:r>
    </w:p>
    <w:p w:rsidR="00C157EC" w:rsidRPr="00336754" w:rsidRDefault="00C157EC" w:rsidP="00A46F58">
      <w:pPr>
        <w:pStyle w:val="NumberedList"/>
        <w:numPr>
          <w:ilvl w:val="1"/>
          <w:numId w:val="8"/>
        </w:numPr>
        <w:spacing w:after="80"/>
      </w:pPr>
      <w:r w:rsidRPr="00336754">
        <w:t xml:space="preserve">What are the </w:t>
      </w:r>
      <w:r>
        <w:t xml:space="preserve">supply and demand </w:t>
      </w:r>
      <w:r w:rsidRPr="00336754">
        <w:t xml:space="preserve">projections of </w:t>
      </w:r>
      <w:r>
        <w:t xml:space="preserve">teachers </w:t>
      </w:r>
      <w:r w:rsidRPr="00336754">
        <w:t>by race/ethnicity?</w:t>
      </w:r>
    </w:p>
    <w:p w:rsidR="00C157EC" w:rsidRPr="00336754" w:rsidRDefault="00C157EC" w:rsidP="00A46F58">
      <w:pPr>
        <w:pStyle w:val="NumberedList"/>
        <w:numPr>
          <w:ilvl w:val="1"/>
          <w:numId w:val="8"/>
        </w:numPr>
        <w:spacing w:after="80"/>
      </w:pPr>
      <w:r w:rsidRPr="00336754">
        <w:t xml:space="preserve">What are the </w:t>
      </w:r>
      <w:r>
        <w:t xml:space="preserve">supply and demand </w:t>
      </w:r>
      <w:r w:rsidRPr="00336754">
        <w:t xml:space="preserve">projections of </w:t>
      </w:r>
      <w:r>
        <w:t xml:space="preserve">teachers </w:t>
      </w:r>
      <w:r w:rsidRPr="00336754">
        <w:t>by age?</w:t>
      </w:r>
    </w:p>
    <w:p w:rsidR="00C157EC" w:rsidRPr="00336754" w:rsidRDefault="00C157EC" w:rsidP="00A46F58">
      <w:pPr>
        <w:pStyle w:val="NumberedList"/>
        <w:spacing w:after="80"/>
      </w:pPr>
      <w:r w:rsidRPr="00336754">
        <w:t xml:space="preserve">What are the </w:t>
      </w:r>
      <w:r>
        <w:t xml:space="preserve">supply and demand </w:t>
      </w:r>
      <w:r w:rsidRPr="00336754">
        <w:t xml:space="preserve">projections of </w:t>
      </w:r>
      <w:r>
        <w:t xml:space="preserve">teachers </w:t>
      </w:r>
      <w:r w:rsidRPr="00336754">
        <w:t xml:space="preserve">in Massachusetts for the next 10 years by </w:t>
      </w:r>
      <w:r>
        <w:t xml:space="preserve">state </w:t>
      </w:r>
      <w:r w:rsidRPr="00336754">
        <w:t xml:space="preserve">region </w:t>
      </w:r>
      <w:r>
        <w:t>and locale</w:t>
      </w:r>
      <w:r w:rsidRPr="00336754">
        <w:t>?</w:t>
      </w:r>
    </w:p>
    <w:p w:rsidR="00C157EC" w:rsidRDefault="00C157EC" w:rsidP="00A46F58">
      <w:pPr>
        <w:pStyle w:val="NumberedList"/>
        <w:numPr>
          <w:ilvl w:val="1"/>
          <w:numId w:val="8"/>
        </w:numPr>
        <w:spacing w:after="80"/>
      </w:pPr>
      <w:r>
        <w:t>What are the supply and demand projections by DSAC region?</w:t>
      </w:r>
    </w:p>
    <w:p w:rsidR="00C157EC" w:rsidRDefault="00C157EC" w:rsidP="00A46F58">
      <w:pPr>
        <w:pStyle w:val="NumberedList"/>
        <w:numPr>
          <w:ilvl w:val="1"/>
          <w:numId w:val="8"/>
        </w:numPr>
        <w:spacing w:after="80"/>
      </w:pPr>
      <w:r>
        <w:t>What are the supply and demand projections by NCES locale (i.e., city, suburb, town, and rural)?</w:t>
      </w:r>
    </w:p>
    <w:p w:rsidR="00C157EC" w:rsidRPr="00336754" w:rsidRDefault="00C157EC" w:rsidP="00A46F58">
      <w:pPr>
        <w:pStyle w:val="NumberedList"/>
        <w:numPr>
          <w:ilvl w:val="1"/>
          <w:numId w:val="8"/>
        </w:numPr>
        <w:spacing w:after="80"/>
      </w:pPr>
      <w:r w:rsidRPr="00336754">
        <w:t xml:space="preserve">What are the </w:t>
      </w:r>
      <w:r>
        <w:t xml:space="preserve">supply and demand </w:t>
      </w:r>
      <w:r w:rsidRPr="00336754">
        <w:t>projections by location of the state’s major educator preparation programs?</w:t>
      </w:r>
    </w:p>
    <w:p w:rsidR="00C157EC" w:rsidRPr="00336754" w:rsidRDefault="00C157EC" w:rsidP="002C5575">
      <w:pPr>
        <w:pStyle w:val="NumberedList"/>
        <w:numPr>
          <w:ilvl w:val="1"/>
          <w:numId w:val="8"/>
        </w:numPr>
      </w:pPr>
      <w:r w:rsidRPr="00336754">
        <w:t xml:space="preserve">What are the </w:t>
      </w:r>
      <w:r>
        <w:t xml:space="preserve">supply and demand </w:t>
      </w:r>
      <w:r w:rsidRPr="00336754">
        <w:t>projections by the state’s largest metropolitan areas?</w:t>
      </w:r>
    </w:p>
    <w:p w:rsidR="00C157EC" w:rsidRPr="00336754" w:rsidRDefault="00C157EC" w:rsidP="002968CC">
      <w:pPr>
        <w:pStyle w:val="Heading3"/>
        <w:spacing w:before="120"/>
      </w:pPr>
      <w:bookmarkStart w:id="20" w:name="_Toc435614374"/>
      <w:bookmarkStart w:id="21" w:name="_Toc436724278"/>
      <w:bookmarkStart w:id="22" w:name="_Toc437284982"/>
      <w:r w:rsidRPr="00336754">
        <w:t>Report Organization</w:t>
      </w:r>
      <w:bookmarkEnd w:id="20"/>
      <w:bookmarkEnd w:id="21"/>
      <w:bookmarkEnd w:id="22"/>
    </w:p>
    <w:p w:rsidR="00C157EC" w:rsidRPr="00336754" w:rsidRDefault="00C157EC" w:rsidP="002968CC">
      <w:pPr>
        <w:pStyle w:val="BodyText"/>
        <w:spacing w:before="120"/>
      </w:pPr>
      <w:r w:rsidRPr="00336754">
        <w:t xml:space="preserve">The </w:t>
      </w:r>
      <w:r>
        <w:t xml:space="preserve">remainder of the </w:t>
      </w:r>
      <w:r w:rsidRPr="00336754">
        <w:t>report is organized as follows</w:t>
      </w:r>
      <w:r>
        <w:t>.</w:t>
      </w:r>
    </w:p>
    <w:p w:rsidR="00C157EC" w:rsidRDefault="00C157EC" w:rsidP="002C5575">
      <w:pPr>
        <w:pStyle w:val="BodyText"/>
      </w:pPr>
      <w:r>
        <w:t>Section 1 outlines the conceptual approach of the study, detailed information about the data sources used to conduct the analyses, and descriptions of the key analytic methods. Section 2 includes the key findings for each research question addressed by the study as well as potential policy implications of the reported results. Section 3 discusses some general limitations of developing demand and supply projections and what can be inferred from the results. The final section of the report describes opportunities for future study.</w:t>
      </w:r>
    </w:p>
    <w:p w:rsidR="00C157EC" w:rsidRDefault="00C157EC" w:rsidP="002C5575">
      <w:pPr>
        <w:pStyle w:val="Heading2"/>
        <w:pageBreakBefore/>
      </w:pPr>
      <w:bookmarkStart w:id="23" w:name="_Toc435614375"/>
      <w:bookmarkStart w:id="24" w:name="_Toc436724279"/>
      <w:bookmarkStart w:id="25" w:name="_Toc437284983"/>
      <w:proofErr w:type="gramStart"/>
      <w:r w:rsidRPr="00336754">
        <w:t>Section 1.</w:t>
      </w:r>
      <w:proofErr w:type="gramEnd"/>
      <w:r w:rsidRPr="00336754">
        <w:t xml:space="preserve"> Data and Methods</w:t>
      </w:r>
      <w:bookmarkEnd w:id="23"/>
      <w:bookmarkEnd w:id="24"/>
      <w:bookmarkEnd w:id="25"/>
    </w:p>
    <w:p w:rsidR="00C157EC" w:rsidRPr="0028028E" w:rsidRDefault="00C157EC" w:rsidP="002C5575">
      <w:pPr>
        <w:pStyle w:val="BodyText"/>
      </w:pPr>
      <w:r>
        <w:t>The AIR research team, through consultation with ESE and independent testing of a variety of approaches, identified the most appropriate methods for producing accurate projections, given the data made available for the study. The following section describes the specific data sources and methods used to address each research question.</w:t>
      </w:r>
    </w:p>
    <w:p w:rsidR="00C157EC" w:rsidRPr="00336754" w:rsidRDefault="00C157EC" w:rsidP="00C157EC">
      <w:pPr>
        <w:pStyle w:val="Heading3"/>
      </w:pPr>
      <w:bookmarkStart w:id="26" w:name="_Toc435614376"/>
      <w:bookmarkStart w:id="27" w:name="_Toc436724280"/>
      <w:bookmarkStart w:id="28" w:name="_Toc437284984"/>
      <w:r w:rsidRPr="00336754">
        <w:t>Conceptual Approach</w:t>
      </w:r>
      <w:bookmarkEnd w:id="26"/>
      <w:bookmarkEnd w:id="27"/>
      <w:bookmarkEnd w:id="28"/>
    </w:p>
    <w:p w:rsidR="00C157EC" w:rsidRPr="007A03EA" w:rsidRDefault="00C157EC" w:rsidP="002C5575">
      <w:pPr>
        <w:pStyle w:val="BodyText"/>
      </w:pPr>
      <w:r w:rsidRPr="007A03EA">
        <w:t xml:space="preserve">Before delving into the data and methods used for this study, </w:t>
      </w:r>
      <w:r>
        <w:t>the conceptual approach for</w:t>
      </w:r>
      <w:r w:rsidRPr="007A03EA">
        <w:t xml:space="preserve"> investigat</w:t>
      </w:r>
      <w:r>
        <w:t>ing</w:t>
      </w:r>
      <w:r w:rsidRPr="007A03EA">
        <w:t xml:space="preserve"> the supply and demand of </w:t>
      </w:r>
      <w:r>
        <w:t xml:space="preserve">teachers in </w:t>
      </w:r>
      <w:r w:rsidRPr="007A03EA">
        <w:t xml:space="preserve">Massachusetts </w:t>
      </w:r>
      <w:r>
        <w:t>is described</w:t>
      </w:r>
      <w:r w:rsidRPr="007A03EA">
        <w:t xml:space="preserve">. </w:t>
      </w:r>
      <w:r>
        <w:t>The AIR research team</w:t>
      </w:r>
      <w:r w:rsidRPr="007A03EA">
        <w:t xml:space="preserve"> began by considering the components of supply and demand and how they each contribute to an overall understanding of whether </w:t>
      </w:r>
      <w:r>
        <w:t>shortages or surpluses will exist</w:t>
      </w:r>
      <w:r w:rsidRPr="007A03EA">
        <w:t xml:space="preserve">. Specifically, the following </w:t>
      </w:r>
      <w:r>
        <w:t>three</w:t>
      </w:r>
      <w:r w:rsidRPr="007A03EA">
        <w:t xml:space="preserve"> broad categories of supply and demand components</w:t>
      </w:r>
      <w:r>
        <w:t xml:space="preserve"> were considered</w:t>
      </w:r>
      <w:r w:rsidRPr="007A03EA">
        <w:t>:</w:t>
      </w:r>
    </w:p>
    <w:p w:rsidR="00C157EC" w:rsidRPr="007A03EA" w:rsidRDefault="00C157EC" w:rsidP="002C5575">
      <w:pPr>
        <w:pStyle w:val="Bullet1"/>
      </w:pPr>
      <w:r>
        <w:rPr>
          <w:b/>
        </w:rPr>
        <w:t>Teacher</w:t>
      </w:r>
      <w:r w:rsidRPr="007A03EA">
        <w:rPr>
          <w:b/>
        </w:rPr>
        <w:t xml:space="preserve"> Pipeline</w:t>
      </w:r>
      <w:r w:rsidRPr="0044505A">
        <w:t>:</w:t>
      </w:r>
      <w:r w:rsidRPr="006353DA">
        <w:t xml:space="preserve"> </w:t>
      </w:r>
      <w:r w:rsidRPr="007A03EA">
        <w:t xml:space="preserve">This includes all individuals </w:t>
      </w:r>
      <w:r>
        <w:t>who have completed</w:t>
      </w:r>
      <w:r w:rsidRPr="007A03EA">
        <w:t xml:space="preserve"> </w:t>
      </w:r>
      <w:r>
        <w:t xml:space="preserve">teacher education </w:t>
      </w:r>
      <w:r w:rsidRPr="007A03EA">
        <w:t>programs housed in Massachusetts</w:t>
      </w:r>
      <w:r>
        <w:t xml:space="preserve"> </w:t>
      </w:r>
      <w:r w:rsidR="009C4B08">
        <w:t>sponsoring organizations</w:t>
      </w:r>
      <w:r>
        <w:t xml:space="preserve"> (</w:t>
      </w:r>
      <w:r w:rsidR="009C4B08">
        <w:t>SO</w:t>
      </w:r>
      <w:r>
        <w:t xml:space="preserve">s) and recently </w:t>
      </w:r>
      <w:r w:rsidRPr="007A03EA">
        <w:t>enter</w:t>
      </w:r>
      <w:r>
        <w:t>ed</w:t>
      </w:r>
      <w:r w:rsidRPr="007A03EA">
        <w:t xml:space="preserve"> the state’s </w:t>
      </w:r>
      <w:r>
        <w:t xml:space="preserve">teacher </w:t>
      </w:r>
      <w:r w:rsidRPr="007A03EA">
        <w:t xml:space="preserve">workforce, those </w:t>
      </w:r>
      <w:r>
        <w:t>who have</w:t>
      </w:r>
      <w:r w:rsidRPr="007A03EA">
        <w:t xml:space="preserve"> </w:t>
      </w:r>
      <w:r>
        <w:t xml:space="preserve">entered </w:t>
      </w:r>
      <w:r w:rsidRPr="007A03EA">
        <w:t xml:space="preserve">the </w:t>
      </w:r>
      <w:r>
        <w:t xml:space="preserve">teacher </w:t>
      </w:r>
      <w:r w:rsidRPr="007A03EA">
        <w:t>workforce from alternative route</w:t>
      </w:r>
      <w:r>
        <w:t>s</w:t>
      </w:r>
      <w:r w:rsidRPr="007A03EA">
        <w:t xml:space="preserve"> to certification, or </w:t>
      </w:r>
      <w:r>
        <w:t xml:space="preserve">those who were prepared in another state but came to Massachusetts to teach. </w:t>
      </w:r>
      <w:r w:rsidRPr="007A03EA">
        <w:t xml:space="preserve">By analyzing the pipeline component, one can identify trends in those who choose to </w:t>
      </w:r>
      <w:r>
        <w:t xml:space="preserve">become certified as </w:t>
      </w:r>
      <w:r w:rsidRPr="007A03EA">
        <w:t xml:space="preserve">a </w:t>
      </w:r>
      <w:r>
        <w:t>teacher</w:t>
      </w:r>
      <w:r w:rsidRPr="007A03EA">
        <w:t xml:space="preserve"> and their entrance into the </w:t>
      </w:r>
      <w:r>
        <w:t xml:space="preserve">teacher </w:t>
      </w:r>
      <w:r w:rsidRPr="007A03EA">
        <w:t>workforce.</w:t>
      </w:r>
    </w:p>
    <w:p w:rsidR="00C157EC" w:rsidRPr="007A03EA" w:rsidRDefault="00C157EC" w:rsidP="002C5575">
      <w:pPr>
        <w:pStyle w:val="Bullet1"/>
      </w:pPr>
      <w:r>
        <w:rPr>
          <w:b/>
        </w:rPr>
        <w:t>Teacher Supply</w:t>
      </w:r>
      <w:r w:rsidRPr="0044505A">
        <w:t>:</w:t>
      </w:r>
      <w:r w:rsidRPr="006353DA">
        <w:t xml:space="preserve"> </w:t>
      </w:r>
      <w:r w:rsidRPr="007A03EA">
        <w:t xml:space="preserve">This is the current pool of </w:t>
      </w:r>
      <w:r>
        <w:t>teachers</w:t>
      </w:r>
      <w:r w:rsidRPr="007A03EA">
        <w:t xml:space="preserve"> actively certified and employed in Massachusetts</w:t>
      </w:r>
      <w:r w:rsidR="00FD58DE">
        <w:t>’ public schools</w:t>
      </w:r>
      <w:r w:rsidRPr="007A03EA">
        <w:t xml:space="preserve">. This pool of </w:t>
      </w:r>
      <w:r>
        <w:t>teachers</w:t>
      </w:r>
      <w:r w:rsidRPr="007A03EA">
        <w:t xml:space="preserve"> includes both those retained from the previous year and those newly entering the </w:t>
      </w:r>
      <w:r>
        <w:t xml:space="preserve">teacher </w:t>
      </w:r>
      <w:r w:rsidRPr="007A03EA">
        <w:t>workforce.</w:t>
      </w:r>
    </w:p>
    <w:p w:rsidR="00C157EC" w:rsidRPr="007A03EA" w:rsidRDefault="00C157EC" w:rsidP="002C5575">
      <w:pPr>
        <w:pStyle w:val="Bullet1"/>
      </w:pPr>
      <w:r>
        <w:rPr>
          <w:b/>
        </w:rPr>
        <w:t>Teacher</w:t>
      </w:r>
      <w:r w:rsidRPr="007A03EA">
        <w:rPr>
          <w:b/>
        </w:rPr>
        <w:t xml:space="preserve"> Demand</w:t>
      </w:r>
      <w:r w:rsidRPr="0044505A">
        <w:t>:</w:t>
      </w:r>
      <w:r w:rsidRPr="006353DA">
        <w:t xml:space="preserve"> </w:t>
      </w:r>
      <w:r w:rsidRPr="007A03EA">
        <w:t xml:space="preserve">This is the number of </w:t>
      </w:r>
      <w:r>
        <w:t>teache</w:t>
      </w:r>
      <w:r w:rsidRPr="007A03EA">
        <w:t xml:space="preserve">rs </w:t>
      </w:r>
      <w:r>
        <w:t>in demand based on</w:t>
      </w:r>
      <w:r w:rsidRPr="007A03EA">
        <w:t xml:space="preserve"> the number of students enrolled and the ratio of pupils to </w:t>
      </w:r>
      <w:r>
        <w:t>teachers</w:t>
      </w:r>
      <w:r w:rsidRPr="007A03EA">
        <w:t>.</w:t>
      </w:r>
    </w:p>
    <w:p w:rsidR="00C157EC" w:rsidRPr="007A03EA" w:rsidRDefault="00C157EC" w:rsidP="002C5575">
      <w:pPr>
        <w:pStyle w:val="BodyText"/>
      </w:pPr>
      <w:r w:rsidRPr="007A03EA">
        <w:t>T</w:t>
      </w:r>
      <w:r>
        <w:t>ogether, t</w:t>
      </w:r>
      <w:r w:rsidRPr="007A03EA">
        <w:t xml:space="preserve">he first </w:t>
      </w:r>
      <w:r>
        <w:t>two</w:t>
      </w:r>
      <w:r w:rsidRPr="007A03EA">
        <w:t xml:space="preserve"> categories </w:t>
      </w:r>
      <w:r>
        <w:t xml:space="preserve">represent the </w:t>
      </w:r>
      <w:r w:rsidRPr="007A03EA">
        <w:t xml:space="preserve">potential supply of </w:t>
      </w:r>
      <w:r>
        <w:t>teachers.</w:t>
      </w:r>
      <w:r w:rsidRPr="007A03EA">
        <w:t xml:space="preserve"> Th</w:t>
      </w:r>
      <w:r>
        <w:t xml:space="preserve">at is, the potential supply consists of </w:t>
      </w:r>
      <w:r w:rsidRPr="007A03EA">
        <w:t xml:space="preserve">the </w:t>
      </w:r>
      <w:r>
        <w:t xml:space="preserve">present </w:t>
      </w:r>
      <w:r w:rsidRPr="007A03EA">
        <w:t xml:space="preserve">pool of </w:t>
      </w:r>
      <w:r>
        <w:t>teache</w:t>
      </w:r>
      <w:r w:rsidRPr="007A03EA">
        <w:t xml:space="preserve">rs </w:t>
      </w:r>
      <w:r>
        <w:t xml:space="preserve">and those individuals who are preparing to become teachers. </w:t>
      </w:r>
      <w:r w:rsidRPr="007A03EA">
        <w:t xml:space="preserve">In addition, </w:t>
      </w:r>
      <w:r>
        <w:t>there is movement within the teacher supply category</w:t>
      </w:r>
      <w:r w:rsidRPr="007A03EA">
        <w:t>.</w:t>
      </w:r>
      <w:r>
        <w:t xml:space="preserve"> Teachers may transfer between districts, or temporarily fall out of the active teacher pool to enter back into the pool at a later period.</w:t>
      </w:r>
      <w:r w:rsidRPr="007A03EA">
        <w:t xml:space="preserve"> By comparing the pool of active </w:t>
      </w:r>
      <w:r>
        <w:t>teachers</w:t>
      </w:r>
      <w:r w:rsidRPr="007A03EA">
        <w:t xml:space="preserve">, or effective supply, </w:t>
      </w:r>
      <w:r>
        <w:t xml:space="preserve">to the demand for teachers, </w:t>
      </w:r>
      <w:r w:rsidRPr="007A03EA">
        <w:t xml:space="preserve">one can assess whether there is a shortage (i.e., when demand is higher than supply) or a surplus (i.e., when supply is higher than demand). </w:t>
      </w:r>
      <w:r>
        <w:t>While data exists on the total number of teachers, the number of new teachers entering the Massachusetts public school system from teacher preparation programs, and the number of teachers retained each year within a given school district, the data used for this study does not include information on teacher mobility, or teachers leaving one district to enter into the teacher pool in another district. We attempted to estimate the number of transferring teachers but were limited in terms of how much we can say about this component of teacher supply.</w:t>
      </w:r>
    </w:p>
    <w:p w:rsidR="00C157EC" w:rsidRPr="007A03EA" w:rsidRDefault="00C157EC" w:rsidP="002C5575">
      <w:pPr>
        <w:pStyle w:val="BodyText"/>
      </w:pPr>
      <w:r>
        <w:t>Figure</w:t>
      </w:r>
      <w:r w:rsidRPr="007A03EA">
        <w:t xml:space="preserve"> 1 illustrates the conceptual framework that informed this study, including the different components of educator supply and demand and how they relate to one another.</w:t>
      </w:r>
    </w:p>
    <w:p w:rsidR="00C157EC" w:rsidRPr="0044505A" w:rsidRDefault="00C157EC" w:rsidP="002C5575">
      <w:pPr>
        <w:pStyle w:val="FigureTitle"/>
      </w:pPr>
      <w:proofErr w:type="gramStart"/>
      <w:r>
        <w:t>Figure</w:t>
      </w:r>
      <w:r w:rsidRPr="0044505A">
        <w:t xml:space="preserve"> </w:t>
      </w:r>
      <w:r w:rsidR="002555E4">
        <w:fldChar w:fldCharType="begin"/>
      </w:r>
      <w:r w:rsidR="003A3353">
        <w:instrText xml:space="preserve"> SEQ Exhibit \* ARABIC </w:instrText>
      </w:r>
      <w:r w:rsidR="002555E4">
        <w:fldChar w:fldCharType="separate"/>
      </w:r>
      <w:r w:rsidR="00081569">
        <w:rPr>
          <w:noProof/>
        </w:rPr>
        <w:t>1</w:t>
      </w:r>
      <w:r w:rsidR="002555E4">
        <w:rPr>
          <w:noProof/>
        </w:rPr>
        <w:fldChar w:fldCharType="end"/>
      </w:r>
      <w:r w:rsidRPr="0044505A">
        <w:t>.</w:t>
      </w:r>
      <w:proofErr w:type="gramEnd"/>
      <w:r w:rsidRPr="0044505A">
        <w:t xml:space="preserve"> Conceptual </w:t>
      </w:r>
      <w:r>
        <w:t>A</w:t>
      </w:r>
      <w:r w:rsidRPr="0044505A">
        <w:t xml:space="preserve">pproach for </w:t>
      </w:r>
      <w:r>
        <w:t>A</w:t>
      </w:r>
      <w:r w:rsidRPr="0044505A">
        <w:t xml:space="preserve">ssessing </w:t>
      </w:r>
      <w:r>
        <w:t>T</w:t>
      </w:r>
      <w:r w:rsidRPr="0044505A">
        <w:t xml:space="preserve">eacher </w:t>
      </w:r>
      <w:r>
        <w:t>S</w:t>
      </w:r>
      <w:r w:rsidRPr="0044505A">
        <w:t xml:space="preserve">upply and </w:t>
      </w:r>
      <w:r>
        <w:t>D</w:t>
      </w:r>
      <w:r w:rsidRPr="0044505A">
        <w:t>emand</w:t>
      </w:r>
    </w:p>
    <w:p w:rsidR="00C157EC" w:rsidRDefault="002555E4" w:rsidP="009C0911">
      <w:pPr>
        <w:pStyle w:val="FigurePlacement"/>
      </w:pPr>
      <w:r>
        <w:rPr>
          <w:noProof/>
        </w:rPr>
      </w:r>
      <w:r>
        <w:rPr>
          <w:noProof/>
        </w:rPr>
        <w:pict>
          <v:group id="Canvas 87" o:spid="_x0000_s1026" editas="canvas" alt="Figure 1 illustrates the conceptual framework that informed this study, including the different components of educator supply and demand and how they relate to one another.&#10;&#10;Teacher Pipeline: Teacher preparation program completers&#10;Teacher Supply: Staff retained, new entrants, transfers&#10;Teacher Demand: Pupil-teacher ratio, student enrollment&#10;&#10;Equilibrium: Demand = Supply" style="width:447pt;height:154.5pt;mso-position-horizontal-relative:char;mso-position-vertical-relative:line" coordsize="56769,19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Figure 1 illustrates the conceptual framework that informed this study, including the different components of educator supply and demand and how they relate to one another.&#10;&#10;Teacher Pipeline: Teacher preparation program completers&#10;Teacher Supply: Staff retained, new entrants, transfers&#10;Teacher Demand: Pupil-teacher ratio, student enrollment&#10;&#10;Equilibrium: Demand = Supply" style="position:absolute;width:56769;height:19621;visibility:visible;mso-wrap-style:square" stroked="t" strokeweight="1pt">
              <v:fill o:detectmouseclick="t"/>
              <v:path o:connecttype="none"/>
            </v:shape>
            <v:rect id="Rectangle 50" o:spid="_x0000_s1028" style="position:absolute;left:1800;top:1800;width:11772;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TXi8UA&#10;AADbAAAADwAAAGRycy9kb3ducmV2LnhtbESPT2sCMRTE74V+h/AKvYhm3UKRrVFEUJeCBf8dvD02&#10;z83SzUvYRN1+e1Mo9DjMzG+Y6by3rbhRFxrHCsajDARx5XTDtYLjYTWcgAgRWWPrmBT8UID57Plp&#10;ioV2d97RbR9rkSAcClRgYvSFlKEyZDGMnCdO3sV1FmOSXS11h/cEt63Ms+xdWmw4LRj0tDRUfe+v&#10;VsFqYwYL+bk9+TJ8XWxe+vVmcFbq9aVffICI1Mf/8F+71AryN/j9k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NeLxQAAANsAAAAPAAAAAAAAAAAAAAAAAJgCAABkcnMv&#10;ZG93bnJldi54bWxQSwUGAAAAAAQABAD1AAAAigMAAAAA&#10;" filled="f" strokecolor="black [3213]" strokeweight="2pt"/>
            <v:shapetype id="_x0000_t202" coordsize="21600,21600" o:spt="202" path="m,l,21600r21600,l21600,xe">
              <v:stroke joinstyle="miter"/>
              <v:path gradientshapeok="t" o:connecttype="rect"/>
            </v:shapetype>
            <v:shape id="Text Box 303" o:spid="_x0000_s1029" type="#_x0000_t202" style="position:absolute;left:2309;top:4762;width:10611;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rNL4A&#10;AADbAAAADwAAAGRycy9kb3ducmV2LnhtbESPzQrCMBCE74LvEFbwIpoqIlKNIoLgxX/xvDRrW2w2&#10;pYlafXojCB6HmfmGmc5rU4gHVS63rKDfi0AQJ1bnnCo4n1bdMQjnkTUWlknBixzMZ83GFGNtn3yg&#10;x9GnIkDYxagg876MpXRJRgZdz5bEwbvayqAPskqlrvAZ4KaQgygaSYM5h4UMS1pmlNyOd6PA1f18&#10;tcPxu9zf8EIJbzc+7SjVbtWLCQhPtf+Hf+21VjAYwvdL+AFy9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1sKzS+AAAA2wAAAA8AAAAAAAAAAAAAAAAAmAIAAGRycy9kb3ducmV2&#10;LnhtbFBLBQYAAAAABAAEAPUAAACDAwAAAAA=&#10;" filled="f" strokeweight=".5pt">
              <v:textbox>
                <w:txbxContent>
                  <w:p w:rsidR="009C4B08" w:rsidRDefault="009C4B08" w:rsidP="00C157EC">
                    <w:pPr>
                      <w:pStyle w:val="NormalWeb"/>
                      <w:spacing w:before="0" w:beforeAutospacing="0" w:after="0" w:afterAutospacing="0"/>
                      <w:jc w:val="center"/>
                    </w:pPr>
                    <w:r>
                      <w:rPr>
                        <w:rFonts w:eastAsia="Calibri"/>
                        <w:sz w:val="20"/>
                        <w:szCs w:val="20"/>
                      </w:rPr>
                      <w:t>Teacher preparation Program completers</w:t>
                    </w:r>
                  </w:p>
                </w:txbxContent>
              </v:textbox>
            </v:shape>
            <v:shape id="Text Box 303" o:spid="_x0000_s1030" type="#_x0000_t202" style="position:absolute;left:1895;top:1609;width:11535;height:2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BkMUA&#10;AADbAAAADwAAAGRycy9kb3ducmV2LnhtbESPT2sCMRTE7wW/Q3iFXkrNVqqVrVGKIOxhL/5B8PbY&#10;PDeLm5c1iev22zeFgsdhZn7DLFaDbUVPPjSOFbyPMxDEldMN1woO+83bHESIyBpbx6TghwKslqOn&#10;Beba3XlL/S7WIkE45KjAxNjlUobKkMUwdh1x8s7OW4xJ+lpqj/cEt62cZNlMWmw4LRjsaG2ouuxu&#10;VkF/LD70tjfRv67LIisu5fXzVCr18jx8f4GINMRH+L9daAWTK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kGQxQAAANsAAAAPAAAAAAAAAAAAAAAAAJgCAABkcnMv&#10;ZG93bnJldi54bWxQSwUGAAAAAAQABAD1AAAAigMAAAAA&#10;" filled="f" stroked="f" strokeweight=".5pt">
              <v:textbox>
                <w:txbxContent>
                  <w:p w:rsidR="009C4B08" w:rsidRPr="00C6742D" w:rsidRDefault="009C4B08" w:rsidP="00C157EC">
                    <w:pPr>
                      <w:pStyle w:val="NormalWeb"/>
                      <w:spacing w:before="0" w:beforeAutospacing="0" w:after="0" w:afterAutospacing="0"/>
                      <w:jc w:val="center"/>
                      <w:rPr>
                        <w:b/>
                        <w:u w:val="single"/>
                      </w:rPr>
                    </w:pPr>
                    <w:r w:rsidRPr="00C6742D">
                      <w:rPr>
                        <w:rFonts w:eastAsia="Calibri"/>
                        <w:b/>
                        <w:sz w:val="20"/>
                        <w:szCs w:val="20"/>
                        <w:u w:val="single"/>
                      </w:rPr>
                      <w:t>Teacher Pipeline</w:t>
                    </w:r>
                  </w:p>
                </w:txbxContent>
              </v:textbox>
            </v:shape>
            <v:shape id="Text Box 303" o:spid="_x0000_s1031" type="#_x0000_t202" style="position:absolute;left:19526;top:762;width:11049;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Tf58UA&#10;AADbAAAADwAAAGRycy9kb3ducmV2LnhtbESPwWrDMBBE74X+g9hCLqWRG0JS3MihBAI++JI0BHpb&#10;rK1lbK1cSXGcv48KhR6HmXnDbLaT7cVIPrSOFbzOMxDEtdMtNwpOn/uXNxAhImvsHZOCGwXYFo8P&#10;G8y1u/KBxmNsRIJwyFGBiXHIpQy1IYth7gbi5H07bzEm6RupPV4T3PZykWUrabHltGBwoJ2hujte&#10;rILxXC71YTTRP++qMiu76mf9VSk1e5o+3kFEmuJ/+K9dagWLFfx+ST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nxQAAANsAAAAPAAAAAAAAAAAAAAAAAJgCAABkcnMv&#10;ZG93bnJldi54bWxQSwUGAAAAAAQABAD1AAAAigMAAAAA&#10;" filled="f" stroked="f" strokeweight=".5pt">
              <v:textbox>
                <w:txbxContent>
                  <w:p w:rsidR="009C4B08" w:rsidRPr="00C6742D" w:rsidRDefault="009C4B08" w:rsidP="00C157EC">
                    <w:pPr>
                      <w:pStyle w:val="NormalWeb"/>
                      <w:spacing w:before="0" w:beforeAutospacing="0" w:after="0" w:afterAutospacing="0"/>
                      <w:ind w:right="-90" w:hanging="180"/>
                      <w:jc w:val="center"/>
                      <w:rPr>
                        <w:b/>
                        <w:u w:val="single"/>
                      </w:rPr>
                    </w:pPr>
                    <w:r w:rsidRPr="00C6742D">
                      <w:rPr>
                        <w:rFonts w:eastAsia="Calibri"/>
                        <w:b/>
                        <w:sz w:val="20"/>
                        <w:szCs w:val="20"/>
                        <w:u w:val="single"/>
                      </w:rPr>
                      <w:t xml:space="preserve">Teacher </w:t>
                    </w:r>
                    <w:r>
                      <w:rPr>
                        <w:rFonts w:eastAsia="Calibri"/>
                        <w:b/>
                        <w:sz w:val="20"/>
                        <w:szCs w:val="20"/>
                        <w:u w:val="single"/>
                      </w:rPr>
                      <w:t>Supply</w:t>
                    </w:r>
                  </w:p>
                </w:txbxContent>
              </v:textbox>
            </v:shape>
            <v:shape id="Text Box 303" o:spid="_x0000_s1032" type="#_x0000_t202" style="position:absolute;left:19526;top:4762;width:10887;height:6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61Q74A&#10;AADbAAAADwAAAGRycy9kb3ducmV2LnhtbESPzQrCMBCE74LvEFbwIprqQaUaRQTBi//ieWnWtths&#10;ShO1+vRGEDwOM/MNM53XphAPqlxuWUG/F4EgTqzOOVVwPq26YxDOI2ssLJOCFzmYz5qNKcbaPvlA&#10;j6NPRYCwi1FB5n0ZS+mSjAy6ni2Jg3e1lUEfZJVKXeEzwE0hB1E0lAZzDgsZlrTMKLkd70aBq/v5&#10;aofjd7m/4YUS3m582lGq3aoXExCeav8P/9prrWAwgu+X8APk7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2+tUO+AAAA2wAAAA8AAAAAAAAAAAAAAAAAmAIAAGRycy9kb3ducmV2&#10;LnhtbFBLBQYAAAAABAAEAPUAAACDAwAAAAA=&#10;" filled="f" strokeweight=".5pt">
              <v:textbox>
                <w:txbxContent>
                  <w:p w:rsidR="009C4B08" w:rsidRPr="00C6742D" w:rsidRDefault="009C4B08" w:rsidP="00C157EC">
                    <w:pPr>
                      <w:pStyle w:val="NormalWeb"/>
                      <w:numPr>
                        <w:ilvl w:val="0"/>
                        <w:numId w:val="29"/>
                      </w:numPr>
                      <w:spacing w:before="0" w:beforeAutospacing="0" w:after="0" w:afterAutospacing="0"/>
                      <w:ind w:left="90" w:hanging="180"/>
                    </w:pPr>
                    <w:r>
                      <w:rPr>
                        <w:rFonts w:eastAsia="Calibri"/>
                        <w:sz w:val="20"/>
                        <w:szCs w:val="20"/>
                      </w:rPr>
                      <w:t>Staff retained</w:t>
                    </w:r>
                  </w:p>
                  <w:p w:rsidR="009C4B08" w:rsidRPr="00C6742D" w:rsidRDefault="009C4B08" w:rsidP="00C157EC">
                    <w:pPr>
                      <w:pStyle w:val="NormalWeb"/>
                      <w:numPr>
                        <w:ilvl w:val="0"/>
                        <w:numId w:val="29"/>
                      </w:numPr>
                      <w:spacing w:before="0" w:beforeAutospacing="0" w:after="0" w:afterAutospacing="0"/>
                      <w:ind w:left="90" w:hanging="180"/>
                    </w:pPr>
                    <w:r>
                      <w:rPr>
                        <w:rFonts w:eastAsia="Calibri"/>
                        <w:sz w:val="20"/>
                        <w:szCs w:val="20"/>
                      </w:rPr>
                      <w:t>New entrants</w:t>
                    </w:r>
                  </w:p>
                  <w:p w:rsidR="009C4B08" w:rsidRDefault="009C4B08" w:rsidP="00C157EC">
                    <w:pPr>
                      <w:pStyle w:val="NormalWeb"/>
                      <w:numPr>
                        <w:ilvl w:val="0"/>
                        <w:numId w:val="29"/>
                      </w:numPr>
                      <w:spacing w:before="0" w:beforeAutospacing="0" w:after="0" w:afterAutospacing="0"/>
                      <w:ind w:left="90" w:right="375" w:hanging="180"/>
                    </w:pPr>
                    <w:r>
                      <w:rPr>
                        <w:rFonts w:eastAsia="Calibri"/>
                        <w:sz w:val="20"/>
                        <w:szCs w:val="20"/>
                      </w:rPr>
                      <w:t>Transfers</w:t>
                    </w:r>
                  </w:p>
                </w:txbxContent>
              </v:textbox>
            </v:shape>
            <v:rect id="Rectangle 290" o:spid="_x0000_s1033" style="position:absolute;left:19135;top:1895;width:11773;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2hcYA&#10;AADcAAAADwAAAGRycy9kb3ducmV2LnhtbESPT2sCMRTE74V+h/AKvYhmXUqRrVFEUJeCBf8dvD02&#10;z83SzUvYRN1+e1Mo9DjMzG+Y6by3rbhRFxrHCsajDARx5XTDtYLjYTWcgAgRWWPrmBT8UID57Plp&#10;ioV2d97RbR9rkSAcClRgYvSFlKEyZDGMnCdO3sV1FmOSXS11h/cEt63Ms+xdWmw4LRj0tDRUfe+v&#10;VsFqYwYL+bk9+TJ8XWxe+vVmcFbq9aVffICI1Mf/8F+71Ary/A1+z6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f2hcYAAADcAAAADwAAAAAAAAAAAAAAAACYAgAAZHJz&#10;L2Rvd25yZXYueG1sUEsFBgAAAAAEAAQA9QAAAIsDAAAAAA==&#10;" filled="f" strokecolor="black [3213]" strokeweight="2pt"/>
            <v:shape id="Text Box 303" o:spid="_x0000_s1034" type="#_x0000_t202" style="position:absolute;left:39731;top:5238;width:14435;height: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r8A&#10;AADcAAAADwAAAGRycy9kb3ducmV2LnhtbESPzQrCMBCE74LvEFbwIpqqIFKNIoLgxX/xvDRrW2w2&#10;pYlafXojCB6HmfmGmc5rU4gHVS63rKDfi0AQJ1bnnCo4n1bdMQjnkTUWlknBixzMZ83GFGNtn3yg&#10;x9GnIkDYxagg876MpXRJRgZdz5bEwbvayqAPskqlrvAZ4KaQgygaSYM5h4UMS1pmlNyOd6PA1f18&#10;tcPxu9zf8EIJbzc+7SjVbtWLCQhPtf+Hf+21VjAYjuB7JhwBOf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evwAAANwAAAAPAAAAAAAAAAAAAAAAAJgCAABkcnMvZG93bnJl&#10;di54bWxQSwUGAAAAAAQABAD1AAAAhAMAAAAA&#10;" filled="f" strokeweight=".5pt">
              <v:textbox>
                <w:txbxContent>
                  <w:p w:rsidR="009C4B08" w:rsidRPr="00C6742D" w:rsidRDefault="009C4B08" w:rsidP="00C157EC">
                    <w:pPr>
                      <w:pStyle w:val="NormalWeb"/>
                      <w:numPr>
                        <w:ilvl w:val="0"/>
                        <w:numId w:val="29"/>
                      </w:numPr>
                      <w:spacing w:before="0" w:beforeAutospacing="0" w:after="0" w:afterAutospacing="0"/>
                      <w:ind w:left="180" w:right="-60" w:hanging="180"/>
                    </w:pPr>
                    <w:r>
                      <w:rPr>
                        <w:rFonts w:eastAsia="Calibri"/>
                        <w:sz w:val="20"/>
                        <w:szCs w:val="20"/>
                      </w:rPr>
                      <w:t>Pupil–teacher ratio</w:t>
                    </w:r>
                  </w:p>
                  <w:p w:rsidR="009C4B08" w:rsidRPr="00C6742D" w:rsidRDefault="009C4B08" w:rsidP="00C157EC">
                    <w:pPr>
                      <w:pStyle w:val="NormalWeb"/>
                      <w:numPr>
                        <w:ilvl w:val="0"/>
                        <w:numId w:val="29"/>
                      </w:numPr>
                      <w:spacing w:before="0" w:beforeAutospacing="0" w:after="0" w:afterAutospacing="0"/>
                      <w:ind w:left="180" w:right="-60" w:hanging="180"/>
                      <w:rPr>
                        <w:sz w:val="20"/>
                        <w:szCs w:val="20"/>
                      </w:rPr>
                    </w:pPr>
                    <w:r w:rsidRPr="00C6742D">
                      <w:rPr>
                        <w:sz w:val="20"/>
                        <w:szCs w:val="20"/>
                      </w:rPr>
                      <w:t xml:space="preserve">Student </w:t>
                    </w:r>
                    <w:r>
                      <w:rPr>
                        <w:sz w:val="20"/>
                        <w:szCs w:val="20"/>
                      </w:rPr>
                      <w:t>e</w:t>
                    </w:r>
                    <w:r w:rsidRPr="00C6742D">
                      <w:rPr>
                        <w:sz w:val="20"/>
                        <w:szCs w:val="20"/>
                      </w:rPr>
                      <w:t>nrollment</w:t>
                    </w:r>
                  </w:p>
                </w:txbxContent>
              </v:textbox>
            </v:shape>
            <v:shape id="Text Box 303" o:spid="_x0000_s1035" type="#_x0000_t202" style="position:absolute;left:41043;top:1895;width:11820;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ANXcUA&#10;AADcAAAADwAAAGRycy9kb3ducmV2LnhtbESPQWsCMRSE74L/ITyhF6nZ2qJlNUoRhD3sRVuE3h6b&#10;183i5mVN4rr9940g9DjMzDfMejvYVvTkQ+NYwcssA0FcOd1wreDrc//8DiJEZI2tY1LwSwG2m/Fo&#10;jbl2Nz5Qf4y1SBAOOSowMXa5lKEyZDHMXEecvB/nLcYkfS21x1uC21bOs2whLTacFgx2tDNUnY9X&#10;q6A/FW/60Jvop7uyyIpzeVl+l0o9TYaPFYhIQ/wPP9qFVjB/XcL9TDo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MA1dxQAAANwAAAAPAAAAAAAAAAAAAAAAAJgCAABkcnMv&#10;ZG93bnJldi54bWxQSwUGAAAAAAQABAD1AAAAigMAAAAA&#10;" filled="f" stroked="f" strokeweight=".5pt">
              <v:textbox>
                <w:txbxContent>
                  <w:p w:rsidR="009C4B08" w:rsidRPr="00C6742D" w:rsidRDefault="009C4B08" w:rsidP="00C157EC">
                    <w:pPr>
                      <w:pStyle w:val="NormalWeb"/>
                      <w:spacing w:before="0" w:beforeAutospacing="0" w:after="0" w:afterAutospacing="0"/>
                      <w:jc w:val="center"/>
                      <w:rPr>
                        <w:b/>
                        <w:u w:val="single"/>
                      </w:rPr>
                    </w:pPr>
                    <w:r w:rsidRPr="00C6742D">
                      <w:rPr>
                        <w:rFonts w:eastAsia="Calibri"/>
                        <w:b/>
                        <w:sz w:val="20"/>
                        <w:szCs w:val="20"/>
                        <w:u w:val="single"/>
                      </w:rPr>
                      <w:t>Teacher Demand</w:t>
                    </w:r>
                  </w:p>
                </w:txbxContent>
              </v:textbox>
            </v:shape>
            <v:rect id="Rectangle 298" o:spid="_x0000_s1036" style="position:absolute;left:39233;top:1895;width:15440;height:10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NqXcMA&#10;AADcAAAADwAAAGRycy9kb3ducmV2LnhtbERPy2oCMRTdF/yHcAU3oplOoZTRKCJYB6GF+li4u0yu&#10;k8HJTZhEHf++WRS6PJz3fNnbVtypC41jBa/TDARx5XTDtYLjYTP5ABEissbWMSl4UoDlYvAyx0K7&#10;B//QfR9rkUI4FKjAxOgLKUNlyGKYOk+cuIvrLMYEu1rqDh8p3LYyz7J3abHh1GDQ09pQdd3frILN&#10;1oxXcvd18mX4vti89J/b8Vmp0bBfzUBE6uO/+M9dagX5W1qbzqQj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WNqXcMAAADcAAAADwAAAAAAAAAAAAAAAACYAgAAZHJzL2Rv&#10;d25yZXYueG1sUEsFBgAAAAAEAAQA9QAAAIgDAAAAAA==&#10;" filled="f" strokecolor="black [3213]" strokeweight="2pt"/>
            <v:shapetype id="_x0000_t32" coordsize="21600,21600" o:spt="32" o:oned="t" path="m,l21600,21600e" filled="f">
              <v:path arrowok="t" fillok="f" o:connecttype="none"/>
              <o:lock v:ext="edit" shapetype="t"/>
            </v:shapetype>
            <v:shape id="Straight Arrow Connector 299" o:spid="_x0000_s1037" type="#_x0000_t32" style="position:absolute;left:30768;top:7143;width:8477;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fA68QAAADcAAAADwAAAGRycy9kb3ducmV2LnhtbESPQYvCMBSE74L/IbyFvWm6VaRWo6iL&#10;IIjIugoeH83btmzzUpqo9d8bQfA4zMw3zHTemkpcqXGlZQVf/QgEcWZ1ybmC4++6l4BwHlljZZkU&#10;3MnBfNbtTDHV9sY/dD34XAQIuxQVFN7XqZQuK8ig69uaOHh/tjHog2xyqRu8BbipZBxFI2mw5LBQ&#10;YE2rgrL/w8UoOA+W+5Mx3zuXnNrKbuNhstdDpT4/2sUEhKfWv8Ov9kYriAdjeJ4JR0DO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J8DrxAAAANwAAAAPAAAAAAAAAAAA&#10;AAAAAKECAABkcnMvZG93bnJldi54bWxQSwUGAAAAAAQABAD5AAAAkgMAAAAA&#10;" strokecolor="black [3213]" strokeweight="1pt">
              <v:stroke startarrow="open" endarrow="open"/>
            </v:shape>
            <v:shape id="Straight Arrow Connector 317" o:spid="_x0000_s1038" type="#_x0000_t32" style="position:absolute;left:13572;top:7143;width:55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L3e8QAAADcAAAADwAAAGRycy9kb3ducmV2LnhtbERP3WrCMBS+H/gO4Qy8GTNVhrhqLHXM&#10;zYsNsfUBDs1ZU2xOShO18+nNxWCXH9//KhtsKy7U+8axgukkAUFcOd1wreBYbp8XIHxA1tg6JgW/&#10;5CFbjx5WmGp35QNdilCLGMI+RQUmhC6V0leGLPqJ64gj9+N6iyHCvpa6x2sMt62cJclcWmw4Nhjs&#10;6M1QdSrOVkH4vH0cNuenIb81p92+NK/vX9NvpcaPQ74EEWgI/+I/904rmL3E+fFMPAJ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0vd7xAAAANwAAAAPAAAAAAAAAAAA&#10;AAAAAKECAABkcnMvZG93bnJldi54bWxQSwUGAAAAAAQABAD5AAAAkgMAAAAA&#10;" strokecolor="black [3213]" strokeweight="1pt">
              <v:stroke endarrow="open"/>
            </v:shape>
            <v:shape id="Straight Arrow Connector 318" o:spid="_x0000_s1039" type="#_x0000_t32" style="position:absolute;left:35051;top:8086;width:0;height:55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a/uMYAAADcAAAADwAAAGRycy9kb3ducmV2LnhtbESPQWvCQBSE7wX/w/IKvRTdGFqR1FWM&#10;IOSibVWkx0f2NQlm34bdrYn/visUehxm5htmsRpMK67kfGNZwXSSgCAurW64UnA6bsdzED4ga2wt&#10;k4IbeVgtRw8LzLTt+ZOuh1CJCGGfoYI6hC6T0pc1GfQT2xFH79s6gyFKV0ntsI9w08o0SWbSYMNx&#10;ocaONjWVl8OPUZCnedJ9fD2/F3vt+vx82b3eip1ST4/D+g1EoCH8h//ahVaQvkzhfiYe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2v7jGAAAA3AAAAA8AAAAAAAAA&#10;AAAAAAAAoQIAAGRycy9kb3ducmV2LnhtbFBLBQYAAAAABAAEAPkAAACUAwAAAAA=&#10;" strokecolor="black [3213]" strokeweight="1pt">
              <v:stroke endarrow="open"/>
            </v:shape>
            <v:shape id="Text Box 303" o:spid="_x0000_s1040" type="#_x0000_t202" style="position:absolute;left:27849;top:14287;width:13775;height:38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duMUA&#10;AADcAAAADwAAAGRycy9kb3ducmV2LnhtbESPQWvCQBSE70L/w/KEXkQ3BmkluooIhRxy0UrB2yP7&#10;zAazb9PdbUz/fbdQ6HGYmW+Y7X60nRjIh9axguUiA0FcO91yo+Dy/jZfgwgRWWPnmBR8U4D97mmy&#10;xUK7B59oOMdGJAiHAhWYGPtCylAbshgWridO3s15izFJ30jt8ZHgtpN5lr1Iiy2nBYM9HQ3V9/OX&#10;VTB8lCt9Gkz0s2NVZuW9+ny9Vko9T8fDBkSkMf6H/9qlVpCvcvg9k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24xQAAANwAAAAPAAAAAAAAAAAAAAAAAJgCAABkcnMv&#10;ZG93bnJldi54bWxQSwUGAAAAAAQABAD1AAAAigMAAAAA&#10;" filled="f" stroked="f" strokeweight=".5pt">
              <v:textbox>
                <w:txbxContent>
                  <w:p w:rsidR="009C4B08" w:rsidRPr="0044505A" w:rsidRDefault="009C4B08" w:rsidP="00C157EC">
                    <w:pPr>
                      <w:pStyle w:val="NormalWeb"/>
                      <w:spacing w:before="0" w:beforeAutospacing="0" w:after="0" w:afterAutospacing="0"/>
                      <w:jc w:val="center"/>
                      <w:rPr>
                        <w:b/>
                        <w:sz w:val="20"/>
                        <w:szCs w:val="20"/>
                      </w:rPr>
                    </w:pPr>
                    <w:r w:rsidRPr="0044505A">
                      <w:rPr>
                        <w:rFonts w:eastAsia="Calibri"/>
                        <w:b/>
                        <w:sz w:val="20"/>
                        <w:szCs w:val="20"/>
                      </w:rPr>
                      <w:t>Equilibrium (Demand</w:t>
                    </w:r>
                    <w:r>
                      <w:rPr>
                        <w:rFonts w:eastAsia="Calibri"/>
                        <w:b/>
                        <w:sz w:val="20"/>
                        <w:szCs w:val="20"/>
                      </w:rPr>
                      <w:t xml:space="preserve"> </w:t>
                    </w:r>
                    <w:r w:rsidRPr="0044505A">
                      <w:rPr>
                        <w:rFonts w:eastAsia="Calibri"/>
                        <w:b/>
                        <w:sz w:val="20"/>
                        <w:szCs w:val="20"/>
                      </w:rPr>
                      <w:t>=</w:t>
                    </w:r>
                    <w:r>
                      <w:rPr>
                        <w:rFonts w:eastAsia="Calibri"/>
                        <w:b/>
                        <w:sz w:val="20"/>
                        <w:szCs w:val="20"/>
                      </w:rPr>
                      <w:t xml:space="preserve"> </w:t>
                    </w:r>
                    <w:r w:rsidRPr="0044505A">
                      <w:rPr>
                        <w:rFonts w:eastAsia="Calibri"/>
                        <w:b/>
                        <w:sz w:val="20"/>
                        <w:szCs w:val="20"/>
                      </w:rPr>
                      <w:t>Supply)</w:t>
                    </w:r>
                  </w:p>
                </w:txbxContent>
              </v:textbox>
            </v:shape>
            <w10:wrap type="none"/>
            <w10:anchorlock/>
          </v:group>
        </w:pict>
      </w:r>
      <w:bookmarkStart w:id="29" w:name="_GoBack"/>
      <w:bookmarkEnd w:id="29"/>
    </w:p>
    <w:p w:rsidR="00C157EC" w:rsidRDefault="00C157EC" w:rsidP="00C157EC">
      <w:pPr>
        <w:pStyle w:val="Heading3"/>
      </w:pPr>
      <w:bookmarkStart w:id="30" w:name="_Toc435614377"/>
      <w:bookmarkStart w:id="31" w:name="_Toc436724281"/>
      <w:bookmarkStart w:id="32" w:name="_Toc437284985"/>
      <w:r>
        <w:t>General Approach to the Analysis</w:t>
      </w:r>
      <w:bookmarkEnd w:id="30"/>
      <w:bookmarkEnd w:id="31"/>
      <w:bookmarkEnd w:id="32"/>
    </w:p>
    <w:p w:rsidR="00C157EC" w:rsidRDefault="00C157EC" w:rsidP="002C5575">
      <w:pPr>
        <w:pStyle w:val="BodyText"/>
      </w:pPr>
      <w:r>
        <w:t>To address the research questions, the AIR research team adopted the general approach of analyzing historical data on supply and demand to identify trends over time and apply these to future years. Much of the analysis used a regression-based approach, which is described in more detail in Appendix A. Projections were made at the district level and were then aggregated to the level of the unit of analysis. For example, to analyze statewide trends of supply and demand, estimates for all districts in our sample were aggregated. To analyze regional trends, however, only the estimates for those districts within a particular region were aggregated.</w:t>
      </w:r>
    </w:p>
    <w:p w:rsidR="00C157EC" w:rsidRDefault="00C157EC" w:rsidP="002C5575">
      <w:pPr>
        <w:pStyle w:val="BodyText"/>
      </w:pPr>
      <w:r>
        <w:t>The following sections describe the data sources and methodologies used to address each research question. The methodologies as well as the limitations of our analysis are also discussed in more detail in Appendix A.</w:t>
      </w:r>
    </w:p>
    <w:p w:rsidR="00C157EC" w:rsidRDefault="00C157EC" w:rsidP="00C157EC">
      <w:pPr>
        <w:pStyle w:val="Heading3"/>
      </w:pPr>
      <w:bookmarkStart w:id="33" w:name="_Toc436724282"/>
      <w:bookmarkStart w:id="34" w:name="_Toc437284986"/>
      <w:r>
        <w:t>Data Sources</w:t>
      </w:r>
      <w:bookmarkEnd w:id="33"/>
      <w:bookmarkEnd w:id="34"/>
    </w:p>
    <w:p w:rsidR="00C157EC" w:rsidRDefault="00C157EC" w:rsidP="002C5575">
      <w:pPr>
        <w:pStyle w:val="BodyText"/>
      </w:pPr>
      <w:r>
        <w:t>There were a variety of data sources used to analyze the research questions (see Table 1), including primarily public reports made available on the ESE Profiles website, data from the National Center for Education Statistics</w:t>
      </w:r>
      <w:r w:rsidR="00276368">
        <w:t xml:space="preserve"> (NCES)</w:t>
      </w:r>
      <w:r>
        <w:t>, as well as population data from the Center for Disease Control</w:t>
      </w:r>
      <w:r w:rsidR="00276368">
        <w:t xml:space="preserve"> (CDC)</w:t>
      </w:r>
      <w:r>
        <w:t xml:space="preserve">, and U.S. Census Bureau. A brief description of each data source is presented below, and </w:t>
      </w:r>
      <w:r w:rsidR="00FD58DE">
        <w:t>Table 1</w:t>
      </w:r>
      <w:r>
        <w:t xml:space="preserve"> presents the data sources used for each research question.</w:t>
      </w:r>
      <w:r>
        <w:rPr>
          <w:rStyle w:val="FootnoteReference"/>
        </w:rPr>
        <w:footnoteReference w:id="4"/>
      </w:r>
    </w:p>
    <w:p w:rsidR="00C157EC" w:rsidRPr="0044505A" w:rsidRDefault="00C157EC" w:rsidP="002C5575">
      <w:pPr>
        <w:pStyle w:val="Bullet1"/>
      </w:pPr>
      <w:r w:rsidRPr="003A0DD7">
        <w:rPr>
          <w:b/>
        </w:rPr>
        <w:t>School and District Profiles</w:t>
      </w:r>
      <w:r w:rsidRPr="007E43DF">
        <w:rPr>
          <w:b/>
        </w:rPr>
        <w:t>.</w:t>
      </w:r>
      <w:r>
        <w:t xml:space="preserve"> </w:t>
      </w:r>
      <w:r w:rsidRPr="007E43DF">
        <w:t>These online profiles include aggregate school- and district-level data on a number of different elements, including student enrollment, college enrollment</w:t>
      </w:r>
      <w:r>
        <w:t xml:space="preserve"> and program completion</w:t>
      </w:r>
      <w:r w:rsidRPr="007E43DF">
        <w:t xml:space="preserve">, </w:t>
      </w:r>
      <w:r>
        <w:t>teacher and student characteristics, and teacher retention</w:t>
      </w:r>
      <w:r w:rsidRPr="007E43DF">
        <w:t xml:space="preserve">. </w:t>
      </w:r>
      <w:r>
        <w:t>The following sub-bullet points describe each report used from the School and District Profiles.</w:t>
      </w:r>
    </w:p>
    <w:p w:rsidR="00C157EC" w:rsidRDefault="00C157EC" w:rsidP="002C5575">
      <w:pPr>
        <w:pStyle w:val="Bullet2"/>
      </w:pPr>
      <w:r w:rsidRPr="00795207">
        <w:rPr>
          <w:b/>
        </w:rPr>
        <w:t>Enrollment by Grade Report</w:t>
      </w:r>
      <w:r>
        <w:t>.</w:t>
      </w:r>
      <w:r w:rsidRPr="00F020E6">
        <w:t xml:space="preserve"> </w:t>
      </w:r>
      <w:r>
        <w:t xml:space="preserve">This report includes </w:t>
      </w:r>
      <w:r w:rsidRPr="00D37382">
        <w:t xml:space="preserve">student enrollment for </w:t>
      </w:r>
      <w:r>
        <w:t xml:space="preserve">Grades </w:t>
      </w:r>
      <w:r w:rsidRPr="00D37382">
        <w:t>K</w:t>
      </w:r>
      <w:r>
        <w:t>–</w:t>
      </w:r>
      <w:r w:rsidRPr="00D37382">
        <w:t>12</w:t>
      </w:r>
      <w:r>
        <w:t xml:space="preserve"> in</w:t>
      </w:r>
      <w:r w:rsidRPr="00D37382">
        <w:t xml:space="preserve"> </w:t>
      </w:r>
      <w:r>
        <w:t>school</w:t>
      </w:r>
      <w:r w:rsidRPr="00D37382">
        <w:t xml:space="preserve"> years 200</w:t>
      </w:r>
      <w:r>
        <w:t>3–0</w:t>
      </w:r>
      <w:r w:rsidRPr="00D37382">
        <w:t>4</w:t>
      </w:r>
      <w:r>
        <w:t xml:space="preserve"> through </w:t>
      </w:r>
      <w:r w:rsidRPr="00D37382">
        <w:t>201</w:t>
      </w:r>
      <w:r>
        <w:t>4–1</w:t>
      </w:r>
      <w:r w:rsidRPr="00D37382">
        <w:t>5</w:t>
      </w:r>
      <w:r>
        <w:t>.</w:t>
      </w:r>
    </w:p>
    <w:p w:rsidR="00C157EC" w:rsidRPr="00CC4114" w:rsidRDefault="00C157EC" w:rsidP="002C5575">
      <w:pPr>
        <w:pStyle w:val="Bullet2"/>
        <w:rPr>
          <w:b/>
        </w:rPr>
      </w:pPr>
      <w:r w:rsidRPr="00CC4114">
        <w:rPr>
          <w:b/>
        </w:rPr>
        <w:t>Enrollment by Select Populations Report</w:t>
      </w:r>
      <w:r>
        <w:t>.</w:t>
      </w:r>
      <w:r w:rsidRPr="00D52F1B">
        <w:t xml:space="preserve"> </w:t>
      </w:r>
      <w:r>
        <w:t>This report includes student enrollment by selected populations of students, including students with disabilities and students eligible for free or reduced price lunch in school years 2008–09 through 2014–15.</w:t>
      </w:r>
    </w:p>
    <w:p w:rsidR="00C157EC" w:rsidRPr="0044505A" w:rsidRDefault="00C157EC" w:rsidP="002C5575">
      <w:pPr>
        <w:pStyle w:val="Bullet2"/>
        <w:rPr>
          <w:b/>
        </w:rPr>
      </w:pPr>
      <w:r>
        <w:rPr>
          <w:b/>
        </w:rPr>
        <w:t>Enrollment by Race/Gender Report</w:t>
      </w:r>
      <w:r>
        <w:t>.</w:t>
      </w:r>
      <w:r w:rsidRPr="00D52F1B">
        <w:t xml:space="preserve"> </w:t>
      </w:r>
      <w:r>
        <w:t>This report includes student enrollment by race/ethnicity and gender in fiscal years 2008–09 through 2014–15.</w:t>
      </w:r>
    </w:p>
    <w:p w:rsidR="00C157EC" w:rsidRDefault="00C157EC" w:rsidP="002C5575">
      <w:pPr>
        <w:pStyle w:val="Bullet2"/>
      </w:pPr>
      <w:r w:rsidRPr="00795207">
        <w:rPr>
          <w:b/>
        </w:rPr>
        <w:t>Teacher Data Report</w:t>
      </w:r>
      <w:r>
        <w:t>.</w:t>
      </w:r>
      <w:r w:rsidRPr="0037386B">
        <w:t xml:space="preserve"> </w:t>
      </w:r>
      <w:r>
        <w:t>This report includes full-time equivalent counts of teachers by district in fiscal years 2008–09 through 2013–14.</w:t>
      </w:r>
    </w:p>
    <w:p w:rsidR="00C157EC" w:rsidRPr="0044505A" w:rsidRDefault="00C157EC" w:rsidP="002C5575">
      <w:pPr>
        <w:pStyle w:val="Bullet2"/>
        <w:rPr>
          <w:b/>
        </w:rPr>
      </w:pPr>
      <w:r>
        <w:rPr>
          <w:b/>
        </w:rPr>
        <w:t>Ed Prep Employment by Year and Program</w:t>
      </w:r>
      <w:r>
        <w:t>.</w:t>
      </w:r>
      <w:r w:rsidRPr="0072719B">
        <w:t xml:space="preserve"> </w:t>
      </w:r>
      <w:r>
        <w:t>This report includes the number of program completers overall and by teacher preparation program and the percent of these individuals employed in a public school in Massachusetts in the school years 2011–12 through 2013–14.</w:t>
      </w:r>
    </w:p>
    <w:p w:rsidR="00C157EC" w:rsidRPr="0044505A" w:rsidRDefault="00C157EC" w:rsidP="002C5575">
      <w:pPr>
        <w:pStyle w:val="Bullet2"/>
        <w:rPr>
          <w:b/>
        </w:rPr>
      </w:pPr>
      <w:r w:rsidRPr="0044505A">
        <w:rPr>
          <w:b/>
        </w:rPr>
        <w:t>Staff Retention Report</w:t>
      </w:r>
      <w:r>
        <w:t>.</w:t>
      </w:r>
      <w:r w:rsidRPr="00400EEA">
        <w:t xml:space="preserve"> </w:t>
      </w:r>
      <w:r>
        <w:t>This report includes staff counts of retained teachers and total teachers in school years 2008–09 through 2013–14.</w:t>
      </w:r>
    </w:p>
    <w:p w:rsidR="00C157EC" w:rsidRPr="00D37382" w:rsidRDefault="00C157EC" w:rsidP="002C5575">
      <w:pPr>
        <w:pStyle w:val="Bullet1"/>
      </w:pPr>
      <w:r w:rsidRPr="00795207">
        <w:rPr>
          <w:b/>
        </w:rPr>
        <w:t>2014 Lists of Massachusetts Schools and Districts by Accountability and Assistance Level</w:t>
      </w:r>
      <w:r>
        <w:t>.</w:t>
      </w:r>
      <w:r w:rsidRPr="00447E17">
        <w:t xml:space="preserve"> </w:t>
      </w:r>
      <w:r>
        <w:t xml:space="preserve">This </w:t>
      </w:r>
      <w:r w:rsidRPr="00D37382">
        <w:t xml:space="preserve">report </w:t>
      </w:r>
      <w:r>
        <w:t>shows</w:t>
      </w:r>
      <w:r w:rsidRPr="00D37382">
        <w:t xml:space="preserve"> assign</w:t>
      </w:r>
      <w:r>
        <w:t>ed</w:t>
      </w:r>
      <w:r w:rsidRPr="00D37382">
        <w:t xml:space="preserve"> districts a </w:t>
      </w:r>
      <w:r>
        <w:t>District and School Assistance Center (</w:t>
      </w:r>
      <w:r w:rsidRPr="00D37382">
        <w:t>DSAC</w:t>
      </w:r>
      <w:r>
        <w:t>)</w:t>
      </w:r>
      <w:r w:rsidRPr="00D37382">
        <w:t xml:space="preserve"> region in conjunction with consultation with </w:t>
      </w:r>
      <w:r>
        <w:t>the Department of Elementary and Secondary Education (</w:t>
      </w:r>
      <w:r w:rsidRPr="00D37382">
        <w:t>ESE</w:t>
      </w:r>
      <w:r>
        <w:t>)</w:t>
      </w:r>
      <w:r w:rsidRPr="00D37382">
        <w:t>.</w:t>
      </w:r>
    </w:p>
    <w:p w:rsidR="00C157EC" w:rsidRPr="00D37382" w:rsidRDefault="00C157EC" w:rsidP="002C5575">
      <w:pPr>
        <w:pStyle w:val="Bullet1"/>
      </w:pPr>
      <w:r w:rsidRPr="00795207">
        <w:rPr>
          <w:b/>
        </w:rPr>
        <w:t>CDC Wide-Ranging Online Data for Epidemiologic Research (WONDER)</w:t>
      </w:r>
      <w:r>
        <w:rPr>
          <w:b/>
        </w:rPr>
        <w:t>.</w:t>
      </w:r>
      <w:r w:rsidRPr="00D37382">
        <w:t xml:space="preserve"> This online database includes the birth counts in Massachusetts by county for years 2002</w:t>
      </w:r>
      <w:r>
        <w:t>–</w:t>
      </w:r>
      <w:r w:rsidRPr="00D37382">
        <w:t>2013 and the county fertility rate in 2013.</w:t>
      </w:r>
    </w:p>
    <w:p w:rsidR="00C157EC" w:rsidRDefault="00C157EC" w:rsidP="002C5575">
      <w:pPr>
        <w:pStyle w:val="Bullet1"/>
      </w:pPr>
      <w:r w:rsidRPr="00795207">
        <w:rPr>
          <w:b/>
        </w:rPr>
        <w:t>U</w:t>
      </w:r>
      <w:r>
        <w:rPr>
          <w:b/>
        </w:rPr>
        <w:t>.</w:t>
      </w:r>
      <w:r w:rsidRPr="00795207">
        <w:rPr>
          <w:b/>
        </w:rPr>
        <w:t>S</w:t>
      </w:r>
      <w:r>
        <w:rPr>
          <w:b/>
        </w:rPr>
        <w:t>.</w:t>
      </w:r>
      <w:r w:rsidRPr="00795207">
        <w:rPr>
          <w:b/>
        </w:rPr>
        <w:t xml:space="preserve"> Census Population Data</w:t>
      </w:r>
      <w:r>
        <w:rPr>
          <w:b/>
        </w:rPr>
        <w:t>.</w:t>
      </w:r>
      <w:r w:rsidRPr="00D37382">
        <w:t xml:space="preserve"> This includes the Annual County Resident Population Estimates report containing data from April 2010 through July 2014, which provides county female population by age in </w:t>
      </w:r>
      <w:r>
        <w:t>Massachusetts</w:t>
      </w:r>
      <w:r w:rsidRPr="00D37382">
        <w:t xml:space="preserve"> in 2014.</w:t>
      </w:r>
    </w:p>
    <w:p w:rsidR="00C157EC" w:rsidRDefault="00C157EC" w:rsidP="002C5575">
      <w:pPr>
        <w:pStyle w:val="Bullet1"/>
      </w:pPr>
      <w:r w:rsidRPr="000E7FD4">
        <w:rPr>
          <w:b/>
        </w:rPr>
        <w:t xml:space="preserve">NCES Common Core of Data (CCD). </w:t>
      </w:r>
      <w:r>
        <w:t>Collected annually by NCES, this resource contains fiscal and non</w:t>
      </w:r>
      <w:r w:rsidR="00545090">
        <w:t>-</w:t>
      </w:r>
      <w:r>
        <w:t>fiscal data on U.S. public schools. This information is obtained primarily through administrative data that state education agencies maintain and NCES reports at both the school and district levels. For this study, we used data on the district-level locale codes,</w:t>
      </w:r>
      <w:r>
        <w:rPr>
          <w:rStyle w:val="FootnoteReference"/>
        </w:rPr>
        <w:footnoteReference w:id="5"/>
      </w:r>
      <w:r>
        <w:t xml:space="preserve"> and the latitude and longitude of district offices.</w:t>
      </w:r>
    </w:p>
    <w:p w:rsidR="00C157EC" w:rsidRPr="0044505A" w:rsidRDefault="00C157EC" w:rsidP="002C5575">
      <w:pPr>
        <w:pStyle w:val="Bullet1"/>
        <w:sectPr w:rsidR="00C157EC" w:rsidRPr="0044505A" w:rsidSect="00FC31F1">
          <w:footerReference w:type="default" r:id="rId20"/>
          <w:pgSz w:w="12240" w:h="15840"/>
          <w:pgMar w:top="1440" w:right="1440" w:bottom="1440" w:left="1440" w:header="720" w:footer="720" w:gutter="0"/>
          <w:pgNumType w:start="1"/>
          <w:cols w:space="720"/>
          <w:docGrid w:linePitch="360"/>
        </w:sectPr>
      </w:pPr>
      <w:r w:rsidRPr="000E7FD4">
        <w:rPr>
          <w:b/>
        </w:rPr>
        <w:t>NCES Comparable Wage Index (CWI).</w:t>
      </w:r>
      <w:r>
        <w:t xml:space="preserve"> </w:t>
      </w:r>
      <w:r w:rsidRPr="007E43DF">
        <w:t xml:space="preserve">The CWI </w:t>
      </w:r>
      <w:r>
        <w:t>is an indicator of the cost of labor for a given geographic area, known as a labor market, relative to other labor markets. Areas with higher labor costs are expected to have to pay higher salaries to attract and retain teachers.</w:t>
      </w:r>
    </w:p>
    <w:p w:rsidR="00C157EC" w:rsidRDefault="00C157EC" w:rsidP="002C5575">
      <w:pPr>
        <w:pStyle w:val="TableTitle"/>
      </w:pPr>
      <w:proofErr w:type="gramStart"/>
      <w:r>
        <w:t>Table 1</w:t>
      </w:r>
      <w:r w:rsidRPr="008A4FE0">
        <w:t>.</w:t>
      </w:r>
      <w:proofErr w:type="gramEnd"/>
      <w:r w:rsidRPr="008A4FE0">
        <w:t xml:space="preserve"> Data Sources by Research Question</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6698"/>
        <w:gridCol w:w="1013"/>
        <w:gridCol w:w="1812"/>
        <w:gridCol w:w="786"/>
        <w:gridCol w:w="786"/>
        <w:gridCol w:w="1142"/>
        <w:gridCol w:w="953"/>
      </w:tblGrid>
      <w:tr w:rsidR="002C5575" w:rsidRPr="00E01522" w:rsidTr="002C5575">
        <w:trPr>
          <w:cnfStyle w:val="100000000000"/>
        </w:trPr>
        <w:tc>
          <w:tcPr>
            <w:tcW w:w="2539" w:type="pct"/>
            <w:tcBorders>
              <w:bottom w:val="single" w:sz="4" w:space="0" w:color="auto"/>
            </w:tcBorders>
          </w:tcPr>
          <w:p w:rsidR="00C157EC" w:rsidRPr="00E01522" w:rsidRDefault="00C157EC" w:rsidP="002C5575">
            <w:pPr>
              <w:pStyle w:val="TableText"/>
              <w:rPr>
                <w:b w:val="0"/>
              </w:rPr>
            </w:pPr>
            <w:r w:rsidRPr="00E01522">
              <w:t>Research Question</w:t>
            </w:r>
          </w:p>
        </w:tc>
        <w:tc>
          <w:tcPr>
            <w:tcW w:w="384" w:type="pct"/>
            <w:tcBorders>
              <w:bottom w:val="single" w:sz="4" w:space="0" w:color="auto"/>
            </w:tcBorders>
          </w:tcPr>
          <w:p w:rsidR="00C157EC" w:rsidRPr="00E01522" w:rsidRDefault="00C157EC" w:rsidP="002C5575">
            <w:pPr>
              <w:pStyle w:val="TableTextCentered"/>
              <w:rPr>
                <w:b w:val="0"/>
              </w:rPr>
            </w:pPr>
            <w:r w:rsidRPr="00E01522">
              <w:t>School and District Profiles</w:t>
            </w:r>
          </w:p>
        </w:tc>
        <w:tc>
          <w:tcPr>
            <w:tcW w:w="687" w:type="pct"/>
            <w:tcBorders>
              <w:bottom w:val="single" w:sz="4" w:space="0" w:color="auto"/>
            </w:tcBorders>
          </w:tcPr>
          <w:p w:rsidR="00C157EC" w:rsidRDefault="00C157EC" w:rsidP="002C5575">
            <w:pPr>
              <w:pStyle w:val="TableTextCentered"/>
              <w:rPr>
                <w:b w:val="0"/>
              </w:rPr>
            </w:pPr>
            <w:r>
              <w:t xml:space="preserve">ESE </w:t>
            </w:r>
            <w:r w:rsidRPr="008A4FE0">
              <w:t>Acco</w:t>
            </w:r>
            <w:r>
              <w:t>untability and Assistance Level Data</w:t>
            </w:r>
          </w:p>
        </w:tc>
        <w:tc>
          <w:tcPr>
            <w:tcW w:w="298" w:type="pct"/>
            <w:tcBorders>
              <w:bottom w:val="single" w:sz="4" w:space="0" w:color="auto"/>
            </w:tcBorders>
          </w:tcPr>
          <w:p w:rsidR="00C157EC" w:rsidRPr="00E01522" w:rsidRDefault="00C157EC" w:rsidP="002C5575">
            <w:pPr>
              <w:pStyle w:val="TableTextCentered"/>
              <w:rPr>
                <w:b w:val="0"/>
              </w:rPr>
            </w:pPr>
            <w:r>
              <w:t>NCES CCD</w:t>
            </w:r>
          </w:p>
        </w:tc>
        <w:tc>
          <w:tcPr>
            <w:tcW w:w="298" w:type="pct"/>
            <w:tcBorders>
              <w:bottom w:val="single" w:sz="4" w:space="0" w:color="auto"/>
            </w:tcBorders>
          </w:tcPr>
          <w:p w:rsidR="00C157EC" w:rsidRPr="00E01522" w:rsidRDefault="00C157EC" w:rsidP="002C5575">
            <w:pPr>
              <w:pStyle w:val="TableTextCentered"/>
              <w:rPr>
                <w:b w:val="0"/>
              </w:rPr>
            </w:pPr>
            <w:r w:rsidRPr="00E01522">
              <w:t>N</w:t>
            </w:r>
            <w:r w:rsidR="0034503F">
              <w:t>CE</w:t>
            </w:r>
            <w:r w:rsidRPr="00E01522">
              <w:t xml:space="preserve">S </w:t>
            </w:r>
            <w:r>
              <w:t>CWI</w:t>
            </w:r>
          </w:p>
        </w:tc>
        <w:tc>
          <w:tcPr>
            <w:tcW w:w="433" w:type="pct"/>
            <w:tcBorders>
              <w:bottom w:val="single" w:sz="4" w:space="0" w:color="auto"/>
            </w:tcBorders>
          </w:tcPr>
          <w:p w:rsidR="00C157EC" w:rsidRPr="00E01522" w:rsidRDefault="00C157EC" w:rsidP="002C5575">
            <w:pPr>
              <w:pStyle w:val="TableTextCentered"/>
              <w:rPr>
                <w:b w:val="0"/>
              </w:rPr>
            </w:pPr>
            <w:r>
              <w:t>CDC WONDER Data</w:t>
            </w:r>
          </w:p>
        </w:tc>
        <w:tc>
          <w:tcPr>
            <w:tcW w:w="361" w:type="pct"/>
            <w:tcBorders>
              <w:bottom w:val="single" w:sz="4" w:space="0" w:color="auto"/>
            </w:tcBorders>
          </w:tcPr>
          <w:p w:rsidR="00C157EC" w:rsidRPr="00E01522" w:rsidRDefault="00C157EC" w:rsidP="002C5575">
            <w:pPr>
              <w:pStyle w:val="TableTextCentered"/>
              <w:rPr>
                <w:b w:val="0"/>
              </w:rPr>
            </w:pPr>
            <w:r>
              <w:t>U.S. Census Data</w:t>
            </w:r>
          </w:p>
        </w:tc>
      </w:tr>
      <w:tr w:rsidR="002C5575" w:rsidRPr="00E01522" w:rsidTr="002C5575">
        <w:tc>
          <w:tcPr>
            <w:tcW w:w="2539" w:type="pct"/>
            <w:tcBorders>
              <w:bottom w:val="single" w:sz="4" w:space="0" w:color="auto"/>
            </w:tcBorders>
          </w:tcPr>
          <w:p w:rsidR="00C157EC" w:rsidRPr="00E01522" w:rsidRDefault="00C157EC" w:rsidP="00427B26">
            <w:pPr>
              <w:pStyle w:val="TableText"/>
            </w:pPr>
            <w:r w:rsidRPr="003B0930">
              <w:rPr>
                <w:b/>
              </w:rPr>
              <w:t>Research Question 1:</w:t>
            </w:r>
            <w:r>
              <w:t xml:space="preserve"> </w:t>
            </w:r>
            <w:r w:rsidRPr="007A3BB4">
              <w:t xml:space="preserve">What is the projected annual demand for teachers in Massachusetts </w:t>
            </w:r>
            <w:r w:rsidR="00427B26">
              <w:t xml:space="preserve">over </w:t>
            </w:r>
            <w:r w:rsidRPr="007A3BB4">
              <w:t>the next 10 years based on pupil–teacher ratios and projections of student enrollment?</w:t>
            </w:r>
          </w:p>
        </w:tc>
        <w:tc>
          <w:tcPr>
            <w:tcW w:w="384" w:type="pct"/>
            <w:tcBorders>
              <w:bottom w:val="single" w:sz="4" w:space="0" w:color="auto"/>
            </w:tcBorders>
          </w:tcPr>
          <w:p w:rsidR="00C157EC" w:rsidRPr="00E01522" w:rsidRDefault="00C157EC" w:rsidP="002C5575">
            <w:pPr>
              <w:pStyle w:val="TableTextCentered"/>
            </w:pPr>
            <w:r w:rsidRPr="00B46DA2">
              <w:t>●</w:t>
            </w:r>
          </w:p>
        </w:tc>
        <w:tc>
          <w:tcPr>
            <w:tcW w:w="687" w:type="pct"/>
            <w:tcBorders>
              <w:bottom w:val="single" w:sz="4" w:space="0" w:color="auto"/>
            </w:tcBorders>
          </w:tcPr>
          <w:p w:rsidR="00C157EC" w:rsidRPr="00B46DA2" w:rsidRDefault="00C157EC" w:rsidP="002C5575">
            <w:pPr>
              <w:pStyle w:val="TableTextCentered"/>
            </w:pPr>
            <w:r w:rsidRPr="00B46DA2">
              <w:t>●</w:t>
            </w:r>
          </w:p>
        </w:tc>
        <w:tc>
          <w:tcPr>
            <w:tcW w:w="298" w:type="pct"/>
            <w:tcBorders>
              <w:bottom w:val="single" w:sz="4" w:space="0" w:color="auto"/>
            </w:tcBorders>
          </w:tcPr>
          <w:p w:rsidR="00C157EC" w:rsidRPr="00E01522" w:rsidRDefault="00C157EC" w:rsidP="002C5575">
            <w:pPr>
              <w:pStyle w:val="TableTextCentered"/>
            </w:pPr>
          </w:p>
        </w:tc>
        <w:tc>
          <w:tcPr>
            <w:tcW w:w="298" w:type="pct"/>
            <w:tcBorders>
              <w:bottom w:val="single" w:sz="4" w:space="0" w:color="auto"/>
            </w:tcBorders>
          </w:tcPr>
          <w:p w:rsidR="00C157EC" w:rsidRPr="00E01522" w:rsidRDefault="00C157EC" w:rsidP="002C5575">
            <w:pPr>
              <w:pStyle w:val="TableTextCentered"/>
            </w:pPr>
          </w:p>
        </w:tc>
        <w:tc>
          <w:tcPr>
            <w:tcW w:w="433" w:type="pct"/>
            <w:tcBorders>
              <w:bottom w:val="single" w:sz="4" w:space="0" w:color="auto"/>
            </w:tcBorders>
          </w:tcPr>
          <w:p w:rsidR="00C157EC" w:rsidRPr="00E01522" w:rsidRDefault="00C157EC" w:rsidP="002C5575">
            <w:pPr>
              <w:pStyle w:val="TableTextCentered"/>
            </w:pPr>
            <w:r w:rsidRPr="00B46DA2">
              <w:t>●</w:t>
            </w:r>
          </w:p>
        </w:tc>
        <w:tc>
          <w:tcPr>
            <w:tcW w:w="361" w:type="pct"/>
            <w:tcBorders>
              <w:bottom w:val="single" w:sz="4" w:space="0" w:color="auto"/>
            </w:tcBorders>
          </w:tcPr>
          <w:p w:rsidR="00C157EC" w:rsidRPr="00E01522" w:rsidRDefault="00C157EC" w:rsidP="002C5575">
            <w:pPr>
              <w:pStyle w:val="TableTextCentered"/>
            </w:pPr>
            <w:r w:rsidRPr="00B46DA2">
              <w:t>●</w:t>
            </w:r>
          </w:p>
        </w:tc>
      </w:tr>
      <w:tr w:rsidR="002C5575" w:rsidRPr="00E01522" w:rsidTr="002C5575">
        <w:tc>
          <w:tcPr>
            <w:tcW w:w="2539" w:type="pct"/>
            <w:tcBorders>
              <w:bottom w:val="single" w:sz="4" w:space="0" w:color="auto"/>
            </w:tcBorders>
          </w:tcPr>
          <w:p w:rsidR="00C157EC" w:rsidRPr="00E01522" w:rsidRDefault="00C157EC" w:rsidP="00C242F0">
            <w:pPr>
              <w:pStyle w:val="TableText"/>
            </w:pPr>
            <w:r w:rsidRPr="003B0930">
              <w:rPr>
                <w:b/>
              </w:rPr>
              <w:t>Research Question 2:</w:t>
            </w:r>
            <w:r w:rsidRPr="00FF02A0">
              <w:t xml:space="preserve"> </w:t>
            </w:r>
            <w:r w:rsidRPr="007A3BB4">
              <w:t xml:space="preserve">What is the projected annual supply of teachers in Massachusetts </w:t>
            </w:r>
            <w:r w:rsidR="00C242F0">
              <w:t xml:space="preserve">over </w:t>
            </w:r>
            <w:r w:rsidRPr="007A3BB4">
              <w:t>the next 10 years, and what is the composition of these projections when broken out by components of supply that include retained teachers, new entrants</w:t>
            </w:r>
            <w:r>
              <w:t>, and</w:t>
            </w:r>
            <w:r w:rsidRPr="007A3BB4">
              <w:t xml:space="preserve"> those transferring in and out of districts?</w:t>
            </w:r>
          </w:p>
        </w:tc>
        <w:tc>
          <w:tcPr>
            <w:tcW w:w="384" w:type="pct"/>
            <w:tcBorders>
              <w:bottom w:val="single" w:sz="4" w:space="0" w:color="auto"/>
            </w:tcBorders>
          </w:tcPr>
          <w:p w:rsidR="00C157EC" w:rsidRPr="00E01522" w:rsidRDefault="00C157EC" w:rsidP="002C5575">
            <w:pPr>
              <w:pStyle w:val="TableTextCentered"/>
            </w:pPr>
            <w:r w:rsidRPr="00B46DA2">
              <w:t>●</w:t>
            </w:r>
          </w:p>
        </w:tc>
        <w:tc>
          <w:tcPr>
            <w:tcW w:w="687" w:type="pct"/>
            <w:tcBorders>
              <w:bottom w:val="single" w:sz="4" w:space="0" w:color="auto"/>
            </w:tcBorders>
          </w:tcPr>
          <w:p w:rsidR="00C157EC" w:rsidRPr="00E01522" w:rsidRDefault="00C157EC" w:rsidP="002C5575">
            <w:pPr>
              <w:pStyle w:val="TableTextCentered"/>
            </w:pPr>
            <w:r w:rsidRPr="00B46DA2">
              <w:t>●</w:t>
            </w:r>
          </w:p>
        </w:tc>
        <w:tc>
          <w:tcPr>
            <w:tcW w:w="298" w:type="pct"/>
            <w:tcBorders>
              <w:bottom w:val="single" w:sz="4" w:space="0" w:color="auto"/>
            </w:tcBorders>
          </w:tcPr>
          <w:p w:rsidR="00C157EC" w:rsidRPr="00E01522" w:rsidRDefault="00C157EC" w:rsidP="002C5575">
            <w:pPr>
              <w:pStyle w:val="TableTextCentered"/>
            </w:pPr>
            <w:r w:rsidRPr="00B46DA2">
              <w:t>●</w:t>
            </w:r>
          </w:p>
        </w:tc>
        <w:tc>
          <w:tcPr>
            <w:tcW w:w="298" w:type="pct"/>
            <w:tcBorders>
              <w:bottom w:val="single" w:sz="4" w:space="0" w:color="auto"/>
            </w:tcBorders>
          </w:tcPr>
          <w:p w:rsidR="00C157EC" w:rsidRPr="00E01522" w:rsidRDefault="00C157EC" w:rsidP="002C5575">
            <w:pPr>
              <w:pStyle w:val="TableTextCentered"/>
            </w:pPr>
            <w:r w:rsidRPr="00B46DA2">
              <w:t>●</w:t>
            </w:r>
          </w:p>
        </w:tc>
        <w:tc>
          <w:tcPr>
            <w:tcW w:w="433" w:type="pct"/>
            <w:tcBorders>
              <w:bottom w:val="single" w:sz="4" w:space="0" w:color="auto"/>
            </w:tcBorders>
          </w:tcPr>
          <w:p w:rsidR="00C157EC" w:rsidRPr="00E01522" w:rsidRDefault="00C157EC" w:rsidP="002C5575">
            <w:pPr>
              <w:pStyle w:val="TableTextCentered"/>
            </w:pPr>
          </w:p>
        </w:tc>
        <w:tc>
          <w:tcPr>
            <w:tcW w:w="361" w:type="pct"/>
            <w:tcBorders>
              <w:bottom w:val="single" w:sz="4" w:space="0" w:color="auto"/>
            </w:tcBorders>
          </w:tcPr>
          <w:p w:rsidR="00C157EC" w:rsidRPr="00E01522" w:rsidRDefault="00C157EC" w:rsidP="002C5575">
            <w:pPr>
              <w:pStyle w:val="TableTextCentered"/>
            </w:pPr>
          </w:p>
        </w:tc>
      </w:tr>
      <w:tr w:rsidR="002C5575" w:rsidRPr="00E01522" w:rsidTr="002C5575">
        <w:tc>
          <w:tcPr>
            <w:tcW w:w="2539" w:type="pct"/>
            <w:tcBorders>
              <w:bottom w:val="single" w:sz="4" w:space="0" w:color="auto"/>
            </w:tcBorders>
          </w:tcPr>
          <w:p w:rsidR="00C157EC" w:rsidRPr="00E01522" w:rsidRDefault="00C157EC" w:rsidP="002C5575">
            <w:pPr>
              <w:pStyle w:val="TableText"/>
            </w:pPr>
            <w:r w:rsidRPr="003B0930">
              <w:rPr>
                <w:b/>
              </w:rPr>
              <w:t>Research Question 3:</w:t>
            </w:r>
            <w:r w:rsidRPr="00FF02A0">
              <w:t xml:space="preserve"> </w:t>
            </w:r>
            <w:r w:rsidRPr="007A3BB4">
              <w:t>What are the projections for the annual supply and demand of teachers in Massachusetts for the next 10 years by program area?</w:t>
            </w:r>
          </w:p>
        </w:tc>
        <w:tc>
          <w:tcPr>
            <w:tcW w:w="384" w:type="pct"/>
            <w:tcBorders>
              <w:bottom w:val="single" w:sz="4" w:space="0" w:color="auto"/>
            </w:tcBorders>
          </w:tcPr>
          <w:p w:rsidR="00C157EC" w:rsidRPr="00E01522" w:rsidRDefault="00C157EC" w:rsidP="002C5575">
            <w:pPr>
              <w:pStyle w:val="TableTextCentered"/>
            </w:pPr>
            <w:r w:rsidRPr="00B46DA2">
              <w:t>●</w:t>
            </w:r>
          </w:p>
        </w:tc>
        <w:tc>
          <w:tcPr>
            <w:tcW w:w="687" w:type="pct"/>
            <w:tcBorders>
              <w:bottom w:val="single" w:sz="4" w:space="0" w:color="auto"/>
            </w:tcBorders>
          </w:tcPr>
          <w:p w:rsidR="00C157EC" w:rsidRPr="00E01522" w:rsidRDefault="00C157EC" w:rsidP="002C5575">
            <w:pPr>
              <w:pStyle w:val="TableTextCentered"/>
            </w:pPr>
            <w:r w:rsidRPr="00B46DA2">
              <w:t>●</w:t>
            </w:r>
          </w:p>
        </w:tc>
        <w:tc>
          <w:tcPr>
            <w:tcW w:w="298" w:type="pct"/>
            <w:tcBorders>
              <w:bottom w:val="single" w:sz="4" w:space="0" w:color="auto"/>
            </w:tcBorders>
          </w:tcPr>
          <w:p w:rsidR="00C157EC" w:rsidRPr="00E01522" w:rsidRDefault="00C157EC" w:rsidP="002C5575">
            <w:pPr>
              <w:pStyle w:val="TableTextCentered"/>
            </w:pPr>
            <w:r w:rsidRPr="00B46DA2">
              <w:t>●</w:t>
            </w:r>
          </w:p>
        </w:tc>
        <w:tc>
          <w:tcPr>
            <w:tcW w:w="298" w:type="pct"/>
            <w:tcBorders>
              <w:bottom w:val="single" w:sz="4" w:space="0" w:color="auto"/>
            </w:tcBorders>
          </w:tcPr>
          <w:p w:rsidR="00C157EC" w:rsidRPr="00E01522" w:rsidRDefault="00C157EC" w:rsidP="002C5575">
            <w:pPr>
              <w:pStyle w:val="TableTextCentered"/>
            </w:pPr>
            <w:r w:rsidRPr="00B46DA2">
              <w:t>●</w:t>
            </w:r>
          </w:p>
        </w:tc>
        <w:tc>
          <w:tcPr>
            <w:tcW w:w="433" w:type="pct"/>
            <w:tcBorders>
              <w:bottom w:val="single" w:sz="4" w:space="0" w:color="auto"/>
            </w:tcBorders>
          </w:tcPr>
          <w:p w:rsidR="00C157EC" w:rsidRPr="00E01522" w:rsidRDefault="00C157EC" w:rsidP="002C5575">
            <w:pPr>
              <w:pStyle w:val="TableTextCentered"/>
            </w:pPr>
            <w:r w:rsidRPr="00B46DA2">
              <w:t>●</w:t>
            </w:r>
          </w:p>
        </w:tc>
        <w:tc>
          <w:tcPr>
            <w:tcW w:w="361" w:type="pct"/>
            <w:tcBorders>
              <w:bottom w:val="single" w:sz="4" w:space="0" w:color="auto"/>
            </w:tcBorders>
          </w:tcPr>
          <w:p w:rsidR="00C157EC" w:rsidRPr="00E01522" w:rsidRDefault="00C157EC" w:rsidP="002C5575">
            <w:pPr>
              <w:pStyle w:val="TableTextCentered"/>
            </w:pPr>
            <w:r w:rsidRPr="00B46DA2">
              <w:t>●</w:t>
            </w:r>
          </w:p>
        </w:tc>
      </w:tr>
      <w:tr w:rsidR="002C5575" w:rsidRPr="00E01522" w:rsidTr="00FC31F1">
        <w:tc>
          <w:tcPr>
            <w:tcW w:w="2539" w:type="pct"/>
            <w:tcBorders>
              <w:bottom w:val="single" w:sz="4" w:space="0" w:color="auto"/>
            </w:tcBorders>
          </w:tcPr>
          <w:p w:rsidR="002C5575" w:rsidRPr="00E01522" w:rsidRDefault="002C5575" w:rsidP="002C5575">
            <w:pPr>
              <w:pStyle w:val="TableText"/>
            </w:pPr>
            <w:r w:rsidRPr="0020067F">
              <w:rPr>
                <w:b/>
              </w:rPr>
              <w:t>Research Question 4:</w:t>
            </w:r>
            <w:r w:rsidRPr="00FF02A0">
              <w:t xml:space="preserve"> </w:t>
            </w:r>
            <w:r w:rsidRPr="007A3BB4">
              <w:t>What are the supply and demand projections of teachers in Massachusetts for the next 10 years by demographic group?</w:t>
            </w:r>
          </w:p>
        </w:tc>
        <w:tc>
          <w:tcPr>
            <w:tcW w:w="384" w:type="pct"/>
            <w:vMerge w:val="restart"/>
          </w:tcPr>
          <w:p w:rsidR="002C5575" w:rsidRPr="00E01522" w:rsidRDefault="002C5575" w:rsidP="002C5575">
            <w:pPr>
              <w:pStyle w:val="TableTextCentered"/>
            </w:pPr>
            <w:r w:rsidRPr="00B46DA2">
              <w:t>●</w:t>
            </w:r>
          </w:p>
        </w:tc>
        <w:tc>
          <w:tcPr>
            <w:tcW w:w="687" w:type="pct"/>
            <w:vMerge w:val="restart"/>
          </w:tcPr>
          <w:p w:rsidR="002C5575" w:rsidRPr="00E01522" w:rsidRDefault="002C5575" w:rsidP="002C5575">
            <w:pPr>
              <w:pStyle w:val="TableTextCentered"/>
            </w:pPr>
            <w:r w:rsidRPr="00B46DA2">
              <w:t>●</w:t>
            </w:r>
          </w:p>
        </w:tc>
        <w:tc>
          <w:tcPr>
            <w:tcW w:w="298" w:type="pct"/>
            <w:vMerge w:val="restart"/>
          </w:tcPr>
          <w:p w:rsidR="002C5575" w:rsidRPr="00E01522" w:rsidRDefault="002C5575" w:rsidP="002C5575">
            <w:pPr>
              <w:pStyle w:val="TableTextCentered"/>
            </w:pPr>
            <w:r w:rsidRPr="00B46DA2">
              <w:t>●</w:t>
            </w:r>
          </w:p>
        </w:tc>
        <w:tc>
          <w:tcPr>
            <w:tcW w:w="298" w:type="pct"/>
            <w:vMerge w:val="restart"/>
          </w:tcPr>
          <w:p w:rsidR="002C5575" w:rsidRPr="00E01522" w:rsidRDefault="002C5575" w:rsidP="002C5575">
            <w:pPr>
              <w:pStyle w:val="TableTextCentered"/>
            </w:pPr>
            <w:r w:rsidRPr="00B46DA2">
              <w:t>●</w:t>
            </w:r>
          </w:p>
        </w:tc>
        <w:tc>
          <w:tcPr>
            <w:tcW w:w="433" w:type="pct"/>
            <w:vMerge w:val="restart"/>
          </w:tcPr>
          <w:p w:rsidR="002C5575" w:rsidRPr="00E01522" w:rsidRDefault="002C5575" w:rsidP="002C5575">
            <w:pPr>
              <w:pStyle w:val="TableTextCentered"/>
            </w:pPr>
            <w:r w:rsidRPr="00B46DA2">
              <w:t>●</w:t>
            </w:r>
          </w:p>
        </w:tc>
        <w:tc>
          <w:tcPr>
            <w:tcW w:w="361" w:type="pct"/>
            <w:vMerge w:val="restart"/>
          </w:tcPr>
          <w:p w:rsidR="002C5575" w:rsidRPr="00E01522" w:rsidRDefault="002C5575" w:rsidP="002C5575">
            <w:pPr>
              <w:pStyle w:val="TableTextCentered"/>
            </w:pPr>
            <w:r w:rsidRPr="00B46DA2">
              <w:t>●</w:t>
            </w:r>
          </w:p>
        </w:tc>
      </w:tr>
      <w:tr w:rsidR="002C5575" w:rsidRPr="00E01522" w:rsidTr="00FC31F1">
        <w:tc>
          <w:tcPr>
            <w:tcW w:w="2539" w:type="pct"/>
            <w:tcBorders>
              <w:bottom w:val="single" w:sz="4" w:space="0" w:color="auto"/>
            </w:tcBorders>
          </w:tcPr>
          <w:p w:rsidR="002C5575" w:rsidRPr="0020067F" w:rsidRDefault="002C5575" w:rsidP="002C5575">
            <w:pPr>
              <w:pStyle w:val="TableNumbering"/>
            </w:pPr>
            <w:r w:rsidRPr="007A3BB4">
              <w:t>What are the supply and demand projections of teachers by race/ethnicity?</w:t>
            </w:r>
          </w:p>
        </w:tc>
        <w:tc>
          <w:tcPr>
            <w:tcW w:w="384" w:type="pct"/>
            <w:vMerge/>
          </w:tcPr>
          <w:p w:rsidR="002C5575" w:rsidRPr="00E01522" w:rsidRDefault="002C5575" w:rsidP="002C5575">
            <w:pPr>
              <w:pStyle w:val="TableTextCentered"/>
            </w:pPr>
          </w:p>
        </w:tc>
        <w:tc>
          <w:tcPr>
            <w:tcW w:w="687" w:type="pct"/>
            <w:vMerge/>
          </w:tcPr>
          <w:p w:rsidR="002C5575" w:rsidRPr="00E01522" w:rsidRDefault="002C5575" w:rsidP="002C5575">
            <w:pPr>
              <w:pStyle w:val="TableTextCentered"/>
            </w:pPr>
          </w:p>
        </w:tc>
        <w:tc>
          <w:tcPr>
            <w:tcW w:w="298" w:type="pct"/>
            <w:vMerge/>
          </w:tcPr>
          <w:p w:rsidR="002C5575" w:rsidRPr="00E01522" w:rsidRDefault="002C5575" w:rsidP="002C5575">
            <w:pPr>
              <w:pStyle w:val="TableTextCentered"/>
            </w:pPr>
          </w:p>
        </w:tc>
        <w:tc>
          <w:tcPr>
            <w:tcW w:w="298" w:type="pct"/>
            <w:vMerge/>
          </w:tcPr>
          <w:p w:rsidR="002C5575" w:rsidRPr="00E01522" w:rsidRDefault="002C5575" w:rsidP="002C5575">
            <w:pPr>
              <w:pStyle w:val="TableTextCentered"/>
            </w:pPr>
          </w:p>
        </w:tc>
        <w:tc>
          <w:tcPr>
            <w:tcW w:w="433" w:type="pct"/>
            <w:vMerge/>
          </w:tcPr>
          <w:p w:rsidR="002C5575" w:rsidRPr="00E01522" w:rsidRDefault="002C5575" w:rsidP="002C5575">
            <w:pPr>
              <w:pStyle w:val="TableTextCentered"/>
            </w:pPr>
          </w:p>
        </w:tc>
        <w:tc>
          <w:tcPr>
            <w:tcW w:w="361" w:type="pct"/>
            <w:vMerge/>
          </w:tcPr>
          <w:p w:rsidR="002C5575" w:rsidRPr="00E01522" w:rsidRDefault="002C5575" w:rsidP="002C5575">
            <w:pPr>
              <w:pStyle w:val="TableTextCentered"/>
            </w:pPr>
          </w:p>
        </w:tc>
      </w:tr>
      <w:tr w:rsidR="002C5575" w:rsidRPr="00E01522" w:rsidTr="002C5575">
        <w:tc>
          <w:tcPr>
            <w:tcW w:w="2539" w:type="pct"/>
            <w:tcBorders>
              <w:bottom w:val="single" w:sz="4" w:space="0" w:color="auto"/>
            </w:tcBorders>
          </w:tcPr>
          <w:p w:rsidR="002C5575" w:rsidRPr="0020067F" w:rsidRDefault="002C5575" w:rsidP="002C5575">
            <w:pPr>
              <w:pStyle w:val="TableNumbering"/>
            </w:pPr>
            <w:r w:rsidRPr="007A3BB4">
              <w:t>What are the supply and demand projections of teachers by age?</w:t>
            </w:r>
          </w:p>
        </w:tc>
        <w:tc>
          <w:tcPr>
            <w:tcW w:w="384" w:type="pct"/>
            <w:vMerge/>
            <w:tcBorders>
              <w:bottom w:val="single" w:sz="4" w:space="0" w:color="auto"/>
            </w:tcBorders>
          </w:tcPr>
          <w:p w:rsidR="002C5575" w:rsidRPr="00E01522" w:rsidRDefault="002C5575" w:rsidP="002C5575">
            <w:pPr>
              <w:pStyle w:val="TableTextCentered"/>
            </w:pPr>
          </w:p>
        </w:tc>
        <w:tc>
          <w:tcPr>
            <w:tcW w:w="687" w:type="pct"/>
            <w:vMerge/>
            <w:tcBorders>
              <w:bottom w:val="single" w:sz="4" w:space="0" w:color="auto"/>
            </w:tcBorders>
          </w:tcPr>
          <w:p w:rsidR="002C5575" w:rsidRPr="00E01522" w:rsidRDefault="002C5575" w:rsidP="002C5575">
            <w:pPr>
              <w:pStyle w:val="TableTextCentered"/>
            </w:pPr>
          </w:p>
        </w:tc>
        <w:tc>
          <w:tcPr>
            <w:tcW w:w="298" w:type="pct"/>
            <w:vMerge/>
            <w:tcBorders>
              <w:bottom w:val="single" w:sz="4" w:space="0" w:color="auto"/>
            </w:tcBorders>
          </w:tcPr>
          <w:p w:rsidR="002C5575" w:rsidRPr="00E01522" w:rsidRDefault="002C5575" w:rsidP="002C5575">
            <w:pPr>
              <w:pStyle w:val="TableTextCentered"/>
            </w:pPr>
          </w:p>
        </w:tc>
        <w:tc>
          <w:tcPr>
            <w:tcW w:w="298" w:type="pct"/>
            <w:vMerge/>
            <w:tcBorders>
              <w:bottom w:val="single" w:sz="4" w:space="0" w:color="auto"/>
            </w:tcBorders>
          </w:tcPr>
          <w:p w:rsidR="002C5575" w:rsidRPr="00E01522" w:rsidRDefault="002C5575" w:rsidP="002C5575">
            <w:pPr>
              <w:pStyle w:val="TableTextCentered"/>
            </w:pPr>
          </w:p>
        </w:tc>
        <w:tc>
          <w:tcPr>
            <w:tcW w:w="433" w:type="pct"/>
            <w:vMerge/>
            <w:tcBorders>
              <w:bottom w:val="single" w:sz="4" w:space="0" w:color="auto"/>
            </w:tcBorders>
          </w:tcPr>
          <w:p w:rsidR="002C5575" w:rsidRPr="00E01522" w:rsidRDefault="002C5575" w:rsidP="002C5575">
            <w:pPr>
              <w:pStyle w:val="TableTextCentered"/>
            </w:pPr>
          </w:p>
        </w:tc>
        <w:tc>
          <w:tcPr>
            <w:tcW w:w="361" w:type="pct"/>
            <w:vMerge/>
            <w:tcBorders>
              <w:bottom w:val="single" w:sz="4" w:space="0" w:color="auto"/>
            </w:tcBorders>
          </w:tcPr>
          <w:p w:rsidR="002C5575" w:rsidRPr="00E01522" w:rsidRDefault="002C5575" w:rsidP="002C5575">
            <w:pPr>
              <w:pStyle w:val="TableTextCentered"/>
            </w:pPr>
          </w:p>
        </w:tc>
      </w:tr>
      <w:tr w:rsidR="002C5575" w:rsidRPr="00E01522" w:rsidTr="00FC31F1">
        <w:tc>
          <w:tcPr>
            <w:tcW w:w="2539" w:type="pct"/>
            <w:tcBorders>
              <w:bottom w:val="single" w:sz="4" w:space="0" w:color="auto"/>
            </w:tcBorders>
          </w:tcPr>
          <w:p w:rsidR="002C5575" w:rsidRPr="00E01522" w:rsidRDefault="002C5575" w:rsidP="002C5575">
            <w:pPr>
              <w:pStyle w:val="TableText"/>
            </w:pPr>
            <w:r w:rsidRPr="0020067F">
              <w:rPr>
                <w:b/>
              </w:rPr>
              <w:t>Research Question 5:</w:t>
            </w:r>
            <w:r w:rsidRPr="00FF02A0">
              <w:t xml:space="preserve"> </w:t>
            </w:r>
            <w:r w:rsidRPr="007A3BB4">
              <w:t>What are the supply and demand projections of teachers in Massachusetts for the next 10 years by region and locale?</w:t>
            </w:r>
          </w:p>
        </w:tc>
        <w:tc>
          <w:tcPr>
            <w:tcW w:w="384" w:type="pct"/>
            <w:vMerge w:val="restart"/>
          </w:tcPr>
          <w:p w:rsidR="002C5575" w:rsidRPr="00E01522" w:rsidRDefault="002C5575" w:rsidP="002C5575">
            <w:pPr>
              <w:pStyle w:val="TableTextCentered"/>
            </w:pPr>
            <w:r w:rsidRPr="00B46DA2">
              <w:t>●</w:t>
            </w:r>
          </w:p>
        </w:tc>
        <w:tc>
          <w:tcPr>
            <w:tcW w:w="687" w:type="pct"/>
            <w:vMerge w:val="restart"/>
          </w:tcPr>
          <w:p w:rsidR="002C5575" w:rsidRPr="00E01522" w:rsidRDefault="002C5575" w:rsidP="002C5575">
            <w:pPr>
              <w:pStyle w:val="TableTextCentered"/>
            </w:pPr>
            <w:r w:rsidRPr="00B46DA2">
              <w:t>●</w:t>
            </w:r>
          </w:p>
        </w:tc>
        <w:tc>
          <w:tcPr>
            <w:tcW w:w="298" w:type="pct"/>
            <w:vMerge w:val="restart"/>
          </w:tcPr>
          <w:p w:rsidR="002C5575" w:rsidRPr="00E01522" w:rsidRDefault="002C5575" w:rsidP="002C5575">
            <w:pPr>
              <w:pStyle w:val="TableTextCentered"/>
            </w:pPr>
            <w:r w:rsidRPr="00B46DA2">
              <w:t>●</w:t>
            </w:r>
          </w:p>
        </w:tc>
        <w:tc>
          <w:tcPr>
            <w:tcW w:w="298" w:type="pct"/>
            <w:vMerge w:val="restart"/>
          </w:tcPr>
          <w:p w:rsidR="002C5575" w:rsidRPr="00E01522" w:rsidRDefault="002C5575" w:rsidP="002C5575">
            <w:pPr>
              <w:pStyle w:val="TableTextCentered"/>
            </w:pPr>
            <w:r w:rsidRPr="00B46DA2">
              <w:t>●</w:t>
            </w:r>
          </w:p>
        </w:tc>
        <w:tc>
          <w:tcPr>
            <w:tcW w:w="433" w:type="pct"/>
            <w:vMerge w:val="restart"/>
          </w:tcPr>
          <w:p w:rsidR="002C5575" w:rsidRPr="00E01522" w:rsidRDefault="002C5575" w:rsidP="002C5575">
            <w:pPr>
              <w:pStyle w:val="TableTextCentered"/>
            </w:pPr>
            <w:r w:rsidRPr="00B46DA2">
              <w:t>●</w:t>
            </w:r>
          </w:p>
        </w:tc>
        <w:tc>
          <w:tcPr>
            <w:tcW w:w="361" w:type="pct"/>
            <w:vMerge w:val="restart"/>
          </w:tcPr>
          <w:p w:rsidR="002C5575" w:rsidRPr="00E01522" w:rsidRDefault="002C5575" w:rsidP="002C5575">
            <w:pPr>
              <w:pStyle w:val="TableTextCentered"/>
            </w:pPr>
            <w:r w:rsidRPr="00B46DA2">
              <w:t>●</w:t>
            </w:r>
          </w:p>
        </w:tc>
      </w:tr>
      <w:tr w:rsidR="002C5575" w:rsidRPr="00E01522" w:rsidTr="00FC31F1">
        <w:tc>
          <w:tcPr>
            <w:tcW w:w="2539" w:type="pct"/>
            <w:tcBorders>
              <w:bottom w:val="single" w:sz="4" w:space="0" w:color="auto"/>
            </w:tcBorders>
          </w:tcPr>
          <w:p w:rsidR="002C5575" w:rsidRPr="0020067F" w:rsidRDefault="002C5575" w:rsidP="002C5575">
            <w:pPr>
              <w:pStyle w:val="TableNumbering"/>
              <w:numPr>
                <w:ilvl w:val="0"/>
                <w:numId w:val="33"/>
              </w:numPr>
            </w:pPr>
            <w:r w:rsidRPr="002F3BCB">
              <w:t>What are the supply and demand projections by Massachusetts District and School Assistance Center (DSAC) region?</w:t>
            </w:r>
          </w:p>
        </w:tc>
        <w:tc>
          <w:tcPr>
            <w:tcW w:w="384" w:type="pct"/>
            <w:vMerge/>
          </w:tcPr>
          <w:p w:rsidR="002C5575" w:rsidRPr="00E01522" w:rsidRDefault="002C5575" w:rsidP="002C5575">
            <w:pPr>
              <w:pStyle w:val="TableTextCentered"/>
            </w:pPr>
          </w:p>
        </w:tc>
        <w:tc>
          <w:tcPr>
            <w:tcW w:w="687" w:type="pct"/>
            <w:vMerge/>
          </w:tcPr>
          <w:p w:rsidR="002C5575" w:rsidRPr="00E01522" w:rsidRDefault="002C5575" w:rsidP="002C5575">
            <w:pPr>
              <w:pStyle w:val="TableTextCentered"/>
            </w:pPr>
          </w:p>
        </w:tc>
        <w:tc>
          <w:tcPr>
            <w:tcW w:w="298" w:type="pct"/>
            <w:vMerge/>
          </w:tcPr>
          <w:p w:rsidR="002C5575" w:rsidRPr="00E01522" w:rsidRDefault="002C5575" w:rsidP="002C5575">
            <w:pPr>
              <w:pStyle w:val="TableTextCentered"/>
            </w:pPr>
          </w:p>
        </w:tc>
        <w:tc>
          <w:tcPr>
            <w:tcW w:w="298" w:type="pct"/>
            <w:vMerge/>
          </w:tcPr>
          <w:p w:rsidR="002C5575" w:rsidRPr="00E01522" w:rsidRDefault="002C5575" w:rsidP="002C5575">
            <w:pPr>
              <w:pStyle w:val="TableTextCentered"/>
            </w:pPr>
          </w:p>
        </w:tc>
        <w:tc>
          <w:tcPr>
            <w:tcW w:w="433" w:type="pct"/>
            <w:vMerge/>
          </w:tcPr>
          <w:p w:rsidR="002C5575" w:rsidRPr="00E01522" w:rsidRDefault="002C5575" w:rsidP="002C5575">
            <w:pPr>
              <w:pStyle w:val="TableTextCentered"/>
            </w:pPr>
          </w:p>
        </w:tc>
        <w:tc>
          <w:tcPr>
            <w:tcW w:w="361" w:type="pct"/>
            <w:vMerge/>
          </w:tcPr>
          <w:p w:rsidR="002C5575" w:rsidRPr="00E01522" w:rsidRDefault="002C5575" w:rsidP="002C5575">
            <w:pPr>
              <w:pStyle w:val="TableTextCentered"/>
            </w:pPr>
          </w:p>
        </w:tc>
      </w:tr>
      <w:tr w:rsidR="002C5575" w:rsidRPr="00E01522" w:rsidTr="00FC31F1">
        <w:tc>
          <w:tcPr>
            <w:tcW w:w="2539" w:type="pct"/>
            <w:tcBorders>
              <w:bottom w:val="single" w:sz="4" w:space="0" w:color="auto"/>
            </w:tcBorders>
          </w:tcPr>
          <w:p w:rsidR="002C5575" w:rsidRPr="0020067F" w:rsidRDefault="002C5575" w:rsidP="002C5575">
            <w:pPr>
              <w:pStyle w:val="TableNumbering"/>
            </w:pPr>
            <w:r w:rsidRPr="002F3BCB">
              <w:t>What are the supply and demand projections by NCES locale (i.e.</w:t>
            </w:r>
            <w:r>
              <w:t>,</w:t>
            </w:r>
            <w:r w:rsidRPr="002F3BCB">
              <w:t xml:space="preserve"> city, suburb, town, and rural)?</w:t>
            </w:r>
          </w:p>
        </w:tc>
        <w:tc>
          <w:tcPr>
            <w:tcW w:w="384" w:type="pct"/>
            <w:vMerge/>
          </w:tcPr>
          <w:p w:rsidR="002C5575" w:rsidRPr="00E01522" w:rsidRDefault="002C5575" w:rsidP="002C5575">
            <w:pPr>
              <w:pStyle w:val="TableTextCentered"/>
            </w:pPr>
          </w:p>
        </w:tc>
        <w:tc>
          <w:tcPr>
            <w:tcW w:w="687" w:type="pct"/>
            <w:vMerge/>
          </w:tcPr>
          <w:p w:rsidR="002C5575" w:rsidRPr="00E01522" w:rsidRDefault="002C5575" w:rsidP="002C5575">
            <w:pPr>
              <w:pStyle w:val="TableTextCentered"/>
            </w:pPr>
          </w:p>
        </w:tc>
        <w:tc>
          <w:tcPr>
            <w:tcW w:w="298" w:type="pct"/>
            <w:vMerge/>
          </w:tcPr>
          <w:p w:rsidR="002C5575" w:rsidRPr="00E01522" w:rsidRDefault="002C5575" w:rsidP="002C5575">
            <w:pPr>
              <w:pStyle w:val="TableTextCentered"/>
            </w:pPr>
          </w:p>
        </w:tc>
        <w:tc>
          <w:tcPr>
            <w:tcW w:w="298" w:type="pct"/>
            <w:vMerge/>
          </w:tcPr>
          <w:p w:rsidR="002C5575" w:rsidRPr="00E01522" w:rsidRDefault="002C5575" w:rsidP="002C5575">
            <w:pPr>
              <w:pStyle w:val="TableTextCentered"/>
            </w:pPr>
          </w:p>
        </w:tc>
        <w:tc>
          <w:tcPr>
            <w:tcW w:w="433" w:type="pct"/>
            <w:vMerge/>
          </w:tcPr>
          <w:p w:rsidR="002C5575" w:rsidRPr="00E01522" w:rsidRDefault="002C5575" w:rsidP="002C5575">
            <w:pPr>
              <w:pStyle w:val="TableTextCentered"/>
            </w:pPr>
          </w:p>
        </w:tc>
        <w:tc>
          <w:tcPr>
            <w:tcW w:w="361" w:type="pct"/>
            <w:vMerge/>
          </w:tcPr>
          <w:p w:rsidR="002C5575" w:rsidRPr="00E01522" w:rsidRDefault="002C5575" w:rsidP="002C5575">
            <w:pPr>
              <w:pStyle w:val="TableTextCentered"/>
            </w:pPr>
          </w:p>
        </w:tc>
      </w:tr>
      <w:tr w:rsidR="002C5575" w:rsidRPr="00E01522" w:rsidTr="00FC31F1">
        <w:tc>
          <w:tcPr>
            <w:tcW w:w="2539" w:type="pct"/>
            <w:tcBorders>
              <w:bottom w:val="single" w:sz="4" w:space="0" w:color="auto"/>
            </w:tcBorders>
          </w:tcPr>
          <w:p w:rsidR="002C5575" w:rsidRPr="002F3BCB" w:rsidRDefault="002C5575" w:rsidP="002C5575">
            <w:pPr>
              <w:pStyle w:val="TableNumbering"/>
            </w:pPr>
            <w:r w:rsidRPr="002F3BCB">
              <w:t>What are the supply and demand projections by location of the state’s major educator preparation programs?</w:t>
            </w:r>
          </w:p>
        </w:tc>
        <w:tc>
          <w:tcPr>
            <w:tcW w:w="384" w:type="pct"/>
            <w:vMerge/>
          </w:tcPr>
          <w:p w:rsidR="002C5575" w:rsidRPr="00E01522" w:rsidRDefault="002C5575" w:rsidP="002C5575">
            <w:pPr>
              <w:pStyle w:val="TableTextCentered"/>
            </w:pPr>
          </w:p>
        </w:tc>
        <w:tc>
          <w:tcPr>
            <w:tcW w:w="687" w:type="pct"/>
            <w:vMerge/>
          </w:tcPr>
          <w:p w:rsidR="002C5575" w:rsidRPr="00E01522" w:rsidRDefault="002C5575" w:rsidP="002C5575">
            <w:pPr>
              <w:pStyle w:val="TableTextCentered"/>
            </w:pPr>
          </w:p>
        </w:tc>
        <w:tc>
          <w:tcPr>
            <w:tcW w:w="298" w:type="pct"/>
            <w:vMerge/>
          </w:tcPr>
          <w:p w:rsidR="002C5575" w:rsidRPr="00E01522" w:rsidRDefault="002C5575" w:rsidP="002C5575">
            <w:pPr>
              <w:pStyle w:val="TableTextCentered"/>
            </w:pPr>
          </w:p>
        </w:tc>
        <w:tc>
          <w:tcPr>
            <w:tcW w:w="298" w:type="pct"/>
            <w:vMerge/>
          </w:tcPr>
          <w:p w:rsidR="002C5575" w:rsidRPr="00E01522" w:rsidRDefault="002C5575" w:rsidP="002C5575">
            <w:pPr>
              <w:pStyle w:val="TableTextCentered"/>
            </w:pPr>
          </w:p>
        </w:tc>
        <w:tc>
          <w:tcPr>
            <w:tcW w:w="433" w:type="pct"/>
            <w:vMerge/>
          </w:tcPr>
          <w:p w:rsidR="002C5575" w:rsidRPr="00E01522" w:rsidRDefault="002C5575" w:rsidP="002C5575">
            <w:pPr>
              <w:pStyle w:val="TableTextCentered"/>
            </w:pPr>
          </w:p>
        </w:tc>
        <w:tc>
          <w:tcPr>
            <w:tcW w:w="361" w:type="pct"/>
            <w:vMerge/>
          </w:tcPr>
          <w:p w:rsidR="002C5575" w:rsidRPr="00E01522" w:rsidRDefault="002C5575" w:rsidP="002C5575">
            <w:pPr>
              <w:pStyle w:val="TableTextCentered"/>
            </w:pPr>
          </w:p>
        </w:tc>
      </w:tr>
      <w:tr w:rsidR="002C5575" w:rsidRPr="00E01522" w:rsidTr="002C5575">
        <w:tc>
          <w:tcPr>
            <w:tcW w:w="2539" w:type="pct"/>
          </w:tcPr>
          <w:p w:rsidR="002C5575" w:rsidRPr="002F3BCB" w:rsidRDefault="002C5575" w:rsidP="002C5575">
            <w:pPr>
              <w:pStyle w:val="TableNumbering"/>
            </w:pPr>
            <w:r w:rsidRPr="002F3BCB">
              <w:t>What are the supply and demand projections by the state’s largest metropolitan areas?</w:t>
            </w:r>
          </w:p>
        </w:tc>
        <w:tc>
          <w:tcPr>
            <w:tcW w:w="384" w:type="pct"/>
            <w:vMerge/>
          </w:tcPr>
          <w:p w:rsidR="002C5575" w:rsidRPr="00E01522" w:rsidRDefault="002C5575" w:rsidP="002C5575">
            <w:pPr>
              <w:pStyle w:val="TableTextCentered"/>
            </w:pPr>
          </w:p>
        </w:tc>
        <w:tc>
          <w:tcPr>
            <w:tcW w:w="687" w:type="pct"/>
            <w:vMerge/>
          </w:tcPr>
          <w:p w:rsidR="002C5575" w:rsidRPr="00E01522" w:rsidRDefault="002C5575" w:rsidP="002C5575">
            <w:pPr>
              <w:pStyle w:val="TableTextCentered"/>
            </w:pPr>
          </w:p>
        </w:tc>
        <w:tc>
          <w:tcPr>
            <w:tcW w:w="298" w:type="pct"/>
            <w:vMerge/>
          </w:tcPr>
          <w:p w:rsidR="002C5575" w:rsidRPr="00E01522" w:rsidRDefault="002C5575" w:rsidP="002C5575">
            <w:pPr>
              <w:pStyle w:val="TableTextCentered"/>
            </w:pPr>
          </w:p>
        </w:tc>
        <w:tc>
          <w:tcPr>
            <w:tcW w:w="298" w:type="pct"/>
            <w:vMerge/>
          </w:tcPr>
          <w:p w:rsidR="002C5575" w:rsidRPr="00E01522" w:rsidRDefault="002C5575" w:rsidP="002C5575">
            <w:pPr>
              <w:pStyle w:val="TableTextCentered"/>
            </w:pPr>
          </w:p>
        </w:tc>
        <w:tc>
          <w:tcPr>
            <w:tcW w:w="433" w:type="pct"/>
            <w:vMerge/>
          </w:tcPr>
          <w:p w:rsidR="002C5575" w:rsidRPr="00E01522" w:rsidRDefault="002C5575" w:rsidP="002C5575">
            <w:pPr>
              <w:pStyle w:val="TableTextCentered"/>
            </w:pPr>
          </w:p>
        </w:tc>
        <w:tc>
          <w:tcPr>
            <w:tcW w:w="361" w:type="pct"/>
            <w:vMerge/>
          </w:tcPr>
          <w:p w:rsidR="002C5575" w:rsidRPr="00E01522" w:rsidRDefault="002C5575" w:rsidP="002C5575">
            <w:pPr>
              <w:pStyle w:val="TableTextCentered"/>
            </w:pPr>
          </w:p>
        </w:tc>
      </w:tr>
    </w:tbl>
    <w:p w:rsidR="00C157EC" w:rsidRDefault="00C157EC" w:rsidP="00C157EC">
      <w:pPr>
        <w:sectPr w:rsidR="00C157EC" w:rsidSect="002C5575">
          <w:pgSz w:w="15840" w:h="12240" w:orient="landscape"/>
          <w:pgMar w:top="1440" w:right="1440" w:bottom="1440" w:left="1440" w:header="720" w:footer="720" w:gutter="0"/>
          <w:cols w:space="720"/>
          <w:docGrid w:linePitch="360"/>
        </w:sectPr>
      </w:pPr>
    </w:p>
    <w:p w:rsidR="00C157EC" w:rsidRDefault="00C157EC" w:rsidP="00C157EC">
      <w:pPr>
        <w:pStyle w:val="Heading3"/>
      </w:pPr>
      <w:bookmarkStart w:id="35" w:name="_Toc436724283"/>
      <w:bookmarkStart w:id="36" w:name="_Toc437284987"/>
      <w:bookmarkStart w:id="37" w:name="_Toc435614378"/>
      <w:r>
        <w:t>Methods</w:t>
      </w:r>
      <w:bookmarkEnd w:id="35"/>
      <w:bookmarkEnd w:id="36"/>
    </w:p>
    <w:p w:rsidR="00C157EC" w:rsidRDefault="00C157EC" w:rsidP="003B3CD3">
      <w:pPr>
        <w:pStyle w:val="Heading4"/>
      </w:pPr>
      <w:bookmarkStart w:id="38" w:name="_Toc436724284"/>
      <w:r>
        <w:t>Research Question 1</w:t>
      </w:r>
      <w:bookmarkEnd w:id="37"/>
      <w:bookmarkEnd w:id="38"/>
    </w:p>
    <w:p w:rsidR="00C157EC" w:rsidRPr="002C5575" w:rsidRDefault="00C157EC" w:rsidP="002C5575">
      <w:pPr>
        <w:pStyle w:val="BodyText"/>
        <w:rPr>
          <w:i/>
        </w:rPr>
      </w:pPr>
      <w:r w:rsidRPr="002C5575">
        <w:rPr>
          <w:i/>
        </w:rPr>
        <w:t xml:space="preserve">What is the projected annual demand for teachers in Massachusetts </w:t>
      </w:r>
      <w:r w:rsidR="00427B26">
        <w:rPr>
          <w:i/>
        </w:rPr>
        <w:t xml:space="preserve">over </w:t>
      </w:r>
      <w:r w:rsidRPr="002C5575">
        <w:rPr>
          <w:i/>
        </w:rPr>
        <w:t>the next 10 years based on pupil–teacher ratios and projections of student enrollment?</w:t>
      </w:r>
    </w:p>
    <w:p w:rsidR="00C157EC" w:rsidRDefault="00C157EC" w:rsidP="002C5575">
      <w:pPr>
        <w:pStyle w:val="BodyText"/>
      </w:pPr>
      <w:r>
        <w:t>To calculate projections of annual demand for public school teachers in Massachusetts, the AIR research team first defined aggregate demand as a function of two components: (1) the target pupil–teacher ratio a district wishes to maintain, and (2) the total count of students who are enrolled in the district. O</w:t>
      </w:r>
      <w:r w:rsidRPr="00341E2E">
        <w:t>verall demand</w:t>
      </w:r>
      <w:r>
        <w:t xml:space="preserve"> can be expressed as student enrollment divided by the pupil–teacher ratio, as shown by the equation defined in Figure 2, which serves as the</w:t>
      </w:r>
      <w:r w:rsidRPr="00341E2E">
        <w:t xml:space="preserve"> underpinning of the demand projections</w:t>
      </w:r>
      <w:r>
        <w:t>.</w:t>
      </w:r>
    </w:p>
    <w:p w:rsidR="00C157EC" w:rsidRDefault="00C157EC" w:rsidP="002C5575">
      <w:pPr>
        <w:pStyle w:val="FigureTitle"/>
      </w:pPr>
      <w:proofErr w:type="gramStart"/>
      <w:r>
        <w:t>Figure</w:t>
      </w:r>
      <w:r w:rsidRPr="00221191">
        <w:t xml:space="preserve"> </w:t>
      </w:r>
      <w:r>
        <w:t>2</w:t>
      </w:r>
      <w:r w:rsidRPr="00221191">
        <w:t>.</w:t>
      </w:r>
      <w:proofErr w:type="gramEnd"/>
      <w:r>
        <w:t xml:space="preserve"> Equation Used to Estimate</w:t>
      </w:r>
      <w:r w:rsidRPr="00C460E6">
        <w:t xml:space="preserve"> </w:t>
      </w:r>
      <w:r>
        <w:t>Demand</w:t>
      </w:r>
      <w:r w:rsidRPr="00C460E6">
        <w:t xml:space="preserve"> </w:t>
      </w:r>
      <w:r>
        <w:t>Based on Enrollment and Pupil–Teacher Ratios</w:t>
      </w:r>
    </w:p>
    <w:p w:rsidR="00C157EC" w:rsidRPr="00CD5986" w:rsidRDefault="00C157EC" w:rsidP="002C5575">
      <w:pPr>
        <w:pStyle w:val="BodyText"/>
      </w:pPr>
      <m:oMathPara>
        <m:oMath>
          <m:r>
            <m:rPr>
              <m:sty m:val="bi"/>
            </m:rPr>
            <w:rPr>
              <w:rFonts w:ascii="Cambria Math" w:hAnsi="Cambria Math"/>
            </w:rPr>
            <m:t>Projected</m:t>
          </m:r>
          <m:r>
            <m:rPr>
              <m:sty m:val="b"/>
            </m:rPr>
            <w:rPr>
              <w:rFonts w:ascii="Cambria Math" w:hAnsi="Cambria Math"/>
            </w:rPr>
            <m:t xml:space="preserve"> </m:t>
          </m:r>
          <m:r>
            <m:rPr>
              <m:sty m:val="bi"/>
            </m:rPr>
            <w:rPr>
              <w:rFonts w:ascii="Cambria Math" w:hAnsi="Cambria Math"/>
            </w:rPr>
            <m:t>Demand</m:t>
          </m:r>
          <m:r>
            <m:rPr>
              <m:sty m:val="p"/>
            </m:rPr>
            <w:rPr>
              <w:rFonts w:ascii="Cambria Math" w:hAnsi="Cambria Math"/>
            </w:rPr>
            <m:t>=</m:t>
          </m:r>
          <m:f>
            <m:fPr>
              <m:ctrlPr>
                <w:rPr>
                  <w:rFonts w:ascii="Cambria Math" w:hAnsi="Cambria Math"/>
                </w:rPr>
              </m:ctrlPr>
            </m:fPr>
            <m:num>
              <m:r>
                <w:rPr>
                  <w:rFonts w:ascii="Cambria Math" w:hAnsi="Cambria Math"/>
                </w:rPr>
                <m:t>Projected</m:t>
              </m:r>
              <m:r>
                <m:rPr>
                  <m:sty m:val="p"/>
                </m:rPr>
                <w:rPr>
                  <w:rFonts w:ascii="Cambria Math" w:hAnsi="Cambria Math"/>
                </w:rPr>
                <m:t xml:space="preserve"> </m:t>
              </m:r>
              <m:r>
                <w:rPr>
                  <w:rFonts w:ascii="Cambria Math" w:hAnsi="Cambria Math"/>
                </w:rPr>
                <m:t>Student</m:t>
              </m:r>
              <m:r>
                <m:rPr>
                  <m:sty m:val="p"/>
                </m:rPr>
                <w:rPr>
                  <w:rFonts w:ascii="Cambria Math" w:hAnsi="Cambria Math"/>
                </w:rPr>
                <m:t xml:space="preserve"> </m:t>
              </m:r>
              <m:r>
                <w:rPr>
                  <w:rFonts w:ascii="Cambria Math" w:hAnsi="Cambria Math"/>
                </w:rPr>
                <m:t>Enrollment</m:t>
              </m:r>
            </m:num>
            <m:den>
              <m:r>
                <w:rPr>
                  <w:rFonts w:ascii="Cambria Math" w:hAnsi="Cambria Math"/>
                </w:rPr>
                <m:t>Projected</m:t>
              </m:r>
              <m:r>
                <m:rPr>
                  <m:sty m:val="p"/>
                </m:rPr>
                <w:rPr>
                  <w:rFonts w:ascii="Cambria Math" w:hAnsi="Cambria Math"/>
                </w:rPr>
                <m:t xml:space="preserve"> </m:t>
              </m:r>
              <m:r>
                <w:rPr>
                  <w:rFonts w:ascii="Cambria Math" w:hAnsi="Cambria Math"/>
                </w:rPr>
                <m:t>Pupil</m:t>
              </m:r>
              <m:r>
                <m:rPr>
                  <m:nor/>
                </m:rPr>
                <m:t>–</m:t>
              </m:r>
              <m:r>
                <w:rPr>
                  <w:rFonts w:ascii="Cambria Math" w:hAnsi="Cambria Math"/>
                </w:rPr>
                <m:t>Teacher</m:t>
              </m:r>
              <m:r>
                <m:rPr>
                  <m:sty m:val="p"/>
                </m:rPr>
                <w:rPr>
                  <w:rFonts w:ascii="Cambria Math" w:hAnsi="Cambria Math"/>
                </w:rPr>
                <m:t xml:space="preserve"> </m:t>
              </m:r>
              <m:r>
                <w:rPr>
                  <w:rFonts w:ascii="Cambria Math" w:hAnsi="Cambria Math"/>
                </w:rPr>
                <m:t>Ratio</m:t>
              </m:r>
            </m:den>
          </m:f>
        </m:oMath>
      </m:oMathPara>
    </w:p>
    <w:p w:rsidR="00C157EC" w:rsidRPr="00341E2E" w:rsidRDefault="00C157EC" w:rsidP="002C5575">
      <w:pPr>
        <w:pStyle w:val="Heading5"/>
      </w:pPr>
      <w:r w:rsidRPr="00341E2E">
        <w:t>Student Enrollment</w:t>
      </w:r>
    </w:p>
    <w:p w:rsidR="00C157EC" w:rsidRDefault="00C157EC" w:rsidP="002C5575">
      <w:pPr>
        <w:pStyle w:val="BodyText"/>
      </w:pPr>
      <w:r w:rsidRPr="00C24E36">
        <w:t>Several approaches exist for creating student enrollment projections. These include model</w:t>
      </w:r>
      <w:r>
        <w:t>s</w:t>
      </w:r>
      <w:r w:rsidRPr="00C24E36">
        <w:t xml:space="preserve"> based on simple </w:t>
      </w:r>
      <w:r>
        <w:t xml:space="preserve">averages </w:t>
      </w:r>
      <w:r w:rsidRPr="00C24E36">
        <w:t>from previous year</w:t>
      </w:r>
      <w:r>
        <w:t>s</w:t>
      </w:r>
      <w:r w:rsidRPr="00C24E36">
        <w:t xml:space="preserve">; a growth model based on </w:t>
      </w:r>
      <w:r>
        <w:t xml:space="preserve">historical </w:t>
      </w:r>
      <w:r w:rsidRPr="00C24E36">
        <w:t>year-over-year changes</w:t>
      </w:r>
      <w:r>
        <w:t xml:space="preserve"> in enrollment</w:t>
      </w:r>
      <w:r w:rsidRPr="00C24E36">
        <w:t>; a growth model based on grade progression ratios (GPRs</w:t>
      </w:r>
      <w:r>
        <w:t xml:space="preserve">, which are </w:t>
      </w:r>
      <w:r w:rsidRPr="00C24E36">
        <w:t xml:space="preserve">the </w:t>
      </w:r>
      <w:r>
        <w:t xml:space="preserve">average </w:t>
      </w:r>
      <w:r w:rsidRPr="00C24E36">
        <w:t>proportion</w:t>
      </w:r>
      <w:r>
        <w:t>s</w:t>
      </w:r>
      <w:r w:rsidRPr="00C24E36">
        <w:t xml:space="preserve"> of students who progress </w:t>
      </w:r>
      <w:r>
        <w:t xml:space="preserve">from </w:t>
      </w:r>
      <w:r w:rsidRPr="00C24E36">
        <w:t xml:space="preserve">grade to grade </w:t>
      </w:r>
      <w:r>
        <w:t xml:space="preserve">each </w:t>
      </w:r>
      <w:r w:rsidRPr="00C24E36">
        <w:t>year</w:t>
      </w:r>
      <w:r>
        <w:t>)</w:t>
      </w:r>
      <w:r w:rsidRPr="00C24E36">
        <w:t>; and regression-based model</w:t>
      </w:r>
      <w:r>
        <w:t>s where enrollment is estimated as a function of those factors thought to influence the number of students enrolled (e.g., historical enrollment trends, birth rates, and so on)</w:t>
      </w:r>
      <w:r w:rsidRPr="00C24E36">
        <w:t>. The</w:t>
      </w:r>
      <w:r>
        <w:t xml:space="preserve"> AIR</w:t>
      </w:r>
      <w:r w:rsidRPr="00C24E36">
        <w:t xml:space="preserve"> research team chose to use GPRs, which have previously been shown to be accurate for making projections as far as 10 years into the future (</w:t>
      </w:r>
      <w:proofErr w:type="spellStart"/>
      <w:r w:rsidRPr="00C24E36">
        <w:t>Berk</w:t>
      </w:r>
      <w:proofErr w:type="spellEnd"/>
      <w:r w:rsidRPr="00C24E36">
        <w:t xml:space="preserve"> &amp; </w:t>
      </w:r>
      <w:proofErr w:type="spellStart"/>
      <w:r w:rsidRPr="00C24E36">
        <w:t>Hodgins</w:t>
      </w:r>
      <w:proofErr w:type="spellEnd"/>
      <w:r w:rsidRPr="00C24E36">
        <w:t>, 2008; Minnesota Department of Education, 2015</w:t>
      </w:r>
      <w:r>
        <w:t>; Berg-Jacobson &amp; Levin, 2015</w:t>
      </w:r>
      <w:r w:rsidRPr="00C24E36">
        <w:t>). This method relies on calculating projections based on a series of GPRs</w:t>
      </w:r>
      <w:r>
        <w:t xml:space="preserve">, which are the calculated proportions of students that move from one grade level to the next each year and those born five years earlier who enter kindergarten. </w:t>
      </w:r>
      <w:r w:rsidRPr="00C24E36">
        <w:t>GPR</w:t>
      </w:r>
      <w:r>
        <w:t>s</w:t>
      </w:r>
      <w:r w:rsidRPr="00C24E36">
        <w:t xml:space="preserve"> for birth to kindergarten and every other </w:t>
      </w:r>
      <w:r>
        <w:t xml:space="preserve">successive pair of </w:t>
      </w:r>
      <w:r w:rsidRPr="00C24E36">
        <w:t>grade</w:t>
      </w:r>
      <w:r>
        <w:t>s</w:t>
      </w:r>
      <w:r w:rsidRPr="00C24E36">
        <w:t xml:space="preserve"> </w:t>
      </w:r>
      <w:r>
        <w:t>were used to</w:t>
      </w:r>
      <w:r w:rsidRPr="00C24E36">
        <w:t xml:space="preserve"> calculate the </w:t>
      </w:r>
      <w:r>
        <w:t xml:space="preserve">projected </w:t>
      </w:r>
      <w:r w:rsidRPr="00C24E36">
        <w:t xml:space="preserve">number of students in each grade up to </w:t>
      </w:r>
      <w:r>
        <w:t>10</w:t>
      </w:r>
      <w:r w:rsidRPr="00C24E36">
        <w:t xml:space="preserve"> years into the future</w:t>
      </w:r>
      <w:r>
        <w:t>.</w:t>
      </w:r>
      <w:r>
        <w:rPr>
          <w:rStyle w:val="FootnoteReference"/>
        </w:rPr>
        <w:footnoteReference w:id="6"/>
      </w:r>
    </w:p>
    <w:p w:rsidR="00C157EC" w:rsidRPr="00341E2E" w:rsidRDefault="00C157EC" w:rsidP="00C157EC">
      <w:pPr>
        <w:pStyle w:val="Heading5"/>
      </w:pPr>
      <w:r w:rsidRPr="00341E2E">
        <w:t>Pupil</w:t>
      </w:r>
      <w:r>
        <w:t>–</w:t>
      </w:r>
      <w:r w:rsidRPr="00341E2E">
        <w:t>Teacher Ratio</w:t>
      </w:r>
      <w:r>
        <w:t>s</w:t>
      </w:r>
      <w:r w:rsidRPr="00341E2E">
        <w:t xml:space="preserve"> </w:t>
      </w:r>
    </w:p>
    <w:p w:rsidR="00C157EC" w:rsidRDefault="00C157EC" w:rsidP="002C5575">
      <w:pPr>
        <w:pStyle w:val="BodyText"/>
      </w:pPr>
      <w:r w:rsidRPr="00341E2E">
        <w:t xml:space="preserve">In order to project teacher demand, </w:t>
      </w:r>
      <w:r>
        <w:t>a</w:t>
      </w:r>
      <w:r w:rsidRPr="00341E2E">
        <w:t xml:space="preserve"> </w:t>
      </w:r>
      <w:r>
        <w:t xml:space="preserve">target </w:t>
      </w:r>
      <w:r w:rsidRPr="00341E2E">
        <w:t>pupil</w:t>
      </w:r>
      <w:r>
        <w:t>–</w:t>
      </w:r>
      <w:r w:rsidRPr="00341E2E">
        <w:t>teacher ratio</w:t>
      </w:r>
      <w:r>
        <w:t xml:space="preserve"> for each district</w:t>
      </w:r>
      <w:r w:rsidRPr="00341E2E">
        <w:t xml:space="preserve"> w</w:t>
      </w:r>
      <w:r>
        <w:t>as</w:t>
      </w:r>
      <w:r w:rsidRPr="00341E2E">
        <w:t xml:space="preserve"> </w:t>
      </w:r>
      <w:r>
        <w:t xml:space="preserve">set at the average of the most recent three years observed </w:t>
      </w:r>
      <w:r w:rsidRPr="00341E2E">
        <w:t>(2011</w:t>
      </w:r>
      <w:r>
        <w:t>–</w:t>
      </w:r>
      <w:r w:rsidRPr="00341E2E">
        <w:t>12 through 2013</w:t>
      </w:r>
      <w:r>
        <w:t>–</w:t>
      </w:r>
      <w:r w:rsidRPr="00341E2E">
        <w:t xml:space="preserve">14). This approach of using a static ratio </w:t>
      </w:r>
      <w:r>
        <w:t xml:space="preserve">on which to calculate </w:t>
      </w:r>
      <w:r w:rsidRPr="00341E2E">
        <w:t>the demand projections is based on the assumption that districts</w:t>
      </w:r>
      <w:r>
        <w:t xml:space="preserve"> will attempt to maintain these average </w:t>
      </w:r>
      <w:r w:rsidRPr="00341E2E">
        <w:t>pupil</w:t>
      </w:r>
      <w:r>
        <w:t>–</w:t>
      </w:r>
      <w:r w:rsidRPr="00341E2E">
        <w:t xml:space="preserve">teacher ratios </w:t>
      </w:r>
      <w:r>
        <w:t>over the next 10 years</w:t>
      </w:r>
      <w:r w:rsidRPr="00341E2E">
        <w:t xml:space="preserve">. </w:t>
      </w:r>
      <w:r>
        <w:t>Results using t</w:t>
      </w:r>
      <w:r w:rsidRPr="00341E2E">
        <w:t>his assumption w</w:t>
      </w:r>
      <w:r>
        <w:t>ere</w:t>
      </w:r>
      <w:r w:rsidRPr="00341E2E">
        <w:t xml:space="preserve"> considered more legitimate than </w:t>
      </w:r>
      <w:r>
        <w:t xml:space="preserve">other </w:t>
      </w:r>
      <w:r w:rsidRPr="00341E2E">
        <w:t xml:space="preserve">assumptions </w:t>
      </w:r>
      <w:r>
        <w:t>associated with regression</w:t>
      </w:r>
      <w:r w:rsidRPr="00341E2E">
        <w:t xml:space="preserve"> model</w:t>
      </w:r>
      <w:r>
        <w:t>s</w:t>
      </w:r>
      <w:r w:rsidRPr="00341E2E">
        <w:t xml:space="preserve"> and projection</w:t>
      </w:r>
      <w:r>
        <w:t>s</w:t>
      </w:r>
      <w:r w:rsidRPr="00341E2E">
        <w:t xml:space="preserve"> of pupil</w:t>
      </w:r>
      <w:r>
        <w:t>–</w:t>
      </w:r>
      <w:r w:rsidRPr="00341E2E">
        <w:t xml:space="preserve">teacher ratios based on </w:t>
      </w:r>
      <w:r>
        <w:t xml:space="preserve">historical </w:t>
      </w:r>
      <w:r w:rsidRPr="00341E2E">
        <w:t>trends.</w:t>
      </w:r>
      <w:r w:rsidRPr="00341E2E">
        <w:rPr>
          <w:vertAlign w:val="superscript"/>
        </w:rPr>
        <w:footnoteReference w:id="7"/>
      </w:r>
    </w:p>
    <w:p w:rsidR="00C157EC" w:rsidRDefault="00C157EC" w:rsidP="003B3CD3">
      <w:pPr>
        <w:pStyle w:val="Heading4"/>
      </w:pPr>
      <w:bookmarkStart w:id="39" w:name="_Toc435614381"/>
      <w:bookmarkStart w:id="40" w:name="_Toc436724285"/>
      <w:r>
        <w:t>Research Question 2</w:t>
      </w:r>
      <w:bookmarkEnd w:id="39"/>
      <w:bookmarkEnd w:id="40"/>
    </w:p>
    <w:p w:rsidR="00C157EC" w:rsidRPr="00404E8A" w:rsidRDefault="00C157EC" w:rsidP="00404E8A">
      <w:pPr>
        <w:pStyle w:val="BodyText"/>
        <w:rPr>
          <w:i/>
        </w:rPr>
      </w:pPr>
      <w:r w:rsidRPr="00404E8A">
        <w:rPr>
          <w:i/>
        </w:rPr>
        <w:t xml:space="preserve">What is the projected annual supply of teachers in Massachusetts </w:t>
      </w:r>
      <w:r w:rsidR="00C242F0">
        <w:rPr>
          <w:i/>
        </w:rPr>
        <w:t xml:space="preserve">over </w:t>
      </w:r>
      <w:r w:rsidRPr="00404E8A">
        <w:rPr>
          <w:i/>
        </w:rPr>
        <w:t>the next 10 years, and what is the composition of these projections when broken out by components of supply that include retained teachers, new entrants, and those transferring in and out of districts?</w:t>
      </w:r>
    </w:p>
    <w:p w:rsidR="00C157EC" w:rsidRDefault="00C157EC" w:rsidP="00404E8A">
      <w:pPr>
        <w:pStyle w:val="BodyText"/>
      </w:pPr>
      <w:r>
        <w:t xml:space="preserve">The AIR research team began by defining total supply of teachers as the number of teachers who will be employed in the state of Massachusetts over the next 10 years, under the assumption that trends in the number of teachers over the past six years remain constant. This estimation of total supply in each year is conceptualized as the sum of teachers from three broad categories: those who are retained in their teaching position from the previous year, those who are newly entering the teaching workforce, and those who transfer across districts or into Massachusetts from out of state. While data on the total number of teachers, retained teachers, and new entrants were readily available and used to address this research question, data on transferring teachers were not available. Therefore, to estimate the number of transferring </w:t>
      </w:r>
      <w:proofErr w:type="gramStart"/>
      <w:r>
        <w:t>teachers,</w:t>
      </w:r>
      <w:proofErr w:type="gramEnd"/>
      <w:r>
        <w:t xml:space="preserve"> retained and newly entering teachers were subtracted from the total number of teachers (see Figure 3).</w:t>
      </w:r>
    </w:p>
    <w:p w:rsidR="00C157EC" w:rsidRDefault="00C157EC" w:rsidP="00404E8A">
      <w:pPr>
        <w:pStyle w:val="FigureTitle"/>
      </w:pPr>
      <w:proofErr w:type="gramStart"/>
      <w:r>
        <w:t>Figure</w:t>
      </w:r>
      <w:r w:rsidRPr="00C460E6">
        <w:t xml:space="preserve"> </w:t>
      </w:r>
      <w:r>
        <w:t>3</w:t>
      </w:r>
      <w:r w:rsidRPr="00C460E6">
        <w:t>.</w:t>
      </w:r>
      <w:proofErr w:type="gramEnd"/>
      <w:r w:rsidRPr="00C460E6">
        <w:t xml:space="preserve"> </w:t>
      </w:r>
      <w:r>
        <w:t>Equation Used to Estimate</w:t>
      </w:r>
      <w:r w:rsidRPr="00C460E6">
        <w:t xml:space="preserve"> Supply </w:t>
      </w:r>
      <w:r>
        <w:t>Based on Retained Teachers, New Entrants, and Transfers</w:t>
      </w:r>
    </w:p>
    <w:p w:rsidR="00C157EC" w:rsidRDefault="002555E4" w:rsidP="009C0911">
      <w:pPr>
        <w:pStyle w:val="FigurePlacement"/>
      </w:pPr>
      <w:r>
        <w:rPr>
          <w:noProof/>
        </w:rPr>
      </w:r>
      <w:r>
        <w:rPr>
          <w:noProof/>
        </w:rPr>
        <w:pict>
          <v:shape id="Text Box 2" o:spid="_x0000_s1052" type="#_x0000_t202" style="width:450.95pt;height:23.25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Pr="00DC7CBA" w:rsidRDefault="009C4B08" w:rsidP="00C157EC">
                  <w:r w:rsidRPr="0044505A">
                    <w:rPr>
                      <w:rFonts w:cs="Times New Roman"/>
                      <w:b/>
                      <w:i/>
                      <w:iCs/>
                      <w:color w:val="000000"/>
                    </w:rPr>
                    <w:t>Transferring Teachers</w:t>
                  </w:r>
                  <w:r>
                    <w:rPr>
                      <w:rFonts w:cs="Times New Roman"/>
                      <w:i/>
                      <w:iCs/>
                      <w:color w:val="000000"/>
                    </w:rPr>
                    <w:t xml:space="preserve"> = Total Teacher Supply – </w:t>
                  </w:r>
                  <w:r w:rsidRPr="00DC7CBA">
                    <w:rPr>
                      <w:rFonts w:cs="Times New Roman"/>
                      <w:i/>
                      <w:iCs/>
                      <w:color w:val="000000"/>
                    </w:rPr>
                    <w:t>Re</w:t>
                  </w:r>
                  <w:r>
                    <w:rPr>
                      <w:rFonts w:cs="Times New Roman"/>
                      <w:i/>
                      <w:iCs/>
                      <w:color w:val="000000"/>
                    </w:rPr>
                    <w:t>tained Teachers – New Entrants</w:t>
                  </w:r>
                </w:p>
              </w:txbxContent>
            </v:textbox>
            <w10:wrap type="none"/>
            <w10:anchorlock/>
          </v:shape>
        </w:pict>
      </w:r>
    </w:p>
    <w:p w:rsidR="00C157EC" w:rsidRDefault="00C157EC" w:rsidP="00404E8A">
      <w:pPr>
        <w:pStyle w:val="BodyText"/>
      </w:pPr>
      <w:r>
        <w:t xml:space="preserve">Projections of total supply, numbers of retained teachers, and numbers of newly entering teachers were estimated using a regression-based approach that modeled each of these as a function of factors believed to influence supply. For example, district enrollment and the percent of students eligible for free or reduced price </w:t>
      </w:r>
      <w:proofErr w:type="gramStart"/>
      <w:r>
        <w:t>lunch were</w:t>
      </w:r>
      <w:proofErr w:type="gramEnd"/>
      <w:r>
        <w:t xml:space="preserve"> included to take into account the effect of scale and student need on teacher supply. The inclusion of a time trend in the model allowed the research team to apply outcomes to future years to project supply and its components for the next 10 years. A detailed discussion on the specific models used as well as a description of extra steps required for the estimation of new entrants can be found in Appendix A.</w:t>
      </w:r>
    </w:p>
    <w:p w:rsidR="00C157EC" w:rsidRDefault="00C157EC" w:rsidP="003B3CD3">
      <w:pPr>
        <w:pStyle w:val="Heading4"/>
      </w:pPr>
      <w:bookmarkStart w:id="41" w:name="_Toc435614384"/>
      <w:bookmarkStart w:id="42" w:name="_Toc436724286"/>
      <w:r>
        <w:t>Research Question 3</w:t>
      </w:r>
      <w:bookmarkEnd w:id="41"/>
      <w:bookmarkEnd w:id="42"/>
    </w:p>
    <w:p w:rsidR="00C157EC" w:rsidRPr="00404E8A" w:rsidRDefault="00C157EC" w:rsidP="00404E8A">
      <w:pPr>
        <w:pStyle w:val="BodyText"/>
        <w:rPr>
          <w:i/>
        </w:rPr>
      </w:pPr>
      <w:r w:rsidRPr="00404E8A">
        <w:rPr>
          <w:i/>
        </w:rPr>
        <w:t>What are the projections for the annual supply and demand of teachers in Massachusetts for the next 10 years by program area?</w:t>
      </w:r>
    </w:p>
    <w:p w:rsidR="00C157EC" w:rsidRDefault="00C157EC" w:rsidP="00404E8A">
      <w:pPr>
        <w:pStyle w:val="BodyText"/>
      </w:pPr>
      <w:r>
        <w:t>Demand and supply projections by program area categories were estimated with methods similar to those used to address Research Questions 1 and 2. However, due to limitations in the data readily available, additional steps were required to estimate these projections.</w:t>
      </w:r>
    </w:p>
    <w:p w:rsidR="00C157EC" w:rsidRDefault="00C157EC" w:rsidP="00404E8A">
      <w:pPr>
        <w:pStyle w:val="BodyText"/>
      </w:pPr>
      <w:r>
        <w:t>Demand projections by program area were calculated by first projecting the estimated proportion of teachers across program area categories over time using a regression-based modeling approach. The projected demand from Research Question 1 was then multiplied by the estimated proportion of teachers by program area to calculate the projected demand by program area. Detailed descriptions of the methods used to project demand by program area are included in Appendix A.</w:t>
      </w:r>
    </w:p>
    <w:p w:rsidR="00C157EC" w:rsidRDefault="00C157EC" w:rsidP="00404E8A">
      <w:pPr>
        <w:pStyle w:val="BodyText"/>
      </w:pPr>
      <w:r>
        <w:t>As with supply for Research Question 2, a regression-based modeling approach was used to make projections of the supply of teachers by program area.</w:t>
      </w:r>
      <w:r>
        <w:rPr>
          <w:rStyle w:val="FootnoteReference"/>
        </w:rPr>
        <w:footnoteReference w:id="8"/>
      </w:r>
      <w:r>
        <w:t xml:space="preserve"> Details regarding the models used for this analysis can also be found in Appendix A.</w:t>
      </w:r>
    </w:p>
    <w:p w:rsidR="00C157EC" w:rsidRDefault="00C157EC" w:rsidP="003B3CD3">
      <w:pPr>
        <w:pStyle w:val="Heading4"/>
      </w:pPr>
      <w:bookmarkStart w:id="43" w:name="_Toc435614387"/>
      <w:bookmarkStart w:id="44" w:name="_Toc436724287"/>
      <w:r>
        <w:t>Research Question 4</w:t>
      </w:r>
      <w:bookmarkEnd w:id="43"/>
      <w:bookmarkEnd w:id="44"/>
    </w:p>
    <w:p w:rsidR="00C157EC" w:rsidRPr="00404E8A" w:rsidRDefault="00C157EC" w:rsidP="00404E8A">
      <w:pPr>
        <w:pStyle w:val="BodyText"/>
        <w:rPr>
          <w:i/>
        </w:rPr>
      </w:pPr>
      <w:r w:rsidRPr="00404E8A">
        <w:rPr>
          <w:i/>
        </w:rPr>
        <w:t>What are the supply and demand projections of teachers in Massachusetts for the next 10 years by demographic group?</w:t>
      </w:r>
    </w:p>
    <w:p w:rsidR="00C157EC" w:rsidRDefault="00C157EC" w:rsidP="00404E8A">
      <w:pPr>
        <w:pStyle w:val="BodyText"/>
      </w:pPr>
      <w:r>
        <w:t>Demand and supply projections by race and age categories were estimated using methods similar to those described in Research Question 3. Specifically, demand projections by race and age categories consisted of a two-step process where multiple regressions were first used to make projections of proportions of teachers in race and age categories over time, which were then applied to the overall demand estimates from Research Question 1. Supply projections were also similarly estimated using regression models of teachers in the various race and age categories in historical years as supply, and estimated models were used to make projections for future years. In addition, analyses of the supply subcomponents (e.g., retained, new entrants, and transfers) were also conducted. Detailed descriptions of the methodology for making supply and demand projections by race and age categories can be found in Appendix A.</w:t>
      </w:r>
    </w:p>
    <w:p w:rsidR="00C157EC" w:rsidRDefault="00C157EC" w:rsidP="003B3CD3">
      <w:pPr>
        <w:pStyle w:val="Heading4"/>
      </w:pPr>
      <w:bookmarkStart w:id="45" w:name="_Toc435614390"/>
      <w:bookmarkStart w:id="46" w:name="_Toc436724288"/>
      <w:r>
        <w:t>Research Question 5</w:t>
      </w:r>
      <w:bookmarkEnd w:id="45"/>
      <w:bookmarkEnd w:id="46"/>
    </w:p>
    <w:p w:rsidR="00C157EC" w:rsidRPr="00404E8A" w:rsidRDefault="00C157EC" w:rsidP="00404E8A">
      <w:pPr>
        <w:pStyle w:val="BodyText"/>
        <w:rPr>
          <w:i/>
        </w:rPr>
      </w:pPr>
      <w:r w:rsidRPr="00404E8A">
        <w:rPr>
          <w:i/>
        </w:rPr>
        <w:t>What are the supply and demand projections of teachers in Massachusetts for the next 10 years by region and locale?</w:t>
      </w:r>
    </w:p>
    <w:p w:rsidR="00C157EC" w:rsidRDefault="00C157EC" w:rsidP="00404E8A">
      <w:pPr>
        <w:pStyle w:val="BodyText"/>
      </w:pPr>
      <w:r>
        <w:t xml:space="preserve">Demand and supply projections by DSAC regions, NCES locales, </w:t>
      </w:r>
      <w:r w:rsidR="009C4B08">
        <w:t xml:space="preserve">SO </w:t>
      </w:r>
      <w:r>
        <w:t>areas, and major metropolitan areas were derived from the results produced by Research Questions 1 and 2. As the projections for these research questions were estimated at the district level, the results for Research Question 5 simply represent the aggregation of projections for districts in each of the relevant categories. For example, projections by DSAC region are the aggregation of the projections for each district in each of these regions.</w:t>
      </w:r>
    </w:p>
    <w:p w:rsidR="00C157EC" w:rsidRDefault="00C157EC" w:rsidP="003B3CD3">
      <w:pPr>
        <w:pStyle w:val="Heading2"/>
        <w:pageBreakBefore/>
      </w:pPr>
      <w:bookmarkStart w:id="47" w:name="_Toc435461159"/>
      <w:bookmarkStart w:id="48" w:name="_Toc435784235"/>
      <w:bookmarkStart w:id="49" w:name="_Toc436724289"/>
      <w:bookmarkStart w:id="50" w:name="_Toc437284988"/>
      <w:bookmarkStart w:id="51" w:name="_Toc435461193"/>
      <w:proofErr w:type="gramStart"/>
      <w:r w:rsidRPr="00336754">
        <w:t>Section 2.</w:t>
      </w:r>
      <w:proofErr w:type="gramEnd"/>
      <w:r w:rsidRPr="00336754">
        <w:t xml:space="preserve"> Results</w:t>
      </w:r>
      <w:bookmarkEnd w:id="47"/>
      <w:bookmarkEnd w:id="48"/>
      <w:bookmarkEnd w:id="49"/>
      <w:bookmarkEnd w:id="50"/>
    </w:p>
    <w:p w:rsidR="00C157EC" w:rsidRPr="00336754" w:rsidRDefault="00C157EC" w:rsidP="00C157EC">
      <w:pPr>
        <w:pStyle w:val="Heading3"/>
      </w:pPr>
      <w:bookmarkStart w:id="52" w:name="_Toc434832143"/>
      <w:bookmarkStart w:id="53" w:name="_Toc435784236"/>
      <w:bookmarkStart w:id="54" w:name="_Toc436724290"/>
      <w:bookmarkStart w:id="55" w:name="_Toc437284989"/>
      <w:r>
        <w:t>Research Question</w:t>
      </w:r>
      <w:r w:rsidRPr="00336754">
        <w:t xml:space="preserve"> 1: </w:t>
      </w:r>
      <w:r>
        <w:t>Statewide</w:t>
      </w:r>
      <w:r w:rsidRPr="00336754">
        <w:t xml:space="preserve"> Projections of Annual Demand</w:t>
      </w:r>
      <w:bookmarkEnd w:id="52"/>
      <w:bookmarkEnd w:id="53"/>
      <w:bookmarkEnd w:id="54"/>
      <w:bookmarkEnd w:id="55"/>
    </w:p>
    <w:p w:rsidR="00C157EC" w:rsidRPr="00404E8A" w:rsidRDefault="00C157EC" w:rsidP="00404E8A">
      <w:pPr>
        <w:pStyle w:val="BodyText"/>
        <w:rPr>
          <w:i/>
        </w:rPr>
      </w:pPr>
      <w:r w:rsidRPr="00404E8A">
        <w:rPr>
          <w:i/>
        </w:rPr>
        <w:t xml:space="preserve">What is the projected annual demand for teachers in Massachusetts </w:t>
      </w:r>
      <w:r w:rsidR="00427B26">
        <w:rPr>
          <w:i/>
        </w:rPr>
        <w:t xml:space="preserve">over </w:t>
      </w:r>
      <w:r w:rsidRPr="00404E8A">
        <w:rPr>
          <w:i/>
        </w:rPr>
        <w:t>the next 10 years based on pupil–teacher ratios and projections of student enrollment?</w:t>
      </w:r>
    </w:p>
    <w:p w:rsidR="00C157EC" w:rsidRPr="006068FC" w:rsidRDefault="00C157EC" w:rsidP="00404E8A">
      <w:pPr>
        <w:pStyle w:val="BodyText"/>
      </w:pPr>
      <w:r>
        <w:t>To answer this question the AIR research team considered two components of teacher demand: student enrollment and pupil–teacher ratios. Specifically, the team calculated student enrollment projections for 2014–15 to 2023–24 based on eight years of historical data and using a GPR method.</w:t>
      </w:r>
      <w:r>
        <w:rPr>
          <w:rStyle w:val="FootnoteReference"/>
        </w:rPr>
        <w:footnoteReference w:id="9"/>
      </w:r>
      <w:r>
        <w:t xml:space="preserve"> The following section reports projected enrollment trends over time and across DSAC regions. It also reports on the pupil–teacher ratios in 2013–14 and average ratios by region across the most recent three years of data (i.e., 2011–12 through 2013–14). In addition, using the enrollment projections and three-year average ratios, the AIR research team created demand projections for 2014–15 through 2023–24. Finally, the validity of these results (by comparing actual and projected values from previous years) is reported in this section.</w:t>
      </w:r>
    </w:p>
    <w:p w:rsidR="00C157EC" w:rsidRDefault="00C157EC" w:rsidP="00C157EC">
      <w:pPr>
        <w:pStyle w:val="Heading4"/>
      </w:pPr>
      <w:bookmarkStart w:id="56" w:name="_Toc434832144"/>
      <w:bookmarkStart w:id="57" w:name="_Toc435784237"/>
      <w:r>
        <w:t>Enrollment Projections</w:t>
      </w:r>
      <w:bookmarkEnd w:id="56"/>
      <w:bookmarkEnd w:id="57"/>
    </w:p>
    <w:p w:rsidR="00C157EC" w:rsidRDefault="00C157EC" w:rsidP="00404E8A">
      <w:pPr>
        <w:pStyle w:val="BodyText"/>
      </w:pPr>
      <w:r w:rsidRPr="0086614D">
        <w:t xml:space="preserve">Projections in student enrollment offer policymakers a glimpse </w:t>
      </w:r>
      <w:r>
        <w:t>into</w:t>
      </w:r>
      <w:r w:rsidRPr="0086614D">
        <w:t xml:space="preserve"> the future </w:t>
      </w:r>
      <w:r>
        <w:t>need Massachusetts will face in terms of</w:t>
      </w:r>
      <w:r w:rsidR="00C80BD3">
        <w:t xml:space="preserve"> the numbers of</w:t>
      </w:r>
      <w:r>
        <w:t xml:space="preserve"> teachers </w:t>
      </w:r>
      <w:r w:rsidR="00FF19B1">
        <w:t xml:space="preserve">that </w:t>
      </w:r>
      <w:r>
        <w:t xml:space="preserve">must </w:t>
      </w:r>
      <w:r w:rsidR="00FF19B1">
        <w:t xml:space="preserve">be </w:t>
      </w:r>
      <w:r>
        <w:t>produce</w:t>
      </w:r>
      <w:r w:rsidR="00FF19B1">
        <w:t xml:space="preserve">d by </w:t>
      </w:r>
      <w:r w:rsidR="003F4F9F">
        <w:t xml:space="preserve">SOs </w:t>
      </w:r>
      <w:r>
        <w:t xml:space="preserve">and attracted </w:t>
      </w:r>
      <w:r w:rsidR="00FF19B1">
        <w:t>in</w:t>
      </w:r>
      <w:r>
        <w:t>to the public education workforce.</w:t>
      </w:r>
    </w:p>
    <w:p w:rsidR="00C157EC" w:rsidRDefault="00C157EC" w:rsidP="00404E8A">
      <w:pPr>
        <w:pStyle w:val="BodyText"/>
      </w:pPr>
      <w:r>
        <w:t>Table 2 displays the average annual projected percent change in statewide and regional enrollments between 201</w:t>
      </w:r>
      <w:r w:rsidR="00434C0C">
        <w:t>3</w:t>
      </w:r>
      <w:r>
        <w:t>–1</w:t>
      </w:r>
      <w:r w:rsidR="00434C0C">
        <w:t>4</w:t>
      </w:r>
      <w:r>
        <w:t xml:space="preserve"> and 2023–24, and the overall projected percent and absolute changes over this same time period. As is shown in </w:t>
      </w:r>
      <w:r w:rsidR="00FC72FA">
        <w:t>Table 2</w:t>
      </w:r>
      <w:r>
        <w:t>, the AIR research team projects that enrollment will decline an average of 0.5</w:t>
      </w:r>
      <w:r w:rsidR="00434C0C">
        <w:t>9</w:t>
      </w:r>
      <w:r>
        <w:t xml:space="preserve"> percent each year from 201</w:t>
      </w:r>
      <w:r w:rsidR="00434C0C">
        <w:t>3</w:t>
      </w:r>
      <w:r>
        <w:t>–1</w:t>
      </w:r>
      <w:r w:rsidR="00434C0C">
        <w:t>4</w:t>
      </w:r>
      <w:r>
        <w:t xml:space="preserve"> to 2023–24, resulting in a cumulative decrease in enrollments of 5</w:t>
      </w:r>
      <w:r w:rsidR="00434C0C">
        <w:t>.79</w:t>
      </w:r>
      <w:r>
        <w:t xml:space="preserve"> percent during this 10-year period. Put in absolute terms, the AIR research team projects that statewide Massachusetts will be serving </w:t>
      </w:r>
      <w:r w:rsidR="00434C0C">
        <w:t>51,236</w:t>
      </w:r>
      <w:r>
        <w:t xml:space="preserve"> fewer students in 10 years. This trend is consistent across DSAC regions, though there is variation in the magnitude of the projected decline. For example, the </w:t>
      </w:r>
      <w:r w:rsidR="00434C0C">
        <w:t>S</w:t>
      </w:r>
      <w:r>
        <w:t>outheast region is expected to decline the most in absolute terms (1</w:t>
      </w:r>
      <w:r w:rsidR="00434C0C">
        <w:t>9,021</w:t>
      </w:r>
      <w:r>
        <w:t xml:space="preserve"> fewer students), while the </w:t>
      </w:r>
      <w:r w:rsidR="00434C0C">
        <w:t>Greater Boston</w:t>
      </w:r>
      <w:r>
        <w:t xml:space="preserve"> region is projected to decline the least (2,6</w:t>
      </w:r>
      <w:r w:rsidR="00434C0C">
        <w:t>30</w:t>
      </w:r>
      <w:r>
        <w:t xml:space="preserve"> fewer students). In relative terms, enrollment is expected to shrink the most for the Berkshires +, where enrollment is projected to decline by </w:t>
      </w:r>
      <w:r w:rsidR="00434C0C">
        <w:t>11.29</w:t>
      </w:r>
      <w:r>
        <w:t xml:space="preserve"> percent. In contrast, enrollment in the Greater Boston region is expected to drop by 1.</w:t>
      </w:r>
      <w:r w:rsidR="00434C0C">
        <w:t>38</w:t>
      </w:r>
      <w:r>
        <w:t xml:space="preserve"> percent.</w:t>
      </w:r>
    </w:p>
    <w:p w:rsidR="00C157EC" w:rsidRPr="002B58FC" w:rsidRDefault="00C157EC" w:rsidP="002F520C">
      <w:pPr>
        <w:pStyle w:val="TableTitle"/>
        <w:pageBreakBefore/>
      </w:pPr>
      <w:proofErr w:type="gramStart"/>
      <w:r>
        <w:t>Table</w:t>
      </w:r>
      <w:r w:rsidRPr="002B58FC">
        <w:t xml:space="preserve"> </w:t>
      </w:r>
      <w:r>
        <w:t>2</w:t>
      </w:r>
      <w:r w:rsidRPr="002B58FC">
        <w:t>.</w:t>
      </w:r>
      <w:proofErr w:type="gramEnd"/>
      <w:r w:rsidRPr="002B58FC">
        <w:t xml:space="preserve"> Projected </w:t>
      </w:r>
      <w:r>
        <w:t xml:space="preserve">Percent and Absolute </w:t>
      </w:r>
      <w:r w:rsidRPr="002B58FC">
        <w:t xml:space="preserve">Changes in </w:t>
      </w:r>
      <w:r>
        <w:t xml:space="preserve">Enrollment </w:t>
      </w:r>
      <w:r w:rsidRPr="002B58FC">
        <w:t xml:space="preserve">Statewide </w:t>
      </w:r>
      <w:r w:rsidR="0092042A">
        <w:t xml:space="preserve">and by DSAC Region, </w:t>
      </w:r>
      <w:r>
        <w:t>2013–14</w:t>
      </w:r>
      <w:r w:rsidR="0092042A">
        <w:t xml:space="preserve"> </w:t>
      </w:r>
      <w:proofErr w:type="gramStart"/>
      <w:r w:rsidR="0092042A">
        <w:t>Through</w:t>
      </w:r>
      <w:proofErr w:type="gramEnd"/>
      <w:r w:rsidR="0092042A">
        <w:t xml:space="preserve"> </w:t>
      </w:r>
      <w:r>
        <w:t>202</w:t>
      </w:r>
      <w:r w:rsidR="0092042A">
        <w:t>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2"/>
        <w:gridCol w:w="2676"/>
        <w:gridCol w:w="1937"/>
        <w:gridCol w:w="1935"/>
      </w:tblGrid>
      <w:tr w:rsidR="00C157EC" w:rsidRPr="00DD621F" w:rsidTr="00854E4E">
        <w:trPr>
          <w:cnfStyle w:val="100000000000"/>
        </w:trPr>
        <w:tc>
          <w:tcPr>
            <w:tcW w:w="1586" w:type="pct"/>
            <w:tcBorders>
              <w:bottom w:val="single" w:sz="4" w:space="0" w:color="auto"/>
            </w:tcBorders>
          </w:tcPr>
          <w:p w:rsidR="00C157EC" w:rsidRPr="00807FB9" w:rsidRDefault="003C50C4" w:rsidP="00854E4E">
            <w:pPr>
              <w:pStyle w:val="TableText"/>
              <w:jc w:val="center"/>
            </w:pPr>
            <w:r>
              <w:t>DSAC Region</w:t>
            </w:r>
          </w:p>
        </w:tc>
        <w:tc>
          <w:tcPr>
            <w:tcW w:w="1395" w:type="pct"/>
            <w:tcBorders>
              <w:bottom w:val="single" w:sz="4" w:space="0" w:color="auto"/>
            </w:tcBorders>
          </w:tcPr>
          <w:p w:rsidR="00C157EC" w:rsidRPr="00807FB9" w:rsidRDefault="00C157EC" w:rsidP="00E80E14">
            <w:pPr>
              <w:pStyle w:val="TableTextCentered"/>
            </w:pPr>
            <w:r>
              <w:t>A</w:t>
            </w:r>
            <w:r w:rsidRPr="008A3727">
              <w:t xml:space="preserve">verage </w:t>
            </w:r>
            <w:r>
              <w:t>Annual Percent</w:t>
            </w:r>
            <w:r w:rsidRPr="008A3727">
              <w:t xml:space="preserve"> </w:t>
            </w:r>
            <w:r>
              <w:t>C</w:t>
            </w:r>
            <w:r w:rsidRPr="008A3727">
              <w:t>hange 201</w:t>
            </w:r>
            <w:r>
              <w:t>3–</w:t>
            </w:r>
            <w:r w:rsidRPr="008A3727">
              <w:t>1</w:t>
            </w:r>
            <w:r>
              <w:t>4</w:t>
            </w:r>
            <w:r w:rsidR="0092042A">
              <w:t xml:space="preserve"> Through </w:t>
            </w:r>
            <w:r w:rsidRPr="008A3727">
              <w:t>2023</w:t>
            </w:r>
            <w:r>
              <w:t>–</w:t>
            </w:r>
            <w:r w:rsidRPr="008A3727">
              <w:t>24</w:t>
            </w:r>
          </w:p>
        </w:tc>
        <w:tc>
          <w:tcPr>
            <w:tcW w:w="1010" w:type="pct"/>
            <w:tcBorders>
              <w:bottom w:val="single" w:sz="4" w:space="0" w:color="auto"/>
            </w:tcBorders>
          </w:tcPr>
          <w:p w:rsidR="00C157EC" w:rsidRPr="00807FB9" w:rsidRDefault="00C157EC" w:rsidP="00E80E14">
            <w:pPr>
              <w:pStyle w:val="TableTextCentered"/>
            </w:pPr>
            <w:r>
              <w:t>O</w:t>
            </w:r>
            <w:r w:rsidRPr="008A3727">
              <w:t xml:space="preserve">verall </w:t>
            </w:r>
            <w:r>
              <w:t>Percent</w:t>
            </w:r>
            <w:r w:rsidRPr="008A3727">
              <w:t xml:space="preserve"> </w:t>
            </w:r>
            <w:r>
              <w:t>C</w:t>
            </w:r>
            <w:r w:rsidRPr="008A3727">
              <w:t>hange 201</w:t>
            </w:r>
            <w:r>
              <w:t>3–</w:t>
            </w:r>
            <w:r w:rsidRPr="008A3727">
              <w:t>1</w:t>
            </w:r>
            <w:r>
              <w:t>4</w:t>
            </w:r>
            <w:r w:rsidR="0092042A">
              <w:t xml:space="preserve"> Through </w:t>
            </w:r>
            <w:r w:rsidRPr="008A3727">
              <w:t>2023</w:t>
            </w:r>
            <w:r>
              <w:t>–</w:t>
            </w:r>
            <w:r w:rsidRPr="008A3727">
              <w:t>24</w:t>
            </w:r>
          </w:p>
        </w:tc>
        <w:tc>
          <w:tcPr>
            <w:tcW w:w="1009" w:type="pct"/>
            <w:tcBorders>
              <w:bottom w:val="single" w:sz="4" w:space="0" w:color="auto"/>
            </w:tcBorders>
          </w:tcPr>
          <w:p w:rsidR="00C157EC" w:rsidRPr="00807FB9" w:rsidRDefault="00C157EC" w:rsidP="00404E8A">
            <w:pPr>
              <w:pStyle w:val="TableTextCentered"/>
            </w:pPr>
            <w:r>
              <w:t>O</w:t>
            </w:r>
            <w:r w:rsidRPr="008A3727">
              <w:t xml:space="preserve">verall </w:t>
            </w:r>
            <w:r>
              <w:t>A</w:t>
            </w:r>
            <w:r w:rsidRPr="008A3727">
              <w:t xml:space="preserve">bsolute </w:t>
            </w:r>
            <w:r>
              <w:t>C</w:t>
            </w:r>
            <w:r w:rsidRPr="008A3727">
              <w:t>hange</w:t>
            </w:r>
            <w:r>
              <w:t xml:space="preserve"> </w:t>
            </w:r>
            <w:r w:rsidRPr="00C20B19">
              <w:t>201</w:t>
            </w:r>
            <w:r>
              <w:t>3–</w:t>
            </w:r>
            <w:r w:rsidRPr="00C20B19">
              <w:t>1</w:t>
            </w:r>
            <w:r>
              <w:t>4</w:t>
            </w:r>
            <w:r w:rsidR="0092042A">
              <w:t xml:space="preserve"> Through </w:t>
            </w:r>
            <w:r w:rsidRPr="00C20B19">
              <w:t>2023</w:t>
            </w:r>
            <w:r>
              <w:t>–</w:t>
            </w:r>
            <w:r w:rsidRPr="00C20B19">
              <w:t>24</w:t>
            </w:r>
          </w:p>
        </w:tc>
      </w:tr>
      <w:tr w:rsidR="00434C0C" w:rsidRPr="00DD621F" w:rsidTr="00854E4E">
        <w:tc>
          <w:tcPr>
            <w:tcW w:w="1586" w:type="pct"/>
            <w:tcBorders>
              <w:bottom w:val="single" w:sz="4" w:space="0" w:color="auto"/>
            </w:tcBorders>
          </w:tcPr>
          <w:p w:rsidR="00434C0C" w:rsidRPr="00807FB9" w:rsidRDefault="00434C0C" w:rsidP="00854E4E">
            <w:pPr>
              <w:pStyle w:val="TableText"/>
              <w:jc w:val="center"/>
            </w:pPr>
            <w:r w:rsidRPr="00807FB9">
              <w:t>Berkshires +</w:t>
            </w:r>
          </w:p>
        </w:tc>
        <w:tc>
          <w:tcPr>
            <w:tcW w:w="1395" w:type="pct"/>
            <w:tcBorders>
              <w:bottom w:val="single" w:sz="4" w:space="0" w:color="auto"/>
            </w:tcBorders>
            <w:vAlign w:val="top"/>
          </w:tcPr>
          <w:p w:rsidR="00434C0C" w:rsidRPr="00807FB9" w:rsidRDefault="00434C0C" w:rsidP="00434C0C">
            <w:pPr>
              <w:pStyle w:val="TableTextCentered"/>
            </w:pPr>
            <w:r w:rsidRPr="00BF75A9">
              <w:t>-1.19</w:t>
            </w:r>
            <w:r>
              <w:t>%</w:t>
            </w:r>
          </w:p>
        </w:tc>
        <w:tc>
          <w:tcPr>
            <w:tcW w:w="1010" w:type="pct"/>
            <w:tcBorders>
              <w:bottom w:val="single" w:sz="4" w:space="0" w:color="auto"/>
            </w:tcBorders>
            <w:vAlign w:val="top"/>
          </w:tcPr>
          <w:p w:rsidR="00434C0C" w:rsidRPr="00807FB9" w:rsidRDefault="00434C0C" w:rsidP="00434C0C">
            <w:pPr>
              <w:pStyle w:val="TableTextCentered"/>
            </w:pPr>
            <w:r w:rsidRPr="00BF75A9">
              <w:t>-11.29</w:t>
            </w:r>
            <w:r>
              <w:t>%</w:t>
            </w:r>
          </w:p>
        </w:tc>
        <w:tc>
          <w:tcPr>
            <w:tcW w:w="1009" w:type="pct"/>
            <w:tcBorders>
              <w:bottom w:val="single" w:sz="4" w:space="0" w:color="auto"/>
            </w:tcBorders>
            <w:vAlign w:val="top"/>
          </w:tcPr>
          <w:p w:rsidR="00434C0C" w:rsidRPr="00807FB9" w:rsidRDefault="00434C0C" w:rsidP="00434C0C">
            <w:pPr>
              <w:pStyle w:val="TableTextCentered"/>
            </w:pPr>
            <w:r w:rsidRPr="00BF75A9">
              <w:t>-3,762</w:t>
            </w:r>
          </w:p>
        </w:tc>
      </w:tr>
      <w:tr w:rsidR="00434C0C" w:rsidRPr="00DD621F" w:rsidTr="00854E4E">
        <w:tc>
          <w:tcPr>
            <w:tcW w:w="1586" w:type="pct"/>
            <w:tcBorders>
              <w:bottom w:val="single" w:sz="4" w:space="0" w:color="auto"/>
            </w:tcBorders>
          </w:tcPr>
          <w:p w:rsidR="00434C0C" w:rsidRPr="00807FB9" w:rsidRDefault="00434C0C" w:rsidP="00854E4E">
            <w:pPr>
              <w:pStyle w:val="TableText"/>
              <w:jc w:val="center"/>
            </w:pPr>
            <w:r w:rsidRPr="00807FB9">
              <w:t>Central</w:t>
            </w:r>
          </w:p>
        </w:tc>
        <w:tc>
          <w:tcPr>
            <w:tcW w:w="1395" w:type="pct"/>
            <w:tcBorders>
              <w:bottom w:val="single" w:sz="4" w:space="0" w:color="auto"/>
            </w:tcBorders>
            <w:vAlign w:val="top"/>
          </w:tcPr>
          <w:p w:rsidR="00434C0C" w:rsidRPr="00807FB9" w:rsidRDefault="00434C0C" w:rsidP="00434C0C">
            <w:pPr>
              <w:pStyle w:val="TableTextCentered"/>
            </w:pPr>
            <w:r w:rsidRPr="00BF75A9">
              <w:t>-1.01</w:t>
            </w:r>
            <w:r>
              <w:t>%</w:t>
            </w:r>
          </w:p>
        </w:tc>
        <w:tc>
          <w:tcPr>
            <w:tcW w:w="1010" w:type="pct"/>
            <w:tcBorders>
              <w:bottom w:val="single" w:sz="4" w:space="0" w:color="auto"/>
            </w:tcBorders>
            <w:vAlign w:val="top"/>
          </w:tcPr>
          <w:p w:rsidR="00434C0C" w:rsidRPr="00807FB9" w:rsidRDefault="00434C0C" w:rsidP="00434C0C">
            <w:pPr>
              <w:pStyle w:val="TableTextCentered"/>
            </w:pPr>
            <w:r w:rsidRPr="00BF75A9">
              <w:t>-9.65</w:t>
            </w:r>
            <w:r>
              <w:t>%</w:t>
            </w:r>
          </w:p>
        </w:tc>
        <w:tc>
          <w:tcPr>
            <w:tcW w:w="1009" w:type="pct"/>
            <w:tcBorders>
              <w:bottom w:val="single" w:sz="4" w:space="0" w:color="auto"/>
            </w:tcBorders>
            <w:vAlign w:val="top"/>
          </w:tcPr>
          <w:p w:rsidR="00434C0C" w:rsidRPr="00807FB9" w:rsidRDefault="00434C0C" w:rsidP="00434C0C">
            <w:pPr>
              <w:pStyle w:val="TableTextCentered"/>
            </w:pPr>
            <w:r w:rsidRPr="00BF75A9">
              <w:t>-10,756</w:t>
            </w:r>
          </w:p>
        </w:tc>
      </w:tr>
      <w:tr w:rsidR="00434C0C" w:rsidRPr="00DD621F" w:rsidTr="00854E4E">
        <w:tc>
          <w:tcPr>
            <w:tcW w:w="1586" w:type="pct"/>
            <w:tcBorders>
              <w:bottom w:val="single" w:sz="4" w:space="0" w:color="auto"/>
            </w:tcBorders>
          </w:tcPr>
          <w:p w:rsidR="00434C0C" w:rsidRPr="00807FB9" w:rsidRDefault="00434C0C" w:rsidP="00854E4E">
            <w:pPr>
              <w:pStyle w:val="TableText"/>
              <w:jc w:val="center"/>
            </w:pPr>
            <w:r w:rsidRPr="00807FB9">
              <w:t>Commissioner's Districts</w:t>
            </w:r>
          </w:p>
        </w:tc>
        <w:tc>
          <w:tcPr>
            <w:tcW w:w="1395" w:type="pct"/>
            <w:tcBorders>
              <w:bottom w:val="single" w:sz="4" w:space="0" w:color="auto"/>
            </w:tcBorders>
            <w:vAlign w:val="top"/>
          </w:tcPr>
          <w:p w:rsidR="00434C0C" w:rsidRPr="00807FB9" w:rsidRDefault="00434C0C" w:rsidP="00434C0C">
            <w:pPr>
              <w:pStyle w:val="TableTextCentered"/>
            </w:pPr>
            <w:r w:rsidRPr="00BF75A9">
              <w:t>-</w:t>
            </w:r>
            <w:r>
              <w:t>0</w:t>
            </w:r>
            <w:r w:rsidRPr="00BF75A9">
              <w:t>.26</w:t>
            </w:r>
            <w:r>
              <w:t>%</w:t>
            </w:r>
          </w:p>
        </w:tc>
        <w:tc>
          <w:tcPr>
            <w:tcW w:w="1010" w:type="pct"/>
            <w:tcBorders>
              <w:bottom w:val="single" w:sz="4" w:space="0" w:color="auto"/>
            </w:tcBorders>
            <w:vAlign w:val="top"/>
          </w:tcPr>
          <w:p w:rsidR="00434C0C" w:rsidRPr="00807FB9" w:rsidRDefault="00434C0C" w:rsidP="00434C0C">
            <w:pPr>
              <w:pStyle w:val="TableTextCentered"/>
            </w:pPr>
            <w:r w:rsidRPr="00BF75A9">
              <w:t>-2.53</w:t>
            </w:r>
            <w:r>
              <w:t>%</w:t>
            </w:r>
          </w:p>
        </w:tc>
        <w:tc>
          <w:tcPr>
            <w:tcW w:w="1009" w:type="pct"/>
            <w:tcBorders>
              <w:bottom w:val="single" w:sz="4" w:space="0" w:color="auto"/>
            </w:tcBorders>
            <w:vAlign w:val="top"/>
          </w:tcPr>
          <w:p w:rsidR="00434C0C" w:rsidRPr="00807FB9" w:rsidRDefault="00434C0C" w:rsidP="00434C0C">
            <w:pPr>
              <w:pStyle w:val="TableTextCentered"/>
            </w:pPr>
            <w:r w:rsidRPr="00BF75A9">
              <w:t>-4,670</w:t>
            </w:r>
          </w:p>
        </w:tc>
      </w:tr>
      <w:tr w:rsidR="00434C0C" w:rsidRPr="00DD621F" w:rsidTr="00854E4E">
        <w:tc>
          <w:tcPr>
            <w:tcW w:w="1586" w:type="pct"/>
            <w:tcBorders>
              <w:bottom w:val="single" w:sz="4" w:space="0" w:color="auto"/>
            </w:tcBorders>
          </w:tcPr>
          <w:p w:rsidR="00434C0C" w:rsidRPr="00807FB9" w:rsidRDefault="00434C0C" w:rsidP="00854E4E">
            <w:pPr>
              <w:pStyle w:val="TableText"/>
              <w:jc w:val="center"/>
            </w:pPr>
            <w:r w:rsidRPr="00807FB9">
              <w:t>Greater Boston</w:t>
            </w:r>
          </w:p>
        </w:tc>
        <w:tc>
          <w:tcPr>
            <w:tcW w:w="1395" w:type="pct"/>
            <w:tcBorders>
              <w:bottom w:val="single" w:sz="4" w:space="0" w:color="auto"/>
            </w:tcBorders>
            <w:vAlign w:val="top"/>
          </w:tcPr>
          <w:p w:rsidR="00434C0C" w:rsidRPr="00807FB9" w:rsidRDefault="00434C0C" w:rsidP="00434C0C">
            <w:pPr>
              <w:pStyle w:val="TableTextCentered"/>
            </w:pPr>
            <w:r w:rsidRPr="00BF75A9">
              <w:t>-</w:t>
            </w:r>
            <w:r>
              <w:t>0</w:t>
            </w:r>
            <w:r w:rsidRPr="00BF75A9">
              <w:t>.14</w:t>
            </w:r>
            <w:r>
              <w:t>%</w:t>
            </w:r>
          </w:p>
        </w:tc>
        <w:tc>
          <w:tcPr>
            <w:tcW w:w="1010" w:type="pct"/>
            <w:tcBorders>
              <w:bottom w:val="single" w:sz="4" w:space="0" w:color="auto"/>
            </w:tcBorders>
            <w:vAlign w:val="top"/>
          </w:tcPr>
          <w:p w:rsidR="00434C0C" w:rsidRPr="00807FB9" w:rsidRDefault="00434C0C" w:rsidP="00434C0C">
            <w:pPr>
              <w:pStyle w:val="TableTextCentered"/>
            </w:pPr>
            <w:r w:rsidRPr="00BF75A9">
              <w:t>-1.38</w:t>
            </w:r>
            <w:r>
              <w:t>%</w:t>
            </w:r>
          </w:p>
        </w:tc>
        <w:tc>
          <w:tcPr>
            <w:tcW w:w="1009" w:type="pct"/>
            <w:tcBorders>
              <w:bottom w:val="single" w:sz="4" w:space="0" w:color="auto"/>
            </w:tcBorders>
            <w:vAlign w:val="top"/>
          </w:tcPr>
          <w:p w:rsidR="00434C0C" w:rsidRPr="00807FB9" w:rsidRDefault="00434C0C" w:rsidP="00434C0C">
            <w:pPr>
              <w:pStyle w:val="TableTextCentered"/>
            </w:pPr>
            <w:r w:rsidRPr="00BF75A9">
              <w:t>-2,630</w:t>
            </w:r>
          </w:p>
        </w:tc>
      </w:tr>
      <w:tr w:rsidR="00434C0C" w:rsidRPr="00DD621F" w:rsidTr="00854E4E">
        <w:tc>
          <w:tcPr>
            <w:tcW w:w="1586" w:type="pct"/>
            <w:tcBorders>
              <w:bottom w:val="single" w:sz="4" w:space="0" w:color="auto"/>
            </w:tcBorders>
          </w:tcPr>
          <w:p w:rsidR="00434C0C" w:rsidRPr="00807FB9" w:rsidRDefault="00434C0C" w:rsidP="00854E4E">
            <w:pPr>
              <w:pStyle w:val="TableText"/>
              <w:jc w:val="center"/>
            </w:pPr>
            <w:r w:rsidRPr="00807FB9">
              <w:t>Northeast</w:t>
            </w:r>
          </w:p>
        </w:tc>
        <w:tc>
          <w:tcPr>
            <w:tcW w:w="1395" w:type="pct"/>
            <w:tcBorders>
              <w:bottom w:val="single" w:sz="4" w:space="0" w:color="auto"/>
            </w:tcBorders>
            <w:vAlign w:val="top"/>
          </w:tcPr>
          <w:p w:rsidR="00434C0C" w:rsidRPr="00807FB9" w:rsidRDefault="00434C0C" w:rsidP="00434C0C">
            <w:pPr>
              <w:pStyle w:val="TableTextCentered"/>
            </w:pPr>
            <w:r w:rsidRPr="00BF75A9">
              <w:t>-</w:t>
            </w:r>
            <w:r>
              <w:t>0</w:t>
            </w:r>
            <w:r w:rsidRPr="00BF75A9">
              <w:t>.52</w:t>
            </w:r>
            <w:r>
              <w:t>%</w:t>
            </w:r>
          </w:p>
        </w:tc>
        <w:tc>
          <w:tcPr>
            <w:tcW w:w="1010" w:type="pct"/>
            <w:tcBorders>
              <w:bottom w:val="single" w:sz="4" w:space="0" w:color="auto"/>
            </w:tcBorders>
            <w:vAlign w:val="top"/>
          </w:tcPr>
          <w:p w:rsidR="00434C0C" w:rsidRPr="00807FB9" w:rsidRDefault="00434C0C" w:rsidP="00434C0C">
            <w:pPr>
              <w:pStyle w:val="TableTextCentered"/>
            </w:pPr>
            <w:r w:rsidRPr="00BF75A9">
              <w:t>-5.13</w:t>
            </w:r>
            <w:r>
              <w:t>%</w:t>
            </w:r>
          </w:p>
        </w:tc>
        <w:tc>
          <w:tcPr>
            <w:tcW w:w="1009" w:type="pct"/>
            <w:tcBorders>
              <w:bottom w:val="single" w:sz="4" w:space="0" w:color="auto"/>
            </w:tcBorders>
            <w:vAlign w:val="top"/>
          </w:tcPr>
          <w:p w:rsidR="00434C0C" w:rsidRPr="00807FB9" w:rsidRDefault="00434C0C" w:rsidP="00434C0C">
            <w:pPr>
              <w:pStyle w:val="TableTextCentered"/>
            </w:pPr>
            <w:r w:rsidRPr="00BF75A9">
              <w:t>-6,861</w:t>
            </w:r>
          </w:p>
        </w:tc>
      </w:tr>
      <w:tr w:rsidR="00434C0C" w:rsidRPr="00DD621F" w:rsidTr="00854E4E">
        <w:tc>
          <w:tcPr>
            <w:tcW w:w="1586" w:type="pct"/>
            <w:tcBorders>
              <w:bottom w:val="single" w:sz="4" w:space="0" w:color="auto"/>
            </w:tcBorders>
          </w:tcPr>
          <w:p w:rsidR="00434C0C" w:rsidRPr="00807FB9" w:rsidRDefault="00434C0C" w:rsidP="00854E4E">
            <w:pPr>
              <w:pStyle w:val="TableText"/>
              <w:jc w:val="center"/>
            </w:pPr>
            <w:r w:rsidRPr="00807FB9">
              <w:t>Pioneer Valley</w:t>
            </w:r>
          </w:p>
        </w:tc>
        <w:tc>
          <w:tcPr>
            <w:tcW w:w="1395" w:type="pct"/>
            <w:tcBorders>
              <w:bottom w:val="single" w:sz="4" w:space="0" w:color="auto"/>
            </w:tcBorders>
            <w:vAlign w:val="top"/>
          </w:tcPr>
          <w:p w:rsidR="00434C0C" w:rsidRPr="00807FB9" w:rsidRDefault="00434C0C" w:rsidP="00434C0C">
            <w:pPr>
              <w:pStyle w:val="TableTextCentered"/>
            </w:pPr>
            <w:r w:rsidRPr="00BF75A9">
              <w:t>-</w:t>
            </w:r>
            <w:r>
              <w:t>0</w:t>
            </w:r>
            <w:r w:rsidRPr="00BF75A9">
              <w:t>.8</w:t>
            </w:r>
            <w:r>
              <w:t>0%</w:t>
            </w:r>
          </w:p>
        </w:tc>
        <w:tc>
          <w:tcPr>
            <w:tcW w:w="1010" w:type="pct"/>
            <w:tcBorders>
              <w:bottom w:val="single" w:sz="4" w:space="0" w:color="auto"/>
            </w:tcBorders>
            <w:vAlign w:val="top"/>
          </w:tcPr>
          <w:p w:rsidR="00434C0C" w:rsidRPr="00807FB9" w:rsidRDefault="00434C0C" w:rsidP="00434C0C">
            <w:pPr>
              <w:pStyle w:val="TableTextCentered"/>
            </w:pPr>
            <w:r w:rsidRPr="00BF75A9">
              <w:t>-7.74</w:t>
            </w:r>
            <w:r>
              <w:t>%</w:t>
            </w:r>
          </w:p>
        </w:tc>
        <w:tc>
          <w:tcPr>
            <w:tcW w:w="1009" w:type="pct"/>
            <w:tcBorders>
              <w:bottom w:val="single" w:sz="4" w:space="0" w:color="auto"/>
            </w:tcBorders>
            <w:vAlign w:val="top"/>
          </w:tcPr>
          <w:p w:rsidR="00434C0C" w:rsidRPr="00807FB9" w:rsidRDefault="00434C0C" w:rsidP="00434C0C">
            <w:pPr>
              <w:pStyle w:val="TableTextCentered"/>
            </w:pPr>
            <w:r w:rsidRPr="00BF75A9">
              <w:t>-3,536</w:t>
            </w:r>
          </w:p>
        </w:tc>
      </w:tr>
      <w:tr w:rsidR="00434C0C" w:rsidRPr="00DD621F" w:rsidTr="00854E4E">
        <w:tc>
          <w:tcPr>
            <w:tcW w:w="1586" w:type="pct"/>
            <w:tcBorders>
              <w:bottom w:val="single" w:sz="4" w:space="0" w:color="auto"/>
            </w:tcBorders>
          </w:tcPr>
          <w:p w:rsidR="00434C0C" w:rsidRPr="00807FB9" w:rsidRDefault="00434C0C" w:rsidP="00854E4E">
            <w:pPr>
              <w:pStyle w:val="TableText"/>
              <w:jc w:val="center"/>
            </w:pPr>
            <w:r w:rsidRPr="00807FB9">
              <w:t>Southeast</w:t>
            </w:r>
          </w:p>
        </w:tc>
        <w:tc>
          <w:tcPr>
            <w:tcW w:w="1395" w:type="pct"/>
            <w:tcBorders>
              <w:bottom w:val="single" w:sz="4" w:space="0" w:color="auto"/>
            </w:tcBorders>
            <w:vAlign w:val="top"/>
          </w:tcPr>
          <w:p w:rsidR="00434C0C" w:rsidRPr="00807FB9" w:rsidRDefault="00434C0C" w:rsidP="00434C0C">
            <w:pPr>
              <w:pStyle w:val="TableTextCentered"/>
            </w:pPr>
            <w:r w:rsidRPr="00BF75A9">
              <w:t>-1.07</w:t>
            </w:r>
            <w:r>
              <w:t>%</w:t>
            </w:r>
          </w:p>
        </w:tc>
        <w:tc>
          <w:tcPr>
            <w:tcW w:w="1010" w:type="pct"/>
            <w:tcBorders>
              <w:bottom w:val="single" w:sz="4" w:space="0" w:color="auto"/>
            </w:tcBorders>
            <w:vAlign w:val="top"/>
          </w:tcPr>
          <w:p w:rsidR="00434C0C" w:rsidRPr="00807FB9" w:rsidRDefault="00434C0C" w:rsidP="00434C0C">
            <w:pPr>
              <w:pStyle w:val="TableTextCentered"/>
            </w:pPr>
            <w:r w:rsidRPr="00BF75A9">
              <w:t>-10.2</w:t>
            </w:r>
            <w:r w:rsidR="00346F80">
              <w:t>0</w:t>
            </w:r>
            <w:r>
              <w:t>%</w:t>
            </w:r>
          </w:p>
        </w:tc>
        <w:tc>
          <w:tcPr>
            <w:tcW w:w="1009" w:type="pct"/>
            <w:tcBorders>
              <w:bottom w:val="single" w:sz="4" w:space="0" w:color="auto"/>
            </w:tcBorders>
            <w:vAlign w:val="top"/>
          </w:tcPr>
          <w:p w:rsidR="00434C0C" w:rsidRPr="00807FB9" w:rsidRDefault="00434C0C" w:rsidP="00434C0C">
            <w:pPr>
              <w:pStyle w:val="TableTextCentered"/>
            </w:pPr>
            <w:r w:rsidRPr="00BF75A9">
              <w:t>-19,021</w:t>
            </w:r>
          </w:p>
        </w:tc>
      </w:tr>
      <w:tr w:rsidR="00434C0C" w:rsidRPr="00DD621F" w:rsidTr="00854E4E">
        <w:tc>
          <w:tcPr>
            <w:tcW w:w="1586" w:type="pct"/>
          </w:tcPr>
          <w:p w:rsidR="00434C0C" w:rsidRPr="00807FB9" w:rsidRDefault="00434C0C" w:rsidP="00854E4E">
            <w:pPr>
              <w:pStyle w:val="TableText"/>
              <w:jc w:val="center"/>
            </w:pPr>
            <w:r w:rsidRPr="00807FB9">
              <w:t>Statewide</w:t>
            </w:r>
          </w:p>
        </w:tc>
        <w:tc>
          <w:tcPr>
            <w:tcW w:w="1395" w:type="pct"/>
            <w:vAlign w:val="top"/>
          </w:tcPr>
          <w:p w:rsidR="00434C0C" w:rsidRPr="00807FB9" w:rsidRDefault="00434C0C" w:rsidP="00434C0C">
            <w:pPr>
              <w:pStyle w:val="TableTextCentered"/>
            </w:pPr>
            <w:r w:rsidRPr="00BF75A9">
              <w:t>-</w:t>
            </w:r>
            <w:r>
              <w:t>0</w:t>
            </w:r>
            <w:r w:rsidRPr="00BF75A9">
              <w:t>.59</w:t>
            </w:r>
            <w:r>
              <w:t>%</w:t>
            </w:r>
          </w:p>
        </w:tc>
        <w:tc>
          <w:tcPr>
            <w:tcW w:w="1010" w:type="pct"/>
            <w:vAlign w:val="top"/>
          </w:tcPr>
          <w:p w:rsidR="00434C0C" w:rsidRPr="00807FB9" w:rsidRDefault="00434C0C" w:rsidP="00434C0C">
            <w:pPr>
              <w:pStyle w:val="TableTextCentered"/>
            </w:pPr>
            <w:r w:rsidRPr="00BF75A9">
              <w:t>-5.79</w:t>
            </w:r>
            <w:r>
              <w:t>%</w:t>
            </w:r>
          </w:p>
        </w:tc>
        <w:tc>
          <w:tcPr>
            <w:tcW w:w="1009" w:type="pct"/>
            <w:vAlign w:val="top"/>
          </w:tcPr>
          <w:p w:rsidR="00434C0C" w:rsidRPr="00807FB9" w:rsidRDefault="00434C0C" w:rsidP="00434C0C">
            <w:pPr>
              <w:pStyle w:val="TableTextCentered"/>
            </w:pPr>
            <w:r w:rsidRPr="00BF75A9">
              <w:t>-51,236</w:t>
            </w:r>
          </w:p>
        </w:tc>
      </w:tr>
    </w:tbl>
    <w:p w:rsidR="00C157EC" w:rsidRDefault="00C157EC" w:rsidP="00404E8A">
      <w:pPr>
        <w:pStyle w:val="BodyText"/>
      </w:pPr>
      <w:r>
        <w:t>Although the projected drops in enrollment may look large, when considered as part of a statewide trend over time, the decline seems less dramatic. In fact, as can be seen in Figure 4, statewide enrollment has been declining steadily for the past six years, declining 1.4 percent overall (12,250 students).</w:t>
      </w:r>
    </w:p>
    <w:p w:rsidR="00C157EC" w:rsidRPr="002B58FC" w:rsidRDefault="00C157EC" w:rsidP="00404E8A">
      <w:pPr>
        <w:pStyle w:val="FigureTitle"/>
      </w:pPr>
      <w:proofErr w:type="gramStart"/>
      <w:r>
        <w:t>Figure</w:t>
      </w:r>
      <w:r w:rsidRPr="002B58FC">
        <w:t xml:space="preserve"> </w:t>
      </w:r>
      <w:r w:rsidR="00277E7B">
        <w:t>4</w:t>
      </w:r>
      <w:r w:rsidRPr="002B58FC">
        <w:t>.</w:t>
      </w:r>
      <w:proofErr w:type="gramEnd"/>
      <w:r w:rsidRPr="002B58FC">
        <w:t xml:space="preserve"> Historical and Projected </w:t>
      </w:r>
      <w:r>
        <w:t xml:space="preserve">Statewide </w:t>
      </w:r>
      <w:r w:rsidRPr="002B58FC">
        <w:t>Enrollment</w:t>
      </w:r>
      <w:r>
        <w:t>,</w:t>
      </w:r>
      <w:r w:rsidRPr="002B58FC">
        <w:t xml:space="preserve"> 200</w:t>
      </w:r>
      <w:r>
        <w:t>8–0</w:t>
      </w:r>
      <w:r w:rsidRPr="002B58FC">
        <w:t>9</w:t>
      </w:r>
      <w:r w:rsidR="0092042A">
        <w:t xml:space="preserve"> </w:t>
      </w:r>
      <w:proofErr w:type="gramStart"/>
      <w:r w:rsidR="0092042A">
        <w:t>Through</w:t>
      </w:r>
      <w:proofErr w:type="gramEnd"/>
      <w:r w:rsidR="0092042A">
        <w:t xml:space="preserve"> </w:t>
      </w:r>
      <w:r w:rsidRPr="002B58FC">
        <w:t>20</w:t>
      </w:r>
      <w:r w:rsidR="00197E8D">
        <w:t>2</w:t>
      </w:r>
      <w:r>
        <w:t>3</w:t>
      </w:r>
      <w:r w:rsidR="00197E8D">
        <w:t>-24</w:t>
      </w:r>
    </w:p>
    <w:p w:rsidR="00C157EC" w:rsidRDefault="00C157EC" w:rsidP="009C0911">
      <w:pPr>
        <w:pStyle w:val="FigurePlacement"/>
      </w:pPr>
      <w:r w:rsidRPr="001A43FB">
        <w:rPr>
          <w:noProof/>
          <w:lang w:eastAsia="zh-CN" w:bidi="km-KH"/>
        </w:rPr>
        <w:drawing>
          <wp:inline distT="0" distB="0" distL="0" distR="0">
            <wp:extent cx="5628488" cy="3657600"/>
            <wp:effectExtent l="19050" t="0" r="0" b="0"/>
            <wp:docPr id="225" name="Picture 225" descr="As can be seen in Figure 4, statewide enrollment has been declining steadily for the past six years, declining 1.4 percent overall (12,250 students).&#10;&#10;Figure 4. Historical and Projected Statewide Enrollment, 2008–09 Through 2023-2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15" t="3876" r="4996" b="6961"/>
                    <a:stretch/>
                  </pic:blipFill>
                  <pic:spPr bwMode="auto">
                    <a:xfrm>
                      <a:off x="0" y="0"/>
                      <a:ext cx="5628488"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C157EC">
      <w:pPr>
        <w:pStyle w:val="Heading4"/>
      </w:pPr>
      <w:bookmarkStart w:id="58" w:name="_Toc434832145"/>
      <w:bookmarkStart w:id="59" w:name="_Toc435784238"/>
      <w:r>
        <w:t>Pupil–Teacher Ratios</w:t>
      </w:r>
      <w:bookmarkEnd w:id="58"/>
      <w:bookmarkEnd w:id="59"/>
    </w:p>
    <w:p w:rsidR="00C157EC" w:rsidRPr="006642FE" w:rsidRDefault="00C157EC" w:rsidP="00C157EC">
      <w:pPr>
        <w:pStyle w:val="BodyText"/>
      </w:pPr>
      <w:r>
        <w:t>B</w:t>
      </w:r>
      <w:r w:rsidRPr="006642FE">
        <w:t>efore demand projections</w:t>
      </w:r>
      <w:r>
        <w:t xml:space="preserve"> are discussed, </w:t>
      </w:r>
      <w:r w:rsidRPr="006642FE">
        <w:t>it is important to consider trends in pupil</w:t>
      </w:r>
      <w:r>
        <w:t>–</w:t>
      </w:r>
      <w:r w:rsidRPr="006642FE">
        <w:t xml:space="preserve">teacher ratios. As outlined in the Data and Methods section, </w:t>
      </w:r>
      <w:r>
        <w:t>the</w:t>
      </w:r>
      <w:r w:rsidRPr="006642FE">
        <w:t xml:space="preserve"> demand projections are based on the assumption that statewide pupil</w:t>
      </w:r>
      <w:r>
        <w:t>–</w:t>
      </w:r>
      <w:r w:rsidRPr="006642FE">
        <w:t>teacher ratios will remain constant over the next 10 years. In order to account for possible shock</w:t>
      </w:r>
      <w:r>
        <w:t>s</w:t>
      </w:r>
      <w:r w:rsidRPr="006642FE">
        <w:t xml:space="preserve"> in the most recent historical year of data, </w:t>
      </w:r>
      <w:r>
        <w:t>the AIR research team</w:t>
      </w:r>
      <w:r w:rsidRPr="006642FE">
        <w:t xml:space="preserve"> chose to hold pupil</w:t>
      </w:r>
      <w:r>
        <w:t>–</w:t>
      </w:r>
      <w:r w:rsidRPr="006642FE">
        <w:t>teacher ratios constant at an average of the most recent three historical years</w:t>
      </w:r>
      <w:r>
        <w:t xml:space="preserve"> (2011–12 through 2013–14)</w:t>
      </w:r>
      <w:r w:rsidRPr="006642FE">
        <w:t xml:space="preserve">. </w:t>
      </w:r>
      <w:r>
        <w:t>Moreover, t</w:t>
      </w:r>
      <w:r w:rsidRPr="006642FE">
        <w:t>h</w:t>
      </w:r>
      <w:r>
        <w:t>e</w:t>
      </w:r>
      <w:r w:rsidRPr="006642FE">
        <w:t xml:space="preserve"> </w:t>
      </w:r>
      <w:r>
        <w:t xml:space="preserve">declining enrollment </w:t>
      </w:r>
      <w:r w:rsidRPr="006642FE">
        <w:t xml:space="preserve">trend suggests that the statewide demand for </w:t>
      </w:r>
      <w:r>
        <w:t>teachers</w:t>
      </w:r>
      <w:r w:rsidRPr="006642FE">
        <w:t xml:space="preserve"> is </w:t>
      </w:r>
      <w:r>
        <w:t xml:space="preserve">also </w:t>
      </w:r>
      <w:r w:rsidRPr="006642FE">
        <w:t>likely to decline. While policies related to pupil</w:t>
      </w:r>
      <w:r>
        <w:t>–</w:t>
      </w:r>
      <w:r w:rsidRPr="006642FE">
        <w:t xml:space="preserve">teacher ratios can affect demand, </w:t>
      </w:r>
      <w:r>
        <w:t>these ratios tend to be fairly stable over time</w:t>
      </w:r>
      <w:r w:rsidRPr="006642FE">
        <w:t>. T</w:t>
      </w:r>
      <w:r>
        <w:t>o this end</w:t>
      </w:r>
      <w:r w:rsidRPr="006642FE">
        <w:t xml:space="preserve">, student enrollment trends can be expected to </w:t>
      </w:r>
      <w:r>
        <w:t xml:space="preserve">be the primary </w:t>
      </w:r>
      <w:r w:rsidRPr="006642FE">
        <w:t>drive</w:t>
      </w:r>
      <w:r>
        <w:t>r of</w:t>
      </w:r>
      <w:r w:rsidRPr="006642FE">
        <w:t xml:space="preserve"> future demand.</w:t>
      </w:r>
    </w:p>
    <w:p w:rsidR="00C157EC" w:rsidRPr="006642FE" w:rsidRDefault="00C157EC" w:rsidP="00C157EC">
      <w:pPr>
        <w:pStyle w:val="BodyText"/>
      </w:pPr>
      <w:r>
        <w:t>Table 3</w:t>
      </w:r>
      <w:r w:rsidRPr="006642FE">
        <w:t xml:space="preserve"> displays regional and statewide ratios in 20</w:t>
      </w:r>
      <w:r>
        <w:t>13–</w:t>
      </w:r>
      <w:r w:rsidRPr="006642FE">
        <w:t>14, the three-year average, and the difference between the two. As can be seen in the table, there is generally a very small difference between the two</w:t>
      </w:r>
      <w:r>
        <w:t xml:space="preserve"> ratios</w:t>
      </w:r>
      <w:r w:rsidRPr="006642FE">
        <w:t xml:space="preserve">. In most regions the </w:t>
      </w:r>
      <w:r>
        <w:t xml:space="preserve">three-year </w:t>
      </w:r>
      <w:r w:rsidRPr="006642FE">
        <w:t xml:space="preserve">average </w:t>
      </w:r>
      <w:r>
        <w:t xml:space="preserve">ratio </w:t>
      </w:r>
      <w:r w:rsidRPr="006642FE">
        <w:t>is larger than the 20</w:t>
      </w:r>
      <w:r>
        <w:t>13–</w:t>
      </w:r>
      <w:r w:rsidRPr="006642FE">
        <w:t xml:space="preserve">14 </w:t>
      </w:r>
      <w:proofErr w:type="gramStart"/>
      <w:r w:rsidRPr="006642FE">
        <w:t>ratio</w:t>
      </w:r>
      <w:proofErr w:type="gramEnd"/>
      <w:r>
        <w:t>,</w:t>
      </w:r>
      <w:r w:rsidRPr="006642FE">
        <w:t xml:space="preserve"> suggesting that</w:t>
      </w:r>
      <w:r>
        <w:t>,</w:t>
      </w:r>
      <w:r w:rsidRPr="006642FE">
        <w:t xml:space="preserve"> in general</w:t>
      </w:r>
      <w:r>
        <w:t>,</w:t>
      </w:r>
      <w:r w:rsidRPr="006642FE">
        <w:t xml:space="preserve"> ratios declined over the past three years. The exception is in the Commissioner’s Districts</w:t>
      </w:r>
      <w:r>
        <w:t>,</w:t>
      </w:r>
      <w:r w:rsidRPr="006642FE">
        <w:t xml:space="preserve"> where ratios appear to have increas</w:t>
      </w:r>
      <w:r>
        <w:t>ed over the past three years. Alt</w:t>
      </w:r>
      <w:r w:rsidRPr="006642FE">
        <w:t xml:space="preserve">hough these differences are slight, </w:t>
      </w:r>
      <w:r>
        <w:t>the AIR research team</w:t>
      </w:r>
      <w:r w:rsidRPr="006642FE">
        <w:t xml:space="preserve"> believe</w:t>
      </w:r>
      <w:r>
        <w:t>s</w:t>
      </w:r>
      <w:r w:rsidRPr="006642FE">
        <w:t xml:space="preserve"> that a three-year average is most appropriat</w:t>
      </w:r>
      <w:r>
        <w:t>e as it takes into account these trends over time</w:t>
      </w:r>
      <w:r w:rsidRPr="006642FE">
        <w:t>.</w:t>
      </w:r>
    </w:p>
    <w:p w:rsidR="00C157EC" w:rsidRPr="00D47FD8" w:rsidRDefault="00C157EC" w:rsidP="002F520C">
      <w:pPr>
        <w:pStyle w:val="TableTitle"/>
      </w:pPr>
      <w:proofErr w:type="gramStart"/>
      <w:r>
        <w:t>Table 3</w:t>
      </w:r>
      <w:r w:rsidRPr="00D47FD8">
        <w:t>.</w:t>
      </w:r>
      <w:proofErr w:type="gramEnd"/>
      <w:r w:rsidRPr="00D47FD8">
        <w:t xml:space="preserve"> Average Pupil</w:t>
      </w:r>
      <w:r>
        <w:t>–</w:t>
      </w:r>
      <w:r w:rsidRPr="00D47FD8">
        <w:t>Teacher Ratios, 20</w:t>
      </w:r>
      <w:r>
        <w:t>13–</w:t>
      </w:r>
      <w:r w:rsidRPr="00D47FD8">
        <w:t>14</w:t>
      </w:r>
      <w:r>
        <w:t>, Three–</w:t>
      </w:r>
      <w:r w:rsidRPr="00D47FD8">
        <w:t>Year Average (20</w:t>
      </w:r>
      <w:r>
        <w:t>11–</w:t>
      </w:r>
      <w:r w:rsidRPr="00D47FD8">
        <w:t>12</w:t>
      </w:r>
      <w:r w:rsidR="0092042A">
        <w:t xml:space="preserve"> </w:t>
      </w:r>
      <w:r w:rsidR="00A57A7B">
        <w:t>to</w:t>
      </w:r>
      <w:r w:rsidR="0092042A">
        <w:t xml:space="preserve"> </w:t>
      </w:r>
      <w:r w:rsidRPr="00D47FD8">
        <w:t>20</w:t>
      </w:r>
      <w:r>
        <w:t>13–</w:t>
      </w:r>
      <w:r w:rsidRPr="00D47FD8">
        <w:t>14)</w:t>
      </w:r>
      <w:r>
        <w:t>, and Comparison Statistic Statewide by DSAC Region</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413"/>
        <w:gridCol w:w="1890"/>
        <w:gridCol w:w="1889"/>
        <w:gridCol w:w="2398"/>
      </w:tblGrid>
      <w:tr w:rsidR="00C157EC" w:rsidRPr="0001602E" w:rsidTr="00511F2C">
        <w:trPr>
          <w:cnfStyle w:val="100000000000"/>
        </w:trPr>
        <w:tc>
          <w:tcPr>
            <w:tcW w:w="1779" w:type="pct"/>
            <w:tcBorders>
              <w:bottom w:val="single" w:sz="4" w:space="0" w:color="auto"/>
            </w:tcBorders>
          </w:tcPr>
          <w:p w:rsidR="00C157EC" w:rsidRPr="00807FB9" w:rsidRDefault="003C50C4" w:rsidP="00511F2C">
            <w:pPr>
              <w:pStyle w:val="TableText"/>
              <w:jc w:val="center"/>
            </w:pPr>
            <w:r>
              <w:t>DSAC Region</w:t>
            </w:r>
          </w:p>
        </w:tc>
        <w:tc>
          <w:tcPr>
            <w:tcW w:w="985" w:type="pct"/>
            <w:tcBorders>
              <w:bottom w:val="single" w:sz="4" w:space="0" w:color="auto"/>
            </w:tcBorders>
          </w:tcPr>
          <w:p w:rsidR="00C157EC" w:rsidRPr="00807FB9" w:rsidRDefault="00C157EC" w:rsidP="009C0911">
            <w:pPr>
              <w:pStyle w:val="TableTextCentered"/>
            </w:pPr>
            <w:r>
              <w:t>A</w:t>
            </w:r>
            <w:r w:rsidRPr="00807FB9">
              <w:t xml:space="preserve">verage </w:t>
            </w:r>
            <w:r>
              <w:t>R</w:t>
            </w:r>
            <w:r w:rsidRPr="00807FB9">
              <w:t>atio in 20</w:t>
            </w:r>
            <w:r>
              <w:t>13–</w:t>
            </w:r>
            <w:r w:rsidRPr="00807FB9">
              <w:t>14</w:t>
            </w:r>
          </w:p>
        </w:tc>
        <w:tc>
          <w:tcPr>
            <w:tcW w:w="985" w:type="pct"/>
            <w:tcBorders>
              <w:bottom w:val="single" w:sz="4" w:space="0" w:color="auto"/>
            </w:tcBorders>
          </w:tcPr>
          <w:p w:rsidR="00C157EC" w:rsidRPr="00807FB9" w:rsidRDefault="00C157EC" w:rsidP="009C0911">
            <w:pPr>
              <w:pStyle w:val="TableTextCentered"/>
            </w:pPr>
            <w:r>
              <w:t>Three</w:t>
            </w:r>
            <w:r w:rsidRPr="00807FB9">
              <w:t>-</w:t>
            </w:r>
            <w:r>
              <w:t>Y</w:t>
            </w:r>
            <w:r w:rsidRPr="00807FB9">
              <w:t xml:space="preserve">ear </w:t>
            </w:r>
            <w:r>
              <w:t>A</w:t>
            </w:r>
            <w:r w:rsidRPr="00807FB9">
              <w:t xml:space="preserve">verage </w:t>
            </w:r>
            <w:r>
              <w:t>R</w:t>
            </w:r>
            <w:r w:rsidRPr="00807FB9">
              <w:t>atio</w:t>
            </w:r>
          </w:p>
        </w:tc>
        <w:tc>
          <w:tcPr>
            <w:tcW w:w="1250" w:type="pct"/>
            <w:tcBorders>
              <w:bottom w:val="single" w:sz="4" w:space="0" w:color="auto"/>
            </w:tcBorders>
          </w:tcPr>
          <w:p w:rsidR="00C157EC" w:rsidRPr="00807FB9" w:rsidRDefault="00C157EC" w:rsidP="009C0911">
            <w:pPr>
              <w:pStyle w:val="TableTextCentered"/>
            </w:pPr>
            <w:r>
              <w:t xml:space="preserve">Difference Between </w:t>
            </w:r>
            <w:r w:rsidRPr="00807FB9">
              <w:t>20</w:t>
            </w:r>
            <w:r>
              <w:t>13–</w:t>
            </w:r>
            <w:r w:rsidRPr="00807FB9">
              <w:t xml:space="preserve">14 </w:t>
            </w:r>
            <w:r>
              <w:t>R</w:t>
            </w:r>
            <w:r w:rsidRPr="00807FB9">
              <w:t>atio</w:t>
            </w:r>
            <w:r>
              <w:t>—Three</w:t>
            </w:r>
            <w:r w:rsidRPr="00807FB9">
              <w:t>-</w:t>
            </w:r>
            <w:r>
              <w:t>Y</w:t>
            </w:r>
            <w:r w:rsidRPr="00807FB9">
              <w:t xml:space="preserve">ear </w:t>
            </w:r>
            <w:r>
              <w:t>A</w:t>
            </w:r>
            <w:r w:rsidRPr="00807FB9">
              <w:t>verage</w:t>
            </w:r>
            <w:r>
              <w:t xml:space="preserve"> Ratio</w:t>
            </w:r>
          </w:p>
        </w:tc>
      </w:tr>
      <w:tr w:rsidR="009C0911" w:rsidRPr="0001602E" w:rsidTr="00511F2C">
        <w:tc>
          <w:tcPr>
            <w:tcW w:w="1779" w:type="pct"/>
            <w:tcBorders>
              <w:bottom w:val="single" w:sz="4" w:space="0" w:color="auto"/>
            </w:tcBorders>
          </w:tcPr>
          <w:p w:rsidR="00C157EC" w:rsidRPr="00807FB9" w:rsidRDefault="00C157EC" w:rsidP="00511F2C">
            <w:pPr>
              <w:pStyle w:val="TableText"/>
              <w:jc w:val="center"/>
            </w:pPr>
            <w:r w:rsidRPr="00807FB9">
              <w:t>Berkshires +</w:t>
            </w:r>
          </w:p>
        </w:tc>
        <w:tc>
          <w:tcPr>
            <w:tcW w:w="985" w:type="pct"/>
            <w:tcBorders>
              <w:bottom w:val="single" w:sz="4" w:space="0" w:color="auto"/>
            </w:tcBorders>
          </w:tcPr>
          <w:p w:rsidR="00C157EC" w:rsidRPr="00807FB9" w:rsidRDefault="00C157EC" w:rsidP="009C0911">
            <w:pPr>
              <w:pStyle w:val="TableTextCentered"/>
            </w:pPr>
            <w:r w:rsidRPr="00807FB9">
              <w:t>11.79</w:t>
            </w:r>
          </w:p>
        </w:tc>
        <w:tc>
          <w:tcPr>
            <w:tcW w:w="985" w:type="pct"/>
            <w:tcBorders>
              <w:bottom w:val="single" w:sz="4" w:space="0" w:color="auto"/>
            </w:tcBorders>
          </w:tcPr>
          <w:p w:rsidR="00C157EC" w:rsidRPr="00807FB9" w:rsidRDefault="00C157EC" w:rsidP="009C0911">
            <w:pPr>
              <w:pStyle w:val="TableTextCentered"/>
            </w:pPr>
            <w:r w:rsidRPr="00807FB9">
              <w:t>11.92</w:t>
            </w:r>
          </w:p>
        </w:tc>
        <w:tc>
          <w:tcPr>
            <w:tcW w:w="1250" w:type="pct"/>
            <w:tcBorders>
              <w:bottom w:val="single" w:sz="4" w:space="0" w:color="auto"/>
            </w:tcBorders>
          </w:tcPr>
          <w:p w:rsidR="00C157EC" w:rsidRPr="00807FB9" w:rsidRDefault="00C157EC" w:rsidP="009C0911">
            <w:pPr>
              <w:pStyle w:val="TableTextCentered"/>
            </w:pPr>
            <w:r w:rsidRPr="00807FB9">
              <w:t>-0.13</w:t>
            </w:r>
          </w:p>
        </w:tc>
      </w:tr>
      <w:tr w:rsidR="00C157EC" w:rsidRPr="0001602E" w:rsidTr="00511F2C">
        <w:tc>
          <w:tcPr>
            <w:tcW w:w="1779" w:type="pct"/>
            <w:tcBorders>
              <w:bottom w:val="single" w:sz="4" w:space="0" w:color="auto"/>
            </w:tcBorders>
          </w:tcPr>
          <w:p w:rsidR="00C157EC" w:rsidRPr="00807FB9" w:rsidRDefault="00C157EC" w:rsidP="00511F2C">
            <w:pPr>
              <w:pStyle w:val="TableText"/>
              <w:jc w:val="center"/>
            </w:pPr>
            <w:r w:rsidRPr="00807FB9">
              <w:t>Central</w:t>
            </w:r>
          </w:p>
        </w:tc>
        <w:tc>
          <w:tcPr>
            <w:tcW w:w="985" w:type="pct"/>
            <w:tcBorders>
              <w:bottom w:val="single" w:sz="4" w:space="0" w:color="auto"/>
            </w:tcBorders>
          </w:tcPr>
          <w:p w:rsidR="00C157EC" w:rsidRPr="00807FB9" w:rsidRDefault="00C157EC" w:rsidP="009C0911">
            <w:pPr>
              <w:pStyle w:val="TableTextCentered"/>
            </w:pPr>
            <w:r w:rsidRPr="00807FB9">
              <w:t>13.62</w:t>
            </w:r>
          </w:p>
        </w:tc>
        <w:tc>
          <w:tcPr>
            <w:tcW w:w="985" w:type="pct"/>
            <w:tcBorders>
              <w:bottom w:val="single" w:sz="4" w:space="0" w:color="auto"/>
            </w:tcBorders>
          </w:tcPr>
          <w:p w:rsidR="00C157EC" w:rsidRPr="00807FB9" w:rsidRDefault="00C157EC" w:rsidP="009C0911">
            <w:pPr>
              <w:pStyle w:val="TableTextCentered"/>
            </w:pPr>
            <w:r w:rsidRPr="00807FB9">
              <w:t>13.80</w:t>
            </w:r>
          </w:p>
        </w:tc>
        <w:tc>
          <w:tcPr>
            <w:tcW w:w="1250" w:type="pct"/>
            <w:tcBorders>
              <w:bottom w:val="single" w:sz="4" w:space="0" w:color="auto"/>
            </w:tcBorders>
          </w:tcPr>
          <w:p w:rsidR="00C157EC" w:rsidRPr="00807FB9" w:rsidRDefault="00C157EC" w:rsidP="009C0911">
            <w:pPr>
              <w:pStyle w:val="TableTextCentered"/>
            </w:pPr>
            <w:r w:rsidRPr="00807FB9">
              <w:t>-0.18</w:t>
            </w:r>
          </w:p>
        </w:tc>
      </w:tr>
      <w:tr w:rsidR="009C0911" w:rsidRPr="0001602E" w:rsidTr="00511F2C">
        <w:tc>
          <w:tcPr>
            <w:tcW w:w="1779" w:type="pct"/>
            <w:tcBorders>
              <w:bottom w:val="single" w:sz="4" w:space="0" w:color="auto"/>
            </w:tcBorders>
          </w:tcPr>
          <w:p w:rsidR="00C157EC" w:rsidRPr="00807FB9" w:rsidRDefault="00C157EC" w:rsidP="00511F2C">
            <w:pPr>
              <w:pStyle w:val="TableText"/>
              <w:jc w:val="center"/>
            </w:pPr>
            <w:r w:rsidRPr="00807FB9">
              <w:t>Commissioner's Districts</w:t>
            </w:r>
          </w:p>
        </w:tc>
        <w:tc>
          <w:tcPr>
            <w:tcW w:w="985" w:type="pct"/>
            <w:tcBorders>
              <w:bottom w:val="single" w:sz="4" w:space="0" w:color="auto"/>
            </w:tcBorders>
          </w:tcPr>
          <w:p w:rsidR="00C157EC" w:rsidRPr="00807FB9" w:rsidRDefault="00C157EC" w:rsidP="009C0911">
            <w:pPr>
              <w:pStyle w:val="TableTextCentered"/>
            </w:pPr>
            <w:r w:rsidRPr="00807FB9">
              <w:t>13.53</w:t>
            </w:r>
          </w:p>
        </w:tc>
        <w:tc>
          <w:tcPr>
            <w:tcW w:w="985" w:type="pct"/>
            <w:tcBorders>
              <w:bottom w:val="single" w:sz="4" w:space="0" w:color="auto"/>
            </w:tcBorders>
          </w:tcPr>
          <w:p w:rsidR="00C157EC" w:rsidRPr="00807FB9" w:rsidRDefault="00C157EC" w:rsidP="009C0911">
            <w:pPr>
              <w:pStyle w:val="TableTextCentered"/>
            </w:pPr>
            <w:r w:rsidRPr="00807FB9">
              <w:t>13.16</w:t>
            </w:r>
          </w:p>
        </w:tc>
        <w:tc>
          <w:tcPr>
            <w:tcW w:w="1250" w:type="pct"/>
            <w:tcBorders>
              <w:bottom w:val="single" w:sz="4" w:space="0" w:color="auto"/>
            </w:tcBorders>
          </w:tcPr>
          <w:p w:rsidR="00C157EC" w:rsidRPr="00807FB9" w:rsidRDefault="00C157EC" w:rsidP="009C0911">
            <w:pPr>
              <w:pStyle w:val="TableTextCentered"/>
            </w:pPr>
            <w:r w:rsidRPr="00807FB9">
              <w:t>0.37</w:t>
            </w:r>
          </w:p>
        </w:tc>
      </w:tr>
      <w:tr w:rsidR="00C157EC" w:rsidRPr="0001602E" w:rsidTr="00511F2C">
        <w:tc>
          <w:tcPr>
            <w:tcW w:w="1779" w:type="pct"/>
            <w:tcBorders>
              <w:bottom w:val="single" w:sz="4" w:space="0" w:color="auto"/>
            </w:tcBorders>
          </w:tcPr>
          <w:p w:rsidR="00C157EC" w:rsidRPr="00807FB9" w:rsidRDefault="00C157EC" w:rsidP="00511F2C">
            <w:pPr>
              <w:pStyle w:val="TableText"/>
              <w:jc w:val="center"/>
            </w:pPr>
            <w:r w:rsidRPr="00807FB9">
              <w:t>Greater Boston</w:t>
            </w:r>
          </w:p>
        </w:tc>
        <w:tc>
          <w:tcPr>
            <w:tcW w:w="985" w:type="pct"/>
            <w:tcBorders>
              <w:bottom w:val="single" w:sz="4" w:space="0" w:color="auto"/>
            </w:tcBorders>
          </w:tcPr>
          <w:p w:rsidR="00C157EC" w:rsidRPr="00807FB9" w:rsidRDefault="00C157EC" w:rsidP="009C0911">
            <w:pPr>
              <w:pStyle w:val="TableTextCentered"/>
            </w:pPr>
            <w:r w:rsidRPr="00807FB9">
              <w:t>12.88</w:t>
            </w:r>
          </w:p>
        </w:tc>
        <w:tc>
          <w:tcPr>
            <w:tcW w:w="985" w:type="pct"/>
            <w:tcBorders>
              <w:bottom w:val="single" w:sz="4" w:space="0" w:color="auto"/>
            </w:tcBorders>
          </w:tcPr>
          <w:p w:rsidR="00C157EC" w:rsidRPr="00807FB9" w:rsidRDefault="00C157EC" w:rsidP="009C0911">
            <w:pPr>
              <w:pStyle w:val="TableTextCentered"/>
            </w:pPr>
            <w:r w:rsidRPr="00807FB9">
              <w:t>13.05</w:t>
            </w:r>
          </w:p>
        </w:tc>
        <w:tc>
          <w:tcPr>
            <w:tcW w:w="1250" w:type="pct"/>
            <w:tcBorders>
              <w:bottom w:val="single" w:sz="4" w:space="0" w:color="auto"/>
            </w:tcBorders>
          </w:tcPr>
          <w:p w:rsidR="00C157EC" w:rsidRPr="00807FB9" w:rsidRDefault="00C157EC" w:rsidP="009C0911">
            <w:pPr>
              <w:pStyle w:val="TableTextCentered"/>
            </w:pPr>
            <w:r w:rsidRPr="00807FB9">
              <w:t>-0.17</w:t>
            </w:r>
          </w:p>
        </w:tc>
      </w:tr>
      <w:tr w:rsidR="009C0911" w:rsidRPr="0001602E" w:rsidTr="00511F2C">
        <w:tc>
          <w:tcPr>
            <w:tcW w:w="1779" w:type="pct"/>
            <w:tcBorders>
              <w:bottom w:val="single" w:sz="4" w:space="0" w:color="auto"/>
            </w:tcBorders>
          </w:tcPr>
          <w:p w:rsidR="00C157EC" w:rsidRPr="00807FB9" w:rsidRDefault="00C157EC" w:rsidP="00511F2C">
            <w:pPr>
              <w:pStyle w:val="TableText"/>
              <w:jc w:val="center"/>
            </w:pPr>
            <w:r w:rsidRPr="00807FB9">
              <w:t>Northeast</w:t>
            </w:r>
          </w:p>
        </w:tc>
        <w:tc>
          <w:tcPr>
            <w:tcW w:w="985" w:type="pct"/>
            <w:tcBorders>
              <w:bottom w:val="single" w:sz="4" w:space="0" w:color="auto"/>
            </w:tcBorders>
          </w:tcPr>
          <w:p w:rsidR="00C157EC" w:rsidRPr="00807FB9" w:rsidRDefault="00C157EC" w:rsidP="009C0911">
            <w:pPr>
              <w:pStyle w:val="TableTextCentered"/>
            </w:pPr>
            <w:r w:rsidRPr="00807FB9">
              <w:t>13.29</w:t>
            </w:r>
          </w:p>
        </w:tc>
        <w:tc>
          <w:tcPr>
            <w:tcW w:w="985" w:type="pct"/>
            <w:tcBorders>
              <w:bottom w:val="single" w:sz="4" w:space="0" w:color="auto"/>
            </w:tcBorders>
          </w:tcPr>
          <w:p w:rsidR="00C157EC" w:rsidRPr="00807FB9" w:rsidRDefault="00C157EC" w:rsidP="009C0911">
            <w:pPr>
              <w:pStyle w:val="TableTextCentered"/>
            </w:pPr>
            <w:r w:rsidRPr="00807FB9">
              <w:t>13.45</w:t>
            </w:r>
          </w:p>
        </w:tc>
        <w:tc>
          <w:tcPr>
            <w:tcW w:w="1250" w:type="pct"/>
            <w:tcBorders>
              <w:bottom w:val="single" w:sz="4" w:space="0" w:color="auto"/>
            </w:tcBorders>
          </w:tcPr>
          <w:p w:rsidR="00C157EC" w:rsidRPr="00807FB9" w:rsidRDefault="00C157EC" w:rsidP="009C0911">
            <w:pPr>
              <w:pStyle w:val="TableTextCentered"/>
            </w:pPr>
            <w:r w:rsidRPr="00807FB9">
              <w:t>-0.16</w:t>
            </w:r>
          </w:p>
        </w:tc>
      </w:tr>
      <w:tr w:rsidR="00C157EC" w:rsidRPr="0001602E" w:rsidTr="00511F2C">
        <w:tc>
          <w:tcPr>
            <w:tcW w:w="1779" w:type="pct"/>
            <w:tcBorders>
              <w:bottom w:val="single" w:sz="4" w:space="0" w:color="auto"/>
            </w:tcBorders>
          </w:tcPr>
          <w:p w:rsidR="00C157EC" w:rsidRPr="00807FB9" w:rsidRDefault="00C157EC" w:rsidP="00511F2C">
            <w:pPr>
              <w:pStyle w:val="TableText"/>
              <w:jc w:val="center"/>
            </w:pPr>
            <w:r w:rsidRPr="00807FB9">
              <w:t>Pioneer Valley</w:t>
            </w:r>
          </w:p>
        </w:tc>
        <w:tc>
          <w:tcPr>
            <w:tcW w:w="985" w:type="pct"/>
            <w:tcBorders>
              <w:bottom w:val="single" w:sz="4" w:space="0" w:color="auto"/>
            </w:tcBorders>
          </w:tcPr>
          <w:p w:rsidR="00C157EC" w:rsidRPr="00807FB9" w:rsidRDefault="00C157EC" w:rsidP="009C0911">
            <w:pPr>
              <w:pStyle w:val="TableTextCentered"/>
            </w:pPr>
            <w:r w:rsidRPr="00807FB9">
              <w:t>12.15</w:t>
            </w:r>
          </w:p>
        </w:tc>
        <w:tc>
          <w:tcPr>
            <w:tcW w:w="985" w:type="pct"/>
            <w:tcBorders>
              <w:bottom w:val="single" w:sz="4" w:space="0" w:color="auto"/>
            </w:tcBorders>
          </w:tcPr>
          <w:p w:rsidR="00C157EC" w:rsidRPr="00807FB9" w:rsidRDefault="00C157EC" w:rsidP="009C0911">
            <w:pPr>
              <w:pStyle w:val="TableTextCentered"/>
            </w:pPr>
            <w:r w:rsidRPr="00807FB9">
              <w:t>12.36</w:t>
            </w:r>
          </w:p>
        </w:tc>
        <w:tc>
          <w:tcPr>
            <w:tcW w:w="1250" w:type="pct"/>
            <w:tcBorders>
              <w:bottom w:val="single" w:sz="4" w:space="0" w:color="auto"/>
            </w:tcBorders>
          </w:tcPr>
          <w:p w:rsidR="00C157EC" w:rsidRPr="00807FB9" w:rsidRDefault="00C157EC" w:rsidP="009C0911">
            <w:pPr>
              <w:pStyle w:val="TableTextCentered"/>
            </w:pPr>
            <w:r w:rsidRPr="00807FB9">
              <w:t>-0.21</w:t>
            </w:r>
          </w:p>
        </w:tc>
      </w:tr>
      <w:tr w:rsidR="009C0911" w:rsidRPr="0001602E" w:rsidTr="00511F2C">
        <w:tc>
          <w:tcPr>
            <w:tcW w:w="1779" w:type="pct"/>
            <w:tcBorders>
              <w:bottom w:val="single" w:sz="4" w:space="0" w:color="auto"/>
            </w:tcBorders>
          </w:tcPr>
          <w:p w:rsidR="00C157EC" w:rsidRPr="00807FB9" w:rsidRDefault="00C157EC" w:rsidP="00511F2C">
            <w:pPr>
              <w:pStyle w:val="TableText"/>
              <w:jc w:val="center"/>
            </w:pPr>
            <w:r w:rsidRPr="00807FB9">
              <w:t>Southeast</w:t>
            </w:r>
          </w:p>
        </w:tc>
        <w:tc>
          <w:tcPr>
            <w:tcW w:w="985" w:type="pct"/>
            <w:tcBorders>
              <w:bottom w:val="single" w:sz="4" w:space="0" w:color="auto"/>
            </w:tcBorders>
          </w:tcPr>
          <w:p w:rsidR="00C157EC" w:rsidRPr="00807FB9" w:rsidRDefault="00C157EC" w:rsidP="009C0911">
            <w:pPr>
              <w:pStyle w:val="TableTextCentered"/>
            </w:pPr>
            <w:r w:rsidRPr="00807FB9">
              <w:t>13.54</w:t>
            </w:r>
          </w:p>
        </w:tc>
        <w:tc>
          <w:tcPr>
            <w:tcW w:w="985" w:type="pct"/>
            <w:tcBorders>
              <w:bottom w:val="single" w:sz="4" w:space="0" w:color="auto"/>
            </w:tcBorders>
          </w:tcPr>
          <w:p w:rsidR="00C157EC" w:rsidRPr="00807FB9" w:rsidRDefault="00C157EC" w:rsidP="009C0911">
            <w:pPr>
              <w:pStyle w:val="TableTextCentered"/>
            </w:pPr>
            <w:r w:rsidRPr="00807FB9">
              <w:t>13.71</w:t>
            </w:r>
          </w:p>
        </w:tc>
        <w:tc>
          <w:tcPr>
            <w:tcW w:w="1250" w:type="pct"/>
            <w:tcBorders>
              <w:bottom w:val="single" w:sz="4" w:space="0" w:color="auto"/>
            </w:tcBorders>
          </w:tcPr>
          <w:p w:rsidR="00C157EC" w:rsidRPr="00807FB9" w:rsidRDefault="00C157EC" w:rsidP="009C0911">
            <w:pPr>
              <w:pStyle w:val="TableTextCentered"/>
            </w:pPr>
            <w:r w:rsidRPr="00807FB9">
              <w:t>-0.16</w:t>
            </w:r>
          </w:p>
        </w:tc>
      </w:tr>
      <w:tr w:rsidR="00C157EC" w:rsidRPr="0001602E" w:rsidTr="00511F2C">
        <w:tc>
          <w:tcPr>
            <w:tcW w:w="1779" w:type="pct"/>
          </w:tcPr>
          <w:p w:rsidR="00C157EC" w:rsidRPr="00807FB9" w:rsidRDefault="00C157EC" w:rsidP="00511F2C">
            <w:pPr>
              <w:pStyle w:val="TableText"/>
              <w:jc w:val="center"/>
            </w:pPr>
            <w:r w:rsidRPr="00807FB9">
              <w:t>Statewide</w:t>
            </w:r>
          </w:p>
        </w:tc>
        <w:tc>
          <w:tcPr>
            <w:tcW w:w="985" w:type="pct"/>
          </w:tcPr>
          <w:p w:rsidR="00C157EC" w:rsidRPr="00807FB9" w:rsidRDefault="00C157EC" w:rsidP="009C0911">
            <w:pPr>
              <w:pStyle w:val="TableTextCentered"/>
            </w:pPr>
            <w:r w:rsidRPr="00807FB9">
              <w:t>13.21</w:t>
            </w:r>
          </w:p>
        </w:tc>
        <w:tc>
          <w:tcPr>
            <w:tcW w:w="985" w:type="pct"/>
          </w:tcPr>
          <w:p w:rsidR="00C157EC" w:rsidRPr="00807FB9" w:rsidRDefault="00C157EC" w:rsidP="009C0911">
            <w:pPr>
              <w:pStyle w:val="TableTextCentered"/>
            </w:pPr>
            <w:r w:rsidRPr="00807FB9">
              <w:t>13.27</w:t>
            </w:r>
          </w:p>
        </w:tc>
        <w:tc>
          <w:tcPr>
            <w:tcW w:w="1250" w:type="pct"/>
          </w:tcPr>
          <w:p w:rsidR="00C157EC" w:rsidRPr="00807FB9" w:rsidRDefault="00C157EC" w:rsidP="009C0911">
            <w:pPr>
              <w:pStyle w:val="TableTextCentered"/>
            </w:pPr>
            <w:r w:rsidRPr="00807FB9">
              <w:t>-0.06</w:t>
            </w:r>
          </w:p>
        </w:tc>
      </w:tr>
    </w:tbl>
    <w:p w:rsidR="00C157EC" w:rsidRDefault="00C157EC" w:rsidP="00C157EC">
      <w:pPr>
        <w:pStyle w:val="Heading4"/>
      </w:pPr>
      <w:bookmarkStart w:id="60" w:name="_Toc434832146"/>
      <w:bookmarkStart w:id="61" w:name="_Toc435784239"/>
      <w:r>
        <w:t>Demand Projections</w:t>
      </w:r>
      <w:bookmarkEnd w:id="60"/>
      <w:bookmarkEnd w:id="61"/>
    </w:p>
    <w:p w:rsidR="00C157EC" w:rsidRPr="006642FE" w:rsidRDefault="00C157EC" w:rsidP="00C157EC">
      <w:pPr>
        <w:pStyle w:val="BodyText"/>
      </w:pPr>
      <w:r w:rsidRPr="006642FE">
        <w:t xml:space="preserve">Using </w:t>
      </w:r>
      <w:r>
        <w:t xml:space="preserve">the </w:t>
      </w:r>
      <w:r w:rsidRPr="006642FE">
        <w:t>projected enrollments and holding pupil</w:t>
      </w:r>
      <w:r>
        <w:t>–</w:t>
      </w:r>
      <w:r w:rsidRPr="006642FE">
        <w:t>teacher ratios constant</w:t>
      </w:r>
      <w:r>
        <w:t xml:space="preserve"> at the average of the most recent three years</w:t>
      </w:r>
      <w:r w:rsidRPr="006642FE">
        <w:t>, demand projections</w:t>
      </w:r>
      <w:r>
        <w:t xml:space="preserve"> were estimated at the district level</w:t>
      </w:r>
      <w:r w:rsidRPr="006642FE">
        <w:t xml:space="preserve">. These projections represent an estimate of how demand for teachers will change </w:t>
      </w:r>
      <w:r>
        <w:t>over</w:t>
      </w:r>
      <w:r w:rsidRPr="006642FE">
        <w:t xml:space="preserve"> the next 10 years</w:t>
      </w:r>
      <w:r>
        <w:t>,</w:t>
      </w:r>
      <w:r w:rsidRPr="006642FE">
        <w:t xml:space="preserve"> and </w:t>
      </w:r>
      <w:r>
        <w:t xml:space="preserve">will be used in conjunction with supply projections to </w:t>
      </w:r>
      <w:r w:rsidRPr="006642FE">
        <w:t>inform a discussion of potential shortages or surpluses.</w:t>
      </w:r>
    </w:p>
    <w:p w:rsidR="00C157EC" w:rsidRDefault="00C157EC" w:rsidP="009C0911">
      <w:pPr>
        <w:pStyle w:val="BodyText"/>
      </w:pPr>
      <w:r>
        <w:t>Figure 5 displays the historical and projected trends in demand from 2008–09 to 2023–24. As expected, the trends in demand closely resemble the trends in student enrollment. The AIR research team projects that demand will decline an average of 0.5</w:t>
      </w:r>
      <w:r w:rsidR="00434C0C">
        <w:t>9</w:t>
      </w:r>
      <w:r>
        <w:t xml:space="preserve"> percent each year from 2013–14 through 2023–24, declining in total about 5</w:t>
      </w:r>
      <w:r w:rsidR="00434C0C">
        <w:t>.77</w:t>
      </w:r>
      <w:r>
        <w:t xml:space="preserve"> percent over the 10-year period. Put in absolute terms, it is projected that statewide the teacher labor market will demand 3,851 fewer full-time equivalent (FTE) positions in 10 years.</w:t>
      </w:r>
    </w:p>
    <w:p w:rsidR="00C157EC" w:rsidRPr="00945FD7" w:rsidRDefault="00C157EC" w:rsidP="009C0911">
      <w:pPr>
        <w:pStyle w:val="BodyText"/>
      </w:pPr>
      <w:r>
        <w:t>As with enrollment projections, it may be helpful to consider the statewide projected trends alongside the historical staffing trends. As can be seen in Figure 5, FTEs have been declining statewide over the last six years.</w:t>
      </w:r>
    </w:p>
    <w:p w:rsidR="00C157EC" w:rsidRDefault="00C157EC" w:rsidP="009C0911">
      <w:pPr>
        <w:pStyle w:val="FigureTitle"/>
      </w:pPr>
      <w:proofErr w:type="gramStart"/>
      <w:r>
        <w:t>Figure 5</w:t>
      </w:r>
      <w:r w:rsidRPr="00D47FD8">
        <w:t>.</w:t>
      </w:r>
      <w:proofErr w:type="gramEnd"/>
      <w:r>
        <w:t xml:space="preserve"> </w:t>
      </w:r>
      <w:r w:rsidRPr="00807FB9">
        <w:t>Historic</w:t>
      </w:r>
      <w:r>
        <w:t>al</w:t>
      </w:r>
      <w:r w:rsidRPr="00807FB9">
        <w:t xml:space="preserve"> and Projected </w:t>
      </w:r>
      <w:r>
        <w:t>Statewide Demand</w:t>
      </w:r>
      <w:r w:rsidRPr="002B58FC">
        <w:t xml:space="preserve"> </w:t>
      </w:r>
      <w:r>
        <w:t>for Teachers</w:t>
      </w:r>
      <w:r w:rsidRPr="00466652">
        <w:t xml:space="preserve"> </w:t>
      </w:r>
      <w:r>
        <w:t xml:space="preserve">in Terms of FTEs, </w:t>
      </w:r>
      <w:r w:rsidRPr="002B58FC">
        <w:t>200</w:t>
      </w:r>
      <w:r>
        <w:t>8</w:t>
      </w:r>
      <w:r w:rsidRPr="00D462A9">
        <w:t>–</w:t>
      </w:r>
      <w:r>
        <w:t>0</w:t>
      </w:r>
      <w:r w:rsidRPr="002B58FC">
        <w:t>9</w:t>
      </w:r>
      <w:r w:rsidR="0092042A">
        <w:t xml:space="preserve"> </w:t>
      </w:r>
      <w:proofErr w:type="gramStart"/>
      <w:r w:rsidR="0092042A">
        <w:t>Through</w:t>
      </w:r>
      <w:proofErr w:type="gramEnd"/>
      <w:r w:rsidR="0092042A">
        <w:t xml:space="preserve"> </w:t>
      </w:r>
      <w:r w:rsidRPr="002B58FC">
        <w:t>20</w:t>
      </w:r>
      <w:r>
        <w:t>23</w:t>
      </w:r>
      <w:r w:rsidRPr="00D462A9">
        <w:t>–</w:t>
      </w:r>
      <w:r w:rsidRPr="002B58FC">
        <w:t>24</w:t>
      </w:r>
    </w:p>
    <w:p w:rsidR="00C157EC" w:rsidRDefault="00C157EC" w:rsidP="009C0911">
      <w:pPr>
        <w:pStyle w:val="FigurePlacement"/>
      </w:pPr>
      <w:r w:rsidRPr="001D0D8C">
        <w:rPr>
          <w:noProof/>
          <w:lang w:eastAsia="zh-CN" w:bidi="km-KH"/>
        </w:rPr>
        <w:drawing>
          <wp:inline distT="0" distB="0" distL="0" distR="0">
            <wp:extent cx="5605800" cy="3657600"/>
            <wp:effectExtent l="19050" t="0" r="0" b="0"/>
            <wp:docPr id="30" name="Picture 30" descr="As can be seen in Figure 5, FTEs have been declining statewide over the last six years.&#10;&#10;Figure 5. Historical and Projected Statewide Demand for Teachers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189" t="3637" r="5012" b="6928"/>
                    <a:stretch/>
                  </pic:blipFill>
                  <pic:spPr bwMode="auto">
                    <a:xfrm>
                      <a:off x="0" y="0"/>
                      <a:ext cx="5605800"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9C0911">
      <w:pPr>
        <w:pStyle w:val="BodyText"/>
      </w:pPr>
      <w:r>
        <w:t xml:space="preserve">The overall trend of declining statewide aggregate teacher demand may be welcome news for state policymakers concerned about teacher shortages. However, as demand declines, teacher supply also may decline, and there may still be a slight imbalance when the two are compared. Moreover, the reported trends are an aggregate of many varied trends at the district level. While teacher demand may be declining at the state level, this may not be the case for all districts, and some may, in fact, be struggling to meet demand. This may be especially true for districts serving high-need student populations and rural districts, which tend to face the greatest recruitment challenges (for a more detailed discussion of demand by region and locale, see answers to Research Question 5). </w:t>
      </w:r>
    </w:p>
    <w:p w:rsidR="00C157EC" w:rsidRDefault="00C157EC" w:rsidP="00C157EC">
      <w:pPr>
        <w:pStyle w:val="Heading4"/>
      </w:pPr>
      <w:bookmarkStart w:id="62" w:name="_Toc434832147"/>
      <w:bookmarkStart w:id="63" w:name="_Toc435784240"/>
      <w:r>
        <w:t>Validity</w:t>
      </w:r>
      <w:bookmarkEnd w:id="62"/>
      <w:r>
        <w:t xml:space="preserve"> of Results</w:t>
      </w:r>
      <w:bookmarkEnd w:id="63"/>
    </w:p>
    <w:p w:rsidR="00C157EC" w:rsidRDefault="00C157EC" w:rsidP="009C0911">
      <w:pPr>
        <w:pStyle w:val="BodyText"/>
      </w:pPr>
      <w:r>
        <w:t>As the estimates of future teacher demand are driven by enrollment projections, the AIR research team assessed the validity of these projections by using the same method to estimate enrollment projections in previous years and then comparing these with the actual enrollment counts for those years. Specifically, the team projected enrollment for 2004–05 through 2013–14 and compared the results to historical values. This comparison was made by first aggregating enrollment projections to the state level and then calculating the statewide percent error in each year of the projections.</w:t>
      </w:r>
    </w:p>
    <w:p w:rsidR="00C157EC" w:rsidRDefault="00C157EC" w:rsidP="009C0911">
      <w:pPr>
        <w:pStyle w:val="BodyText"/>
      </w:pPr>
      <w:r>
        <w:t xml:space="preserve">The projections for years one through eight were slightly higher than the actual values, with the largest error of 1.06 percent occurring in 2008–09. </w:t>
      </w:r>
      <w:proofErr w:type="gramStart"/>
      <w:r>
        <w:t>Although this validity testing suggests that AIR’s method tends to have a positive bias, in the most recent two years the projections proved to be slightly lower than the historical values.</w:t>
      </w:r>
      <w:proofErr w:type="gramEnd"/>
      <w:r>
        <w:t xml:space="preserve"> Therefore, the pattern suggests that error in enrollment projections using this method tends to hover around zero, oscillating above and below over time.</w:t>
      </w:r>
      <w:r>
        <w:rPr>
          <w:rStyle w:val="FootnoteReference"/>
        </w:rPr>
        <w:footnoteReference w:id="10"/>
      </w:r>
      <w:r>
        <w:t xml:space="preserve"> </w:t>
      </w:r>
    </w:p>
    <w:p w:rsidR="00C157EC" w:rsidRDefault="00C157EC" w:rsidP="00C157EC">
      <w:pPr>
        <w:pStyle w:val="Heading3"/>
      </w:pPr>
      <w:bookmarkStart w:id="64" w:name="_Toc435784241"/>
      <w:bookmarkStart w:id="65" w:name="_Toc436724291"/>
      <w:bookmarkStart w:id="66" w:name="_Toc437284990"/>
      <w:r>
        <w:t>Research Question 2</w:t>
      </w:r>
      <w:r w:rsidRPr="00336754">
        <w:t xml:space="preserve">: </w:t>
      </w:r>
      <w:r>
        <w:t>Statewide</w:t>
      </w:r>
      <w:r w:rsidRPr="00336754">
        <w:t xml:space="preserve"> Projections of Annual </w:t>
      </w:r>
      <w:r>
        <w:t>Supply</w:t>
      </w:r>
      <w:bookmarkEnd w:id="64"/>
      <w:bookmarkEnd w:id="65"/>
      <w:bookmarkEnd w:id="66"/>
    </w:p>
    <w:p w:rsidR="00C157EC" w:rsidRPr="009C0911" w:rsidRDefault="00C157EC" w:rsidP="009C0911">
      <w:pPr>
        <w:pStyle w:val="BodyText"/>
        <w:rPr>
          <w:i/>
        </w:rPr>
      </w:pPr>
      <w:r w:rsidRPr="009C0911">
        <w:rPr>
          <w:i/>
        </w:rPr>
        <w:t xml:space="preserve">What is the projected annual supply of teachers in Massachusetts </w:t>
      </w:r>
      <w:r w:rsidR="00C242F0">
        <w:rPr>
          <w:i/>
        </w:rPr>
        <w:t xml:space="preserve">over </w:t>
      </w:r>
      <w:r w:rsidRPr="009C0911">
        <w:rPr>
          <w:i/>
        </w:rPr>
        <w:t>the next 10 years, and what is the composition of these projections when broken out by components of supply that include retained teachers, new entrants, and those transferring in and out of districts?</w:t>
      </w:r>
    </w:p>
    <w:p w:rsidR="00C157EC" w:rsidRDefault="00C157EC" w:rsidP="009C0911">
      <w:pPr>
        <w:pStyle w:val="BodyText"/>
      </w:pPr>
      <w:r>
        <w:t xml:space="preserve">To answer this question, the AIR research team used regression analysis to project overall teacher supply from 2014–15 through 2023–24. Projections were made of staff counts and FTEs from 2014–15 through 2023–24 based on models using the previous six years of historical data (2008–09 through 2013–14). </w:t>
      </w:r>
    </w:p>
    <w:p w:rsidR="00C157EC" w:rsidRPr="006068FC" w:rsidRDefault="00C157EC" w:rsidP="009C0911">
      <w:pPr>
        <w:pStyle w:val="BodyText"/>
      </w:pPr>
      <w:r>
        <w:t>In addition, three components of overall teacher supply were examined: projections of retained teachers, new entrants, and transfers from other districts or from outside the public education system.</w:t>
      </w:r>
    </w:p>
    <w:p w:rsidR="00C157EC" w:rsidRDefault="00C157EC" w:rsidP="00C157EC">
      <w:pPr>
        <w:pStyle w:val="Heading4"/>
      </w:pPr>
      <w:bookmarkStart w:id="67" w:name="_Toc435784242"/>
      <w:r>
        <w:t xml:space="preserve">Total </w:t>
      </w:r>
      <w:bookmarkEnd w:id="67"/>
      <w:r>
        <w:t>Supply</w:t>
      </w:r>
    </w:p>
    <w:p w:rsidR="00C157EC" w:rsidRDefault="00C157EC" w:rsidP="009C0911">
      <w:pPr>
        <w:pStyle w:val="BodyText"/>
      </w:pPr>
      <w:r>
        <w:t>As explained in the section Data and Methods, overall teacher supply in each district was measured in two ways. The AIR research team first considered the total teacher staff count, or the actual number of people serving as teachers regardless of the total FTEs they represented. Figure 6 shows that the total number of teachers is expected to increase by 2,013 from 2013–14 through 2023–24, representing a change of 2.8 percent over the period (equal to an average increase of 0.2 percent per year).</w:t>
      </w:r>
    </w:p>
    <w:p w:rsidR="00C157EC" w:rsidRDefault="00C157EC" w:rsidP="009C0911">
      <w:pPr>
        <w:pStyle w:val="FigureTitle"/>
      </w:pPr>
      <w:proofErr w:type="gramStart"/>
      <w:r>
        <w:t>Figure 6</w:t>
      </w:r>
      <w:r w:rsidRPr="00F52938">
        <w:t>.</w:t>
      </w:r>
      <w:proofErr w:type="gramEnd"/>
      <w:r w:rsidRPr="00F52938">
        <w:t xml:space="preserve"> Historical and Projected </w:t>
      </w:r>
      <w:r>
        <w:t xml:space="preserve">Statewide Supply of Teachers in Terms of Staff Counts, </w:t>
      </w:r>
      <w:r w:rsidRPr="00F52938">
        <w:t>200</w:t>
      </w:r>
      <w:r>
        <w:t>8</w:t>
      </w:r>
      <w:r w:rsidRPr="00FF4182">
        <w:t>–</w:t>
      </w:r>
      <w:r>
        <w:t>0</w:t>
      </w:r>
      <w:r w:rsidRPr="00F52938">
        <w:t>9</w:t>
      </w:r>
      <w:r w:rsidR="0092042A">
        <w:t xml:space="preserve"> </w:t>
      </w:r>
      <w:proofErr w:type="gramStart"/>
      <w:r w:rsidR="0092042A">
        <w:t>Through</w:t>
      </w:r>
      <w:proofErr w:type="gramEnd"/>
      <w:r w:rsidR="0092042A">
        <w:t xml:space="preserve"> </w:t>
      </w:r>
      <w:r w:rsidRPr="00F52938">
        <w:t>20</w:t>
      </w:r>
      <w:r>
        <w:t>23</w:t>
      </w:r>
      <w:r w:rsidRPr="00FF4182">
        <w:t>–</w:t>
      </w:r>
      <w:r w:rsidRPr="00F52938">
        <w:t>24</w:t>
      </w:r>
    </w:p>
    <w:p w:rsidR="00C157EC" w:rsidRDefault="00C157EC" w:rsidP="009C0911">
      <w:pPr>
        <w:pStyle w:val="FigurePlacement"/>
      </w:pPr>
      <w:r w:rsidRPr="001A43FB">
        <w:rPr>
          <w:noProof/>
          <w:lang w:eastAsia="zh-CN" w:bidi="km-KH"/>
        </w:rPr>
        <w:drawing>
          <wp:inline distT="0" distB="0" distL="0" distR="0">
            <wp:extent cx="5617374" cy="3657600"/>
            <wp:effectExtent l="19050" t="0" r="2376" b="0"/>
            <wp:docPr id="227" name="Picture 227" descr="Figure 6 shows that the total number of teachers is expected to increase by 2,013 from 2013–14 through 2023–24, representing a change of 2.8 percent over the period (equal to an average increase of 0.2 percent per year).&#10;&#10;Figure 6. Historical and Projected Statewide Supply of Teachers in Terms of Staff Count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46" t="3550" r="4584" b="7226"/>
                    <a:stretch/>
                  </pic:blipFill>
                  <pic:spPr bwMode="auto">
                    <a:xfrm>
                      <a:off x="0" y="0"/>
                      <a:ext cx="5617374"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B06D46">
      <w:pPr>
        <w:pStyle w:val="BodyText"/>
      </w:pPr>
      <w:r>
        <w:t>However, to the extent that there are many teachers serving in a part-time capacity, these projections will overstate the total amount of services actually provided by teachers. In fact, as is shown in Figure 7, total statewide teacher FTEs are expected to decline by 1,174 from 2013</w:t>
      </w:r>
      <w:r w:rsidRPr="008D6CEE">
        <w:t>–</w:t>
      </w:r>
      <w:r>
        <w:t>14 through 2023</w:t>
      </w:r>
      <w:r w:rsidRPr="008D6CEE">
        <w:t>–</w:t>
      </w:r>
      <w:r>
        <w:t>24, equal to a drop of 1.8 percent over the period (or an average of 0.2 percent per year).</w:t>
      </w:r>
    </w:p>
    <w:p w:rsidR="00C157EC" w:rsidRDefault="00C157EC" w:rsidP="00AC4F18">
      <w:pPr>
        <w:pStyle w:val="FigureTitle"/>
      </w:pPr>
      <w:proofErr w:type="gramStart"/>
      <w:r>
        <w:t>Figure 7</w:t>
      </w:r>
      <w:r w:rsidRPr="00F52938">
        <w:t>.</w:t>
      </w:r>
      <w:proofErr w:type="gramEnd"/>
      <w:r w:rsidRPr="00F52938">
        <w:t xml:space="preserve"> Historical and Projected </w:t>
      </w:r>
      <w:r>
        <w:t xml:space="preserve">Statewide Supply of Teachers in Terms of FTEs, </w:t>
      </w:r>
      <w:r w:rsidRPr="00F52938">
        <w:t>200</w:t>
      </w:r>
      <w:r>
        <w:t>8–0</w:t>
      </w:r>
      <w:r w:rsidRPr="00F52938">
        <w:t>9</w:t>
      </w:r>
      <w:r w:rsidR="0092042A">
        <w:t xml:space="preserve"> </w:t>
      </w:r>
      <w:proofErr w:type="gramStart"/>
      <w:r w:rsidR="0092042A">
        <w:t>Through</w:t>
      </w:r>
      <w:proofErr w:type="gramEnd"/>
      <w:r w:rsidR="0092042A">
        <w:t xml:space="preserve"> </w:t>
      </w:r>
      <w:r w:rsidRPr="00F52938">
        <w:t>20</w:t>
      </w:r>
      <w:r>
        <w:t>23–</w:t>
      </w:r>
      <w:r w:rsidRPr="00F52938">
        <w:t>24</w:t>
      </w:r>
    </w:p>
    <w:p w:rsidR="00C157EC" w:rsidRPr="00F52938" w:rsidRDefault="00C157EC" w:rsidP="00AC4F18">
      <w:pPr>
        <w:pStyle w:val="FigurePlacement"/>
      </w:pPr>
      <w:r w:rsidRPr="001D0D8C">
        <w:rPr>
          <w:noProof/>
          <w:lang w:eastAsia="zh-CN" w:bidi="km-KH"/>
        </w:rPr>
        <w:drawing>
          <wp:inline distT="0" distB="0" distL="0" distR="0">
            <wp:extent cx="5625649" cy="3657600"/>
            <wp:effectExtent l="19050" t="0" r="0" b="0"/>
            <wp:docPr id="234" name="Picture 234" descr="As is shown in Figure 7, total statewide teacher FTEs are expected to decline by 1,174 from 2013–14 through 2023–24, equal to a drop of 1.8 percent over the period (or an average of 0.2 percent per year).&#10;&#10;Figure 7. Historical and Projected Statewide Supply of Teachers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69" t="3829" r="5125" b="7432"/>
                    <a:stretch/>
                  </pic:blipFill>
                  <pic:spPr bwMode="auto">
                    <a:xfrm>
                      <a:off x="0" y="0"/>
                      <a:ext cx="5625649"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AC4F18">
      <w:pPr>
        <w:pStyle w:val="BodyText"/>
      </w:pPr>
      <w:r>
        <w:t>It is noteworthy that the teacher count and FTE supply projections are trending in opposite directions. This difference is even visible in the historical data, where in 2013</w:t>
      </w:r>
      <w:r>
        <w:rPr>
          <w:b/>
        </w:rPr>
        <w:t>–</w:t>
      </w:r>
      <w:r>
        <w:t>14 the number of FTEs was around the historical average, while the number of teachers measured by staff counts was at its historical maximum. This difference may suggest an increase in the number of part-time teachers over time or more generally a decrease in the average teacher caseload.</w:t>
      </w:r>
      <w:r>
        <w:rPr>
          <w:rStyle w:val="FootnoteReference"/>
        </w:rPr>
        <w:footnoteReference w:id="11"/>
      </w:r>
    </w:p>
    <w:p w:rsidR="00C157EC" w:rsidRDefault="00C157EC" w:rsidP="00C157EC">
      <w:pPr>
        <w:pStyle w:val="Heading4"/>
      </w:pPr>
      <w:bookmarkStart w:id="68" w:name="_Toc435784243"/>
      <w:r>
        <w:t>Retention</w:t>
      </w:r>
      <w:bookmarkEnd w:id="68"/>
    </w:p>
    <w:p w:rsidR="00C157EC" w:rsidRDefault="00C157EC" w:rsidP="00AC4F18">
      <w:pPr>
        <w:pStyle w:val="BodyText"/>
      </w:pPr>
      <w:r>
        <w:t>It may be helpful for policymakers to consider from what sources the overall projected supply is expected to come, and if the projected trends in these supply components differ. Retained teachers are one such component. As can be seen in Figure 8, retained teachers are expected to decline by 1,579 teacher FTEs from 2013</w:t>
      </w:r>
      <w:r>
        <w:rPr>
          <w:b/>
        </w:rPr>
        <w:t>–</w:t>
      </w:r>
      <w:r>
        <w:t>14 through 2023</w:t>
      </w:r>
      <w:r>
        <w:rPr>
          <w:b/>
        </w:rPr>
        <w:t>–</w:t>
      </w:r>
      <w:r>
        <w:t xml:space="preserve">24 (equal to a 2.8 percent drop over the </w:t>
      </w:r>
      <w:proofErr w:type="gramStart"/>
      <w:r>
        <w:t>period,</w:t>
      </w:r>
      <w:proofErr w:type="gramEnd"/>
      <w:r>
        <w:t xml:space="preserve"> or 0.3 percent per year on average).</w:t>
      </w:r>
    </w:p>
    <w:p w:rsidR="00C157EC" w:rsidRDefault="00C157EC" w:rsidP="00AC4F18">
      <w:pPr>
        <w:pStyle w:val="FigureTitle"/>
      </w:pPr>
      <w:proofErr w:type="gramStart"/>
      <w:r>
        <w:t>Figure 8</w:t>
      </w:r>
      <w:r w:rsidRPr="00F52938">
        <w:t>.</w:t>
      </w:r>
      <w:proofErr w:type="gramEnd"/>
      <w:r w:rsidRPr="00F52938">
        <w:t xml:space="preserve"> Historical and Projected </w:t>
      </w:r>
      <w:r>
        <w:t>Statewide Supply of Retained Teachers in Terms of FTEs</w:t>
      </w:r>
      <w:proofErr w:type="gramStart"/>
      <w:r>
        <w:t xml:space="preserve">, </w:t>
      </w:r>
      <w:r w:rsidR="00787BB7">
        <w:t xml:space="preserve"> </w:t>
      </w:r>
      <w:r w:rsidRPr="00F52938">
        <w:t>200</w:t>
      </w:r>
      <w:r>
        <w:t>8</w:t>
      </w:r>
      <w:proofErr w:type="gramEnd"/>
      <w:r>
        <w:t>–0</w:t>
      </w:r>
      <w:r w:rsidRPr="00F52938">
        <w:t>9</w:t>
      </w:r>
      <w:r w:rsidR="0092042A">
        <w:t xml:space="preserve"> Through </w:t>
      </w:r>
      <w:r w:rsidRPr="00F52938">
        <w:t>202</w:t>
      </w:r>
      <w:r>
        <w:t>3–2</w:t>
      </w:r>
      <w:r w:rsidRPr="00F52938">
        <w:t>4</w:t>
      </w:r>
    </w:p>
    <w:p w:rsidR="00C157EC" w:rsidRDefault="00C157EC" w:rsidP="00AC4F18">
      <w:pPr>
        <w:pStyle w:val="FigurePlacement"/>
      </w:pPr>
      <w:r w:rsidRPr="001D0D8C">
        <w:rPr>
          <w:noProof/>
          <w:lang w:eastAsia="zh-CN" w:bidi="km-KH"/>
        </w:rPr>
        <w:drawing>
          <wp:inline distT="0" distB="0" distL="0" distR="0">
            <wp:extent cx="5603109" cy="3657600"/>
            <wp:effectExtent l="19050" t="0" r="0" b="0"/>
            <wp:docPr id="252" name="Picture 252" descr="As can be seen in Figure 8, retained teachers are expected to decline by 1,579 teacher FTEs from 2013–14 through 2023–24 (equal to a 2.8 percent drop over the period, or 0.3 percent per year on average).&#10;&#10;Figure 8. Historical and Projected Statewide Supply of Retained Teachers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42" t="3857" r="5008" b="7100"/>
                    <a:stretch/>
                  </pic:blipFill>
                  <pic:spPr bwMode="auto">
                    <a:xfrm>
                      <a:off x="0" y="0"/>
                      <a:ext cx="5603109"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C157EC">
      <w:pPr>
        <w:pStyle w:val="BodyText"/>
      </w:pPr>
      <w:r w:rsidRPr="00227843">
        <w:t>The fact</w:t>
      </w:r>
      <w:r>
        <w:t xml:space="preserve"> that the projected trend for retained teachers is aligned with the aggregate supply projection trends is not surprising, given that retained teachers comprise a majority of overall teacher supply;</w:t>
      </w:r>
      <w:r w:rsidRPr="00227843">
        <w:t xml:space="preserve"> </w:t>
      </w:r>
      <w:r>
        <w:t>this analysis finds that t</w:t>
      </w:r>
      <w:r w:rsidRPr="00227843">
        <w:t xml:space="preserve">he share of </w:t>
      </w:r>
      <w:r>
        <w:t xml:space="preserve">statewide teacher </w:t>
      </w:r>
      <w:r w:rsidRPr="00227843">
        <w:t xml:space="preserve">supply made up by retained teachers remains </w:t>
      </w:r>
      <w:r>
        <w:t xml:space="preserve">relatively </w:t>
      </w:r>
      <w:r w:rsidRPr="00227843">
        <w:t>constant over time</w:t>
      </w:r>
      <w:r>
        <w:t>,</w:t>
      </w:r>
      <w:r w:rsidRPr="00227843">
        <w:t xml:space="preserve"> </w:t>
      </w:r>
      <w:r>
        <w:t xml:space="preserve">averaging </w:t>
      </w:r>
      <w:r w:rsidRPr="00227843">
        <w:t>85.2 percent</w:t>
      </w:r>
      <w:r>
        <w:t xml:space="preserve"> over the historical period 2008</w:t>
      </w:r>
      <w:r>
        <w:rPr>
          <w:b/>
        </w:rPr>
        <w:t>–</w:t>
      </w:r>
      <w:r>
        <w:t>09 through 2013</w:t>
      </w:r>
      <w:r>
        <w:rPr>
          <w:b/>
        </w:rPr>
        <w:t>–</w:t>
      </w:r>
      <w:r>
        <w:t>14. Therefore, the trend in retained teachers will tend to drive the aggregate trend in teacher supply.</w:t>
      </w:r>
    </w:p>
    <w:p w:rsidR="00C157EC" w:rsidRPr="00227843" w:rsidRDefault="00C157EC" w:rsidP="00C157EC">
      <w:pPr>
        <w:pStyle w:val="BodyText"/>
      </w:pPr>
      <w:r>
        <w:t xml:space="preserve">While retained teacher FTEs are expected to decline, this change is very slight. Nonetheless, underlying this statewide aggregate trend is a collection of </w:t>
      </w:r>
      <w:r w:rsidRPr="00227843">
        <w:t>district</w:t>
      </w:r>
      <w:r>
        <w:t>-</w:t>
      </w:r>
      <w:r w:rsidRPr="00227843">
        <w:t>level</w:t>
      </w:r>
      <w:r>
        <w:t xml:space="preserve"> trends that may vary widely</w:t>
      </w:r>
      <w:r w:rsidRPr="00227843">
        <w:t xml:space="preserve">. </w:t>
      </w:r>
      <w:r>
        <w:t xml:space="preserve">In particular, districts serving large populations of high-need students may, in fact, be facing greater retention challenges than the aggregate results suggest. </w:t>
      </w:r>
      <w:r w:rsidRPr="00227843">
        <w:t xml:space="preserve">Policymakers may want to consider </w:t>
      </w:r>
      <w:r>
        <w:t xml:space="preserve">further investigation of differential retention trends by district student needs </w:t>
      </w:r>
      <w:r w:rsidRPr="00227843">
        <w:t xml:space="preserve">to better understand </w:t>
      </w:r>
      <w:r>
        <w:t>potential retention challenges that exist in the state.</w:t>
      </w:r>
    </w:p>
    <w:p w:rsidR="00C157EC" w:rsidRDefault="00C157EC" w:rsidP="00C157EC">
      <w:pPr>
        <w:pStyle w:val="Heading4"/>
      </w:pPr>
      <w:bookmarkStart w:id="69" w:name="_Toc435784244"/>
      <w:r>
        <w:t>New Entrants</w:t>
      </w:r>
      <w:bookmarkEnd w:id="69"/>
    </w:p>
    <w:p w:rsidR="00C157EC" w:rsidRPr="00BB0D2F" w:rsidRDefault="00C157EC" w:rsidP="00AC4F18">
      <w:pPr>
        <w:pStyle w:val="BodyText"/>
      </w:pPr>
      <w:r>
        <w:t>The results of this analysis show a projected trend of newly entering teachers that is decreasing over time (Figure 9). Specifically, the number of new entrant teacher FTEs is expected to decline by 1,594 from 2012</w:t>
      </w:r>
      <w:r w:rsidRPr="005D204B">
        <w:t>–</w:t>
      </w:r>
      <w:r>
        <w:t>13 through 2022</w:t>
      </w:r>
      <w:r w:rsidRPr="005D204B">
        <w:t>–</w:t>
      </w:r>
      <w:r>
        <w:t>23 (equal to 56.0 percent over the period, or 7.9 percent per year, on average). Moreover, new entrants are projected to make up an increasingly smaller share of overall teacher supply. Over the three-year period for which there is have historical data (2010</w:t>
      </w:r>
      <w:r w:rsidRPr="005D204B">
        <w:t>–</w:t>
      </w:r>
      <w:r>
        <w:t>11 through 2012</w:t>
      </w:r>
      <w:r w:rsidRPr="005D204B">
        <w:t>–</w:t>
      </w:r>
      <w:r>
        <w:t>13), new entrants accounted on average for 4.8 percent of all teachers. In 2014</w:t>
      </w:r>
      <w:r w:rsidRPr="005D204B">
        <w:t>–</w:t>
      </w:r>
      <w:r>
        <w:t>15, new entrants are expected to make up approximately 3.7 percent of the overall yearly supply of teachers. By 2022</w:t>
      </w:r>
      <w:r w:rsidRPr="005D204B">
        <w:t>–</w:t>
      </w:r>
      <w:r>
        <w:t>23, the share of supply made up by new entrants is expected to fall to around 1.8 percent, a drop of 3 percentage points from the historical average.</w:t>
      </w:r>
    </w:p>
    <w:p w:rsidR="00C157EC" w:rsidRPr="00957275" w:rsidRDefault="00C157EC" w:rsidP="00AC4F18">
      <w:pPr>
        <w:pStyle w:val="FigureTitle"/>
      </w:pPr>
      <w:proofErr w:type="gramStart"/>
      <w:r>
        <w:t>Figure 9</w:t>
      </w:r>
      <w:r w:rsidRPr="00F52938">
        <w:t>.</w:t>
      </w:r>
      <w:proofErr w:type="gramEnd"/>
      <w:r w:rsidRPr="00F52938">
        <w:t xml:space="preserve"> Historical and Projected </w:t>
      </w:r>
      <w:r>
        <w:t xml:space="preserve">Statewide Supply of New Entrant Teachers in Terms of FTEs, </w:t>
      </w:r>
      <w:r w:rsidRPr="00F52938">
        <w:t>200</w:t>
      </w:r>
      <w:r>
        <w:t>8–0</w:t>
      </w:r>
      <w:r w:rsidRPr="00F52938">
        <w:t>9</w:t>
      </w:r>
      <w:r w:rsidR="0092042A">
        <w:t xml:space="preserve"> </w:t>
      </w:r>
      <w:proofErr w:type="gramStart"/>
      <w:r w:rsidR="0092042A">
        <w:t>Through</w:t>
      </w:r>
      <w:proofErr w:type="gramEnd"/>
      <w:r w:rsidR="0092042A">
        <w:t xml:space="preserve"> </w:t>
      </w:r>
      <w:r w:rsidRPr="00F52938">
        <w:t>202</w:t>
      </w:r>
      <w:r>
        <w:t>3–2</w:t>
      </w:r>
      <w:r w:rsidRPr="00F52938">
        <w:t>4</w:t>
      </w:r>
    </w:p>
    <w:p w:rsidR="00C157EC" w:rsidRDefault="00C157EC" w:rsidP="00AC4F18">
      <w:pPr>
        <w:pStyle w:val="FigurePlacement"/>
      </w:pPr>
      <w:r w:rsidRPr="007D2137">
        <w:rPr>
          <w:noProof/>
          <w:lang w:eastAsia="zh-CN" w:bidi="km-KH"/>
        </w:rPr>
        <w:drawing>
          <wp:inline distT="0" distB="0" distL="0" distR="0">
            <wp:extent cx="5615927" cy="3657600"/>
            <wp:effectExtent l="19050" t="0" r="3823" b="0"/>
            <wp:docPr id="230" name="Picture 230" descr="The results of this analysis show a projected trend of newly entering teachers that is decreasing over time (Figure 9). Specifically, the number of new entrant teacher FTEs is expected to decline by 1,594 from 2012–13 through 2022–23 (equal to 56.0 percent over the period, or 7.9 percent per year, on average). Moreover, new entrants are projected to make up an increasingly smaller share of overall teacher supply. Over the three-year period for which there is have historical data (2010–11 through 2012–13), new entrants accounted on average for 4.8 percent of all teachers. In 2014–15, new entrants are expected to make up approximately 3.7 percent of the overall yearly supply of teachers. By 2022–23, the share of supply made up by new entrants is expected to fall to around 1.8 percent, a drop of 3 percentage points from the historical average.&#10;Figure 9. Historical and Projected Statewide Supply of New Entrant Teachers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08" t="3994" r="5026" b="6859"/>
                    <a:stretch/>
                  </pic:blipFill>
                  <pic:spPr bwMode="auto">
                    <a:xfrm>
                      <a:off x="0" y="0"/>
                      <a:ext cx="5615927"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AC4F18">
      <w:pPr>
        <w:pStyle w:val="BodyText"/>
      </w:pPr>
      <w:r>
        <w:t>Although the results suggest dramatic decreases in the FTEs of newly entering teachers in coming years, it is important to keep in mind that these findings are based on only three years of historical data. Moreover, the district-level estimates of new entrants are based on several assumptions, which is cause to interpret the specific figures with caution.</w:t>
      </w:r>
      <w:r>
        <w:rPr>
          <w:rStyle w:val="FootnoteReference"/>
        </w:rPr>
        <w:footnoteReference w:id="12"/>
      </w:r>
      <w:r>
        <w:t xml:space="preserve"> Nonetheless, given these results, policymakers may want to monitor the number of newly entering teachers over the next few years. If new entrants do start declining as the analysis suggests, this may be cause for policy action. While new entrants represent the smallest share of supply for any given year, depressed numbers of new entrants year after year will have cumulative effects on the supply of teachers over time. </w:t>
      </w:r>
    </w:p>
    <w:p w:rsidR="00C157EC" w:rsidRDefault="00C157EC" w:rsidP="00AC4F18">
      <w:pPr>
        <w:pStyle w:val="BodyText"/>
      </w:pPr>
      <w:r>
        <w:t>Because retention—as a percentage of total teachers—has remained relatively constant over time, the recent decline in new entrants has likely been offset by teachers either transferring across districts or into the state from somewhere else (e.g., other states, private schools). If trends persist, it is expected this will also be the case in future years. Therefore, policymakers also may want to consider this third component of supply in any policy discussions about the pipeline of teachers.</w:t>
      </w:r>
    </w:p>
    <w:p w:rsidR="00C157EC" w:rsidRDefault="00C157EC" w:rsidP="00C157EC">
      <w:pPr>
        <w:pStyle w:val="Heading4"/>
      </w:pPr>
      <w:bookmarkStart w:id="70" w:name="_Toc435784245"/>
      <w:r>
        <w:t>Transfers</w:t>
      </w:r>
      <w:bookmarkEnd w:id="70"/>
    </w:p>
    <w:p w:rsidR="00C157EC" w:rsidRDefault="00C157EC" w:rsidP="00AC4F18">
      <w:pPr>
        <w:pStyle w:val="BodyText"/>
      </w:pPr>
      <w:r>
        <w:t>The analysis findings suggest that there will be an increasing trend in the number of transfer teacher FTEs over the coming years (Figure 10). Specifically, the number of transfer FTEs is expected to increase by 2,277, or 33.2 percent from 2012–13 through 2022–23. Over the historical period from 2010–11 to 2012–13, transferring teachers made up 10.1 percent of the overall supply of teacher FTEs, on average. However, by 2022–23 the share of supply made up by transferring teachers is expected to grow by almost 3 percentage points, to more than 12.9 percent.</w:t>
      </w:r>
    </w:p>
    <w:p w:rsidR="00C157EC" w:rsidRDefault="00C157EC" w:rsidP="00AC4F18">
      <w:pPr>
        <w:pStyle w:val="FigureTitle"/>
      </w:pPr>
      <w:proofErr w:type="gramStart"/>
      <w:r>
        <w:t>Figure 10</w:t>
      </w:r>
      <w:r w:rsidRPr="00F52938">
        <w:t>.</w:t>
      </w:r>
      <w:proofErr w:type="gramEnd"/>
      <w:r w:rsidRPr="00F52938">
        <w:t xml:space="preserve"> Historical and Projected Statewide </w:t>
      </w:r>
      <w:r>
        <w:t xml:space="preserve">Supply of Transferring Teachers in Terms of FTEs, </w:t>
      </w:r>
      <w:r w:rsidRPr="00F52938">
        <w:t>200</w:t>
      </w:r>
      <w:r>
        <w:t>8–0</w:t>
      </w:r>
      <w:r w:rsidRPr="00F52938">
        <w:t>9</w:t>
      </w:r>
      <w:r w:rsidR="0092042A">
        <w:t xml:space="preserve"> </w:t>
      </w:r>
      <w:proofErr w:type="gramStart"/>
      <w:r w:rsidR="0092042A">
        <w:t>Through</w:t>
      </w:r>
      <w:proofErr w:type="gramEnd"/>
      <w:r w:rsidR="0092042A">
        <w:t xml:space="preserve"> </w:t>
      </w:r>
      <w:r w:rsidRPr="00F52938">
        <w:t>202</w:t>
      </w:r>
      <w:r>
        <w:t>3–2</w:t>
      </w:r>
      <w:r w:rsidRPr="00F52938">
        <w:t>4</w:t>
      </w:r>
    </w:p>
    <w:p w:rsidR="00C157EC" w:rsidRDefault="00C157EC" w:rsidP="00AC4F18">
      <w:pPr>
        <w:pStyle w:val="FigurePlacement"/>
      </w:pPr>
      <w:r w:rsidRPr="007D2137">
        <w:rPr>
          <w:noProof/>
          <w:lang w:eastAsia="zh-CN" w:bidi="km-KH"/>
        </w:rPr>
        <w:drawing>
          <wp:inline distT="0" distB="0" distL="0" distR="0">
            <wp:extent cx="5605938" cy="3657600"/>
            <wp:effectExtent l="19050" t="0" r="0" b="0"/>
            <wp:docPr id="231" name="Picture 231" descr="The analysis findings suggest that there will be an increasing trend in the number of transfer teacher FTEs over the coming years (Figure 10). Specifically, the number of transfer FTEs is expected to increase by 2,277, or 33.2 percent from 2012–13 through 2022–23. Over the historical period from 2010–11 to 2012–13, transferring teachers made up 10.1 percent of the overall supply of teacher FTEs, on average. However, by 2022–23 the share of supply made up by transferring teachers is expected to grow by almost 3 percentage points, to more than 12.9 percent.&#10;Figure 10. Historical and Projected Statewide Supply of Transferring Teachers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14" t="3632" r="4831" b="6977"/>
                    <a:stretch/>
                  </pic:blipFill>
                  <pic:spPr bwMode="auto">
                    <a:xfrm>
                      <a:off x="0" y="0"/>
                      <a:ext cx="5605938"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AC4F18">
      <w:pPr>
        <w:pStyle w:val="BodyText"/>
      </w:pPr>
      <w:r>
        <w:t xml:space="preserve">This component of supply is the only group for which no raw data </w:t>
      </w:r>
      <w:r w:rsidR="004351EE">
        <w:t>were</w:t>
      </w:r>
      <w:r>
        <w:t xml:space="preserve"> readily available. Given that transferring teachers are projected to increase the fastest among the three supply components, a better understanding of this group would be tremendously beneficial. For example, it would be good to know to what extent </w:t>
      </w:r>
      <w:r w:rsidR="00545090">
        <w:t xml:space="preserve">this supply component is composed of </w:t>
      </w:r>
      <w:r>
        <w:t>teachers transferring across districts within the state, rather than entering from outside the state’s public education sector (e.g., from outside the state or another sector). The first group represents a reshuffling of the existing pool of teachers, while the second group represents new or returning teaching staff. This distinction is important to understand as this reshuffling may place a burden on high-need districts (i.e., lower performing, high poverty), which are left trying to find replacement teachers for those who choose to transfer. On the other hand, teachers coming from out of state or from the within-state reserve pool add to the effective supply of teachers. If a large number of teachers are coming from these sources, then the drop in new entrants may not be as troubling. Policymakers may want to consider investigating this issue further, possibly through a comprehensive study of teacher mobility, which would identify more detailed trends in transfers across districts or even across schools. The results of such a study could inform any statewide strategies concerning teacher supply and contribute to a better overall understanding of sources of teacher supply across the state.</w:t>
      </w:r>
    </w:p>
    <w:p w:rsidR="00C157EC" w:rsidRDefault="00C157EC" w:rsidP="00C157EC">
      <w:pPr>
        <w:pStyle w:val="Heading4"/>
      </w:pPr>
      <w:bookmarkStart w:id="71" w:name="_Toc435784246"/>
      <w:r>
        <w:t>Validity of Results</w:t>
      </w:r>
      <w:bookmarkEnd w:id="71"/>
    </w:p>
    <w:p w:rsidR="00C157EC" w:rsidRDefault="00C157EC" w:rsidP="00AC4F18">
      <w:pPr>
        <w:pStyle w:val="BodyText"/>
      </w:pPr>
      <w:r>
        <w:t>The AIR research team conducted a number of tests to determine the validity of the estimated supply projections. Specifically, the AIR team considered the average percent errors (APEs) and mean absolute percent errors (MAPEs) for all supply projections based on a comparison of actual and projected values. The AIR team also considered the 95 percent confidence intervals around the supply projections, including overall teacher supply (in terms of both FTEs and staff counts), as well as new entrants and retained teachers (staff counts only).</w:t>
      </w:r>
      <w:r>
        <w:rPr>
          <w:rStyle w:val="FootnoteReference"/>
        </w:rPr>
        <w:footnoteReference w:id="13"/>
      </w:r>
      <w:r>
        <w:t xml:space="preserve"> </w:t>
      </w:r>
    </w:p>
    <w:p w:rsidR="00C157EC" w:rsidRDefault="00C157EC" w:rsidP="00C157EC">
      <w:pPr>
        <w:pStyle w:val="Heading5"/>
      </w:pPr>
      <w:r>
        <w:t>Average Percent Errors (APEs) and Mean Absolute Percent Errors (MAPEs)</w:t>
      </w:r>
    </w:p>
    <w:p w:rsidR="00C157EC" w:rsidRDefault="00C157EC" w:rsidP="00AC4F18">
      <w:pPr>
        <w:pStyle w:val="BodyText"/>
      </w:pPr>
      <w:r>
        <w:t>When projected and actual supply estimates in historical years were compared, it was found that, in general, there was very little error in any supply projections. Specifically, all of the MAPEs were well below the 7.5 percent threshold.</w:t>
      </w:r>
      <w:r>
        <w:rPr>
          <w:rStyle w:val="FootnoteReference"/>
        </w:rPr>
        <w:footnoteReference w:id="14"/>
      </w:r>
      <w:r>
        <w:t xml:space="preserve"> In terms of bias, most of the supply components had a downward bias, suggesting that these projections may be under</w:t>
      </w:r>
      <w:r w:rsidR="00545090">
        <w:t>-</w:t>
      </w:r>
      <w:r>
        <w:t>predicting supply in future years. The only exception was for new entrants, which had an upward bias, possibly suggesting an over</w:t>
      </w:r>
      <w:r w:rsidR="00545090">
        <w:t>-</w:t>
      </w:r>
      <w:r>
        <w:t>prediction of the number of new entrants. These biases could have implications on the analysis comparing supply and demand, and thus on any ex</w:t>
      </w:r>
      <w:r w:rsidR="004457B7">
        <w:t>pected shortages or surpluses.</w:t>
      </w:r>
    </w:p>
    <w:p w:rsidR="00C157EC" w:rsidRDefault="00C157EC" w:rsidP="00C157EC">
      <w:pPr>
        <w:pStyle w:val="Heading5"/>
      </w:pPr>
      <w:r>
        <w:t>Confidence Intervals</w:t>
      </w:r>
    </w:p>
    <w:p w:rsidR="00C157EC" w:rsidRDefault="00C157EC" w:rsidP="00AC4F18">
      <w:pPr>
        <w:pStyle w:val="BodyText"/>
      </w:pPr>
      <w:r>
        <w:t>As an additional test of the error in projections, the AIR research team</w:t>
      </w:r>
      <w:r w:rsidRPr="00101413">
        <w:t xml:space="preserve"> </w:t>
      </w:r>
      <w:r>
        <w:t xml:space="preserve">also </w:t>
      </w:r>
      <w:r w:rsidRPr="00101413">
        <w:t>considered the 95</w:t>
      </w:r>
      <w:r>
        <w:t xml:space="preserve"> percent</w:t>
      </w:r>
      <w:r w:rsidRPr="00101413">
        <w:t xml:space="preserve"> confidence intervals around </w:t>
      </w:r>
      <w:r>
        <w:t xml:space="preserve">the district average </w:t>
      </w:r>
      <w:r w:rsidRPr="00101413">
        <w:t>supply projections</w:t>
      </w:r>
      <w:r>
        <w:t>.</w:t>
      </w:r>
      <w:r w:rsidRPr="00101413">
        <w:t xml:space="preserve"> </w:t>
      </w:r>
      <w:r>
        <w:t xml:space="preserve">It was </w:t>
      </w:r>
      <w:r w:rsidRPr="00101413">
        <w:t xml:space="preserve">found </w:t>
      </w:r>
      <w:r>
        <w:t xml:space="preserve">that for most analyses, </w:t>
      </w:r>
      <w:r w:rsidR="00025D50">
        <w:t xml:space="preserve">the </w:t>
      </w:r>
      <w:r>
        <w:t>supply projections more than tripled from 2014–15 to 2023–24</w:t>
      </w:r>
      <w:r w:rsidRPr="00101413">
        <w:t xml:space="preserve">. </w:t>
      </w:r>
      <w:r>
        <w:t>These results suggest that there should be less confidence in the projections farther out in projected years. However, the relative sizes of the intervals were generally modest for most projections in the final projected year.</w:t>
      </w:r>
      <w:r>
        <w:rPr>
          <w:rStyle w:val="FootnoteReference"/>
        </w:rPr>
        <w:footnoteReference w:id="15"/>
      </w:r>
    </w:p>
    <w:p w:rsidR="00C157EC" w:rsidRDefault="00C157EC" w:rsidP="00C157EC">
      <w:pPr>
        <w:pStyle w:val="Heading3"/>
      </w:pPr>
      <w:bookmarkStart w:id="72" w:name="_Toc435784247"/>
      <w:bookmarkStart w:id="73" w:name="_Toc436724292"/>
      <w:bookmarkStart w:id="74" w:name="_Toc437284991"/>
      <w:r>
        <w:t>Research Question 1 and 2: Comparing Aggregate Supply and Demand</w:t>
      </w:r>
      <w:bookmarkEnd w:id="72"/>
      <w:bookmarkEnd w:id="73"/>
      <w:bookmarkEnd w:id="74"/>
    </w:p>
    <w:p w:rsidR="00C157EC" w:rsidRDefault="00C157EC" w:rsidP="00AC4F18">
      <w:pPr>
        <w:pStyle w:val="BodyText"/>
      </w:pPr>
      <w:r>
        <w:t>In an effort to determine whether statewide shortages or surpluses of teachers are expected, the AIR research team compared the aggregate supply and demand projections, displayed in Table 4 and Figure 11. The findings suggest that it should expected to see a surplus of overall teacher FTEs on the order of 228 (or 0.35 percent in relative terms) starting in 2015–16, which will steadily increase to 2,677 FTEs (or 4.26 percent in relative terms) by 2023–24.</w:t>
      </w:r>
    </w:p>
    <w:p w:rsidR="00C157EC" w:rsidRDefault="00C157EC" w:rsidP="00AC4F18">
      <w:pPr>
        <w:pStyle w:val="TableTitle"/>
      </w:pPr>
      <w:proofErr w:type="gramStart"/>
      <w:r>
        <w:t>Table 4</w:t>
      </w:r>
      <w:r w:rsidRPr="00CC4696">
        <w:t>.</w:t>
      </w:r>
      <w:proofErr w:type="gramEnd"/>
      <w:r w:rsidRPr="00CC4696">
        <w:t xml:space="preserve"> Projected </w:t>
      </w:r>
      <w:r>
        <w:t xml:space="preserve">Statewide </w:t>
      </w:r>
      <w:r w:rsidRPr="00CC4696">
        <w:t>Demand</w:t>
      </w:r>
      <w:r>
        <w:t xml:space="preserve"> and </w:t>
      </w:r>
      <w:r w:rsidRPr="00CC4696">
        <w:t>Supply</w:t>
      </w:r>
      <w:r>
        <w:t xml:space="preserve"> of Teachers in Terms of FTEs </w:t>
      </w:r>
      <w:r w:rsidRPr="00CC4696">
        <w:t xml:space="preserve">and </w:t>
      </w:r>
      <w:r>
        <w:t xml:space="preserve">Absolute and </w:t>
      </w:r>
      <w:r w:rsidRPr="00CC4696">
        <w:t>Relative Differences</w:t>
      </w:r>
      <w:r>
        <w:t xml:space="preserve">, </w:t>
      </w:r>
      <w:r w:rsidR="00346F80">
        <w:t>2014</w:t>
      </w:r>
      <w:r w:rsidRPr="00711F90">
        <w:t>–</w:t>
      </w:r>
      <w:r w:rsidR="00346F80">
        <w:t>15</w:t>
      </w:r>
      <w:r w:rsidR="0092042A">
        <w:t xml:space="preserve"> </w:t>
      </w:r>
      <w:proofErr w:type="gramStart"/>
      <w:r w:rsidR="0092042A">
        <w:t>Through</w:t>
      </w:r>
      <w:proofErr w:type="gramEnd"/>
      <w:r w:rsidR="0092042A">
        <w:t xml:space="preserve"> </w:t>
      </w:r>
      <w:r w:rsidRPr="00CC4696">
        <w:t>2023</w:t>
      </w:r>
      <w:r w:rsidRPr="00711F90">
        <w:t>–</w:t>
      </w:r>
      <w:r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2"/>
        <w:gridCol w:w="1939"/>
        <w:gridCol w:w="2121"/>
        <w:gridCol w:w="1847"/>
        <w:gridCol w:w="1841"/>
      </w:tblGrid>
      <w:tr w:rsidR="00AC4F18" w:rsidRPr="00281889" w:rsidTr="002D6597">
        <w:trPr>
          <w:cnfStyle w:val="100000000000"/>
        </w:trPr>
        <w:tc>
          <w:tcPr>
            <w:tcW w:w="960" w:type="pct"/>
            <w:tcBorders>
              <w:bottom w:val="single" w:sz="4" w:space="0" w:color="auto"/>
            </w:tcBorders>
          </w:tcPr>
          <w:p w:rsidR="00C157EC" w:rsidRPr="00807FB9" w:rsidRDefault="00C157EC" w:rsidP="00BD18E1">
            <w:pPr>
              <w:pStyle w:val="TableText"/>
              <w:jc w:val="center"/>
            </w:pPr>
            <w:r>
              <w:t>Year</w:t>
            </w:r>
          </w:p>
        </w:tc>
        <w:tc>
          <w:tcPr>
            <w:tcW w:w="1011" w:type="pct"/>
            <w:tcBorders>
              <w:bottom w:val="single" w:sz="4" w:space="0" w:color="auto"/>
            </w:tcBorders>
          </w:tcPr>
          <w:p w:rsidR="00C157EC" w:rsidRPr="00E12434" w:rsidRDefault="00C157EC" w:rsidP="00AC4F18">
            <w:pPr>
              <w:pStyle w:val="TableTextCentered"/>
            </w:pPr>
            <w:r w:rsidRPr="00807FB9">
              <w:t>Projected Supply</w:t>
            </w:r>
          </w:p>
        </w:tc>
        <w:tc>
          <w:tcPr>
            <w:tcW w:w="1106" w:type="pct"/>
            <w:tcBorders>
              <w:bottom w:val="single" w:sz="4" w:space="0" w:color="auto"/>
            </w:tcBorders>
          </w:tcPr>
          <w:p w:rsidR="00C157EC" w:rsidRPr="00807FB9" w:rsidRDefault="00C157EC" w:rsidP="00AC4F18">
            <w:pPr>
              <w:pStyle w:val="TableTextCentered"/>
            </w:pPr>
            <w:r w:rsidRPr="00807FB9">
              <w:t>Projected Demand</w:t>
            </w:r>
          </w:p>
        </w:tc>
        <w:tc>
          <w:tcPr>
            <w:tcW w:w="963" w:type="pct"/>
            <w:tcBorders>
              <w:bottom w:val="single" w:sz="4" w:space="0" w:color="auto"/>
            </w:tcBorders>
          </w:tcPr>
          <w:p w:rsidR="00C157EC" w:rsidRPr="00BB79BA" w:rsidRDefault="00C157EC" w:rsidP="00AC4F18">
            <w:pPr>
              <w:pStyle w:val="TableTextCentered"/>
            </w:pPr>
            <w:r w:rsidRPr="00807FB9">
              <w:t xml:space="preserve">Absolute Difference </w:t>
            </w:r>
            <w:r>
              <w:t>B</w:t>
            </w:r>
            <w:r w:rsidRPr="00807FB9">
              <w:t>etween Supply and Demand</w:t>
            </w:r>
          </w:p>
        </w:tc>
        <w:tc>
          <w:tcPr>
            <w:tcW w:w="960" w:type="pct"/>
            <w:tcBorders>
              <w:bottom w:val="single" w:sz="4" w:space="0" w:color="auto"/>
            </w:tcBorders>
          </w:tcPr>
          <w:p w:rsidR="00C157EC" w:rsidRPr="00807FB9" w:rsidRDefault="00C157EC" w:rsidP="00AC4F18">
            <w:pPr>
              <w:pStyle w:val="TableTextCentered"/>
            </w:pPr>
            <w:r w:rsidRPr="00807FB9">
              <w:t xml:space="preserve">Relative Difference </w:t>
            </w:r>
            <w:r>
              <w:t>B</w:t>
            </w:r>
            <w:r w:rsidRPr="00807FB9">
              <w:t>etween Supply and Demand</w:t>
            </w:r>
          </w:p>
        </w:tc>
      </w:tr>
      <w:tr w:rsidR="00AC4F18" w:rsidRPr="00281889" w:rsidTr="002D6597">
        <w:tc>
          <w:tcPr>
            <w:tcW w:w="960" w:type="pct"/>
            <w:tcBorders>
              <w:bottom w:val="single" w:sz="4" w:space="0" w:color="auto"/>
            </w:tcBorders>
          </w:tcPr>
          <w:p w:rsidR="00C157EC" w:rsidRPr="00807FB9" w:rsidRDefault="00C157EC" w:rsidP="00BD18E1">
            <w:pPr>
              <w:pStyle w:val="TableText"/>
              <w:jc w:val="center"/>
            </w:pPr>
            <w:r w:rsidRPr="00807FB9">
              <w:t>201</w:t>
            </w:r>
            <w:r>
              <w:t>4–1</w:t>
            </w:r>
            <w:r w:rsidRPr="00807FB9">
              <w:t>5</w:t>
            </w:r>
          </w:p>
        </w:tc>
        <w:tc>
          <w:tcPr>
            <w:tcW w:w="1011" w:type="pct"/>
            <w:tcBorders>
              <w:bottom w:val="single" w:sz="4" w:space="0" w:color="auto"/>
            </w:tcBorders>
          </w:tcPr>
          <w:p w:rsidR="00C157EC" w:rsidRPr="00E12434" w:rsidRDefault="00C157EC" w:rsidP="00AC4F18">
            <w:pPr>
              <w:pStyle w:val="TableTextCentered"/>
            </w:pPr>
            <w:r w:rsidRPr="00807FB9">
              <w:t>66,169</w:t>
            </w:r>
          </w:p>
        </w:tc>
        <w:tc>
          <w:tcPr>
            <w:tcW w:w="1106" w:type="pct"/>
            <w:tcBorders>
              <w:bottom w:val="single" w:sz="4" w:space="0" w:color="auto"/>
            </w:tcBorders>
          </w:tcPr>
          <w:p w:rsidR="00C157EC" w:rsidRPr="00807FB9" w:rsidRDefault="00C157EC" w:rsidP="00AC4F18">
            <w:pPr>
              <w:pStyle w:val="TableTextCentered"/>
            </w:pPr>
            <w:r w:rsidRPr="00807FB9">
              <w:t>66,177</w:t>
            </w:r>
          </w:p>
        </w:tc>
        <w:tc>
          <w:tcPr>
            <w:tcW w:w="963" w:type="pct"/>
            <w:tcBorders>
              <w:bottom w:val="single" w:sz="4" w:space="0" w:color="auto"/>
            </w:tcBorders>
          </w:tcPr>
          <w:p w:rsidR="00C157EC" w:rsidRPr="00BB79BA" w:rsidRDefault="00C157EC" w:rsidP="00AC4F18">
            <w:pPr>
              <w:pStyle w:val="TableTextCentered"/>
            </w:pPr>
            <w:r w:rsidRPr="00807FB9">
              <w:t>-8</w:t>
            </w:r>
          </w:p>
        </w:tc>
        <w:tc>
          <w:tcPr>
            <w:tcW w:w="960" w:type="pct"/>
            <w:tcBorders>
              <w:bottom w:val="single" w:sz="4" w:space="0" w:color="auto"/>
            </w:tcBorders>
          </w:tcPr>
          <w:p w:rsidR="00C157EC" w:rsidRPr="00807FB9" w:rsidRDefault="00C157EC" w:rsidP="00AC4F18">
            <w:pPr>
              <w:pStyle w:val="TableTextCentered"/>
            </w:pPr>
            <w:r w:rsidRPr="00807FB9">
              <w:t>-0.01%</w:t>
            </w:r>
          </w:p>
        </w:tc>
      </w:tr>
      <w:tr w:rsidR="00AC4F18" w:rsidRPr="00281889" w:rsidTr="002D6597">
        <w:tc>
          <w:tcPr>
            <w:tcW w:w="960" w:type="pct"/>
            <w:tcBorders>
              <w:bottom w:val="single" w:sz="4" w:space="0" w:color="auto"/>
            </w:tcBorders>
          </w:tcPr>
          <w:p w:rsidR="00C157EC" w:rsidRPr="00807FB9" w:rsidRDefault="00C157EC" w:rsidP="00BD18E1">
            <w:pPr>
              <w:pStyle w:val="TableText"/>
              <w:jc w:val="center"/>
            </w:pPr>
            <w:r w:rsidRPr="00807FB9">
              <w:t>201</w:t>
            </w:r>
            <w:r>
              <w:t>5–1</w:t>
            </w:r>
            <w:r w:rsidRPr="00807FB9">
              <w:t>6</w:t>
            </w:r>
          </w:p>
        </w:tc>
        <w:tc>
          <w:tcPr>
            <w:tcW w:w="1011" w:type="pct"/>
            <w:tcBorders>
              <w:bottom w:val="single" w:sz="4" w:space="0" w:color="auto"/>
            </w:tcBorders>
          </w:tcPr>
          <w:p w:rsidR="00C157EC" w:rsidRPr="00E12434" w:rsidRDefault="00C157EC" w:rsidP="00AC4F18">
            <w:pPr>
              <w:pStyle w:val="TableTextCentered"/>
            </w:pPr>
            <w:r w:rsidRPr="00807FB9">
              <w:t>66,103</w:t>
            </w:r>
          </w:p>
        </w:tc>
        <w:tc>
          <w:tcPr>
            <w:tcW w:w="1106" w:type="pct"/>
            <w:tcBorders>
              <w:bottom w:val="single" w:sz="4" w:space="0" w:color="auto"/>
            </w:tcBorders>
          </w:tcPr>
          <w:p w:rsidR="00C157EC" w:rsidRPr="00807FB9" w:rsidRDefault="00C157EC" w:rsidP="00AC4F18">
            <w:pPr>
              <w:pStyle w:val="TableTextCentered"/>
            </w:pPr>
            <w:r w:rsidRPr="00807FB9">
              <w:t>65,875</w:t>
            </w:r>
          </w:p>
        </w:tc>
        <w:tc>
          <w:tcPr>
            <w:tcW w:w="963" w:type="pct"/>
            <w:tcBorders>
              <w:bottom w:val="single" w:sz="4" w:space="0" w:color="auto"/>
            </w:tcBorders>
          </w:tcPr>
          <w:p w:rsidR="00C157EC" w:rsidRPr="00BB79BA" w:rsidRDefault="00C157EC" w:rsidP="00AC4F18">
            <w:pPr>
              <w:pStyle w:val="TableTextCentered"/>
            </w:pPr>
            <w:r w:rsidRPr="00807FB9">
              <w:t>228</w:t>
            </w:r>
          </w:p>
        </w:tc>
        <w:tc>
          <w:tcPr>
            <w:tcW w:w="960" w:type="pct"/>
            <w:tcBorders>
              <w:bottom w:val="single" w:sz="4" w:space="0" w:color="auto"/>
            </w:tcBorders>
          </w:tcPr>
          <w:p w:rsidR="00C157EC" w:rsidRPr="00807FB9" w:rsidRDefault="00C157EC" w:rsidP="00AC4F18">
            <w:pPr>
              <w:pStyle w:val="TableTextCentered"/>
            </w:pPr>
            <w:r w:rsidRPr="00807FB9">
              <w:t>0.35%</w:t>
            </w:r>
          </w:p>
        </w:tc>
      </w:tr>
      <w:tr w:rsidR="00AC4F18" w:rsidRPr="00281889" w:rsidTr="002D6597">
        <w:tc>
          <w:tcPr>
            <w:tcW w:w="960" w:type="pct"/>
            <w:tcBorders>
              <w:bottom w:val="single" w:sz="4" w:space="0" w:color="auto"/>
            </w:tcBorders>
          </w:tcPr>
          <w:p w:rsidR="00C157EC" w:rsidRPr="00807FB9" w:rsidRDefault="00C157EC" w:rsidP="00BD18E1">
            <w:pPr>
              <w:pStyle w:val="TableText"/>
              <w:jc w:val="center"/>
            </w:pPr>
            <w:r w:rsidRPr="00807FB9">
              <w:t>201</w:t>
            </w:r>
            <w:r>
              <w:t>6–1</w:t>
            </w:r>
            <w:r w:rsidRPr="00807FB9">
              <w:t>7</w:t>
            </w:r>
          </w:p>
        </w:tc>
        <w:tc>
          <w:tcPr>
            <w:tcW w:w="1011" w:type="pct"/>
            <w:tcBorders>
              <w:bottom w:val="single" w:sz="4" w:space="0" w:color="auto"/>
            </w:tcBorders>
          </w:tcPr>
          <w:p w:rsidR="00C157EC" w:rsidRPr="00E12434" w:rsidRDefault="00C157EC" w:rsidP="00AC4F18">
            <w:pPr>
              <w:pStyle w:val="TableTextCentered"/>
            </w:pPr>
            <w:r w:rsidRPr="00807FB9">
              <w:t>66,036</w:t>
            </w:r>
          </w:p>
        </w:tc>
        <w:tc>
          <w:tcPr>
            <w:tcW w:w="1106" w:type="pct"/>
            <w:tcBorders>
              <w:bottom w:val="single" w:sz="4" w:space="0" w:color="auto"/>
            </w:tcBorders>
          </w:tcPr>
          <w:p w:rsidR="00C157EC" w:rsidRPr="00807FB9" w:rsidRDefault="00C157EC" w:rsidP="00AC4F18">
            <w:pPr>
              <w:pStyle w:val="TableTextCentered"/>
            </w:pPr>
            <w:r w:rsidRPr="00807FB9">
              <w:t>65,514</w:t>
            </w:r>
          </w:p>
        </w:tc>
        <w:tc>
          <w:tcPr>
            <w:tcW w:w="963" w:type="pct"/>
            <w:tcBorders>
              <w:bottom w:val="single" w:sz="4" w:space="0" w:color="auto"/>
            </w:tcBorders>
          </w:tcPr>
          <w:p w:rsidR="00C157EC" w:rsidRPr="00BB79BA" w:rsidRDefault="00C157EC" w:rsidP="00AC4F18">
            <w:pPr>
              <w:pStyle w:val="TableTextCentered"/>
            </w:pPr>
            <w:r w:rsidRPr="00807FB9">
              <w:t>522</w:t>
            </w:r>
          </w:p>
        </w:tc>
        <w:tc>
          <w:tcPr>
            <w:tcW w:w="960" w:type="pct"/>
            <w:tcBorders>
              <w:bottom w:val="single" w:sz="4" w:space="0" w:color="auto"/>
            </w:tcBorders>
          </w:tcPr>
          <w:p w:rsidR="00C157EC" w:rsidRPr="00807FB9" w:rsidRDefault="00C157EC" w:rsidP="00AC4F18">
            <w:pPr>
              <w:pStyle w:val="TableTextCentered"/>
            </w:pPr>
            <w:r w:rsidRPr="00807FB9">
              <w:t>0.80%</w:t>
            </w:r>
          </w:p>
        </w:tc>
      </w:tr>
      <w:tr w:rsidR="00AC4F18" w:rsidRPr="00281889" w:rsidTr="002D6597">
        <w:tc>
          <w:tcPr>
            <w:tcW w:w="960" w:type="pct"/>
            <w:tcBorders>
              <w:bottom w:val="single" w:sz="4" w:space="0" w:color="auto"/>
            </w:tcBorders>
          </w:tcPr>
          <w:p w:rsidR="00C157EC" w:rsidRPr="00807FB9" w:rsidRDefault="00C157EC" w:rsidP="00BD18E1">
            <w:pPr>
              <w:pStyle w:val="TableText"/>
              <w:jc w:val="center"/>
            </w:pPr>
            <w:r w:rsidRPr="00807FB9">
              <w:t>201</w:t>
            </w:r>
            <w:r>
              <w:t>7–1</w:t>
            </w:r>
            <w:r w:rsidRPr="00807FB9">
              <w:t>8</w:t>
            </w:r>
          </w:p>
        </w:tc>
        <w:tc>
          <w:tcPr>
            <w:tcW w:w="1011" w:type="pct"/>
            <w:tcBorders>
              <w:bottom w:val="single" w:sz="4" w:space="0" w:color="auto"/>
            </w:tcBorders>
          </w:tcPr>
          <w:p w:rsidR="00C157EC" w:rsidRPr="00E12434" w:rsidRDefault="00C157EC" w:rsidP="00AC4F18">
            <w:pPr>
              <w:pStyle w:val="TableTextCentered"/>
            </w:pPr>
            <w:r w:rsidRPr="00807FB9">
              <w:t>65,970</w:t>
            </w:r>
          </w:p>
        </w:tc>
        <w:tc>
          <w:tcPr>
            <w:tcW w:w="1106" w:type="pct"/>
            <w:tcBorders>
              <w:bottom w:val="single" w:sz="4" w:space="0" w:color="auto"/>
            </w:tcBorders>
          </w:tcPr>
          <w:p w:rsidR="00C157EC" w:rsidRPr="00807FB9" w:rsidRDefault="00C157EC" w:rsidP="00AC4F18">
            <w:pPr>
              <w:pStyle w:val="TableTextCentered"/>
            </w:pPr>
            <w:r w:rsidRPr="00807FB9">
              <w:t>65,218</w:t>
            </w:r>
          </w:p>
        </w:tc>
        <w:tc>
          <w:tcPr>
            <w:tcW w:w="963" w:type="pct"/>
            <w:tcBorders>
              <w:bottom w:val="single" w:sz="4" w:space="0" w:color="auto"/>
            </w:tcBorders>
          </w:tcPr>
          <w:p w:rsidR="00C157EC" w:rsidRPr="00BB79BA" w:rsidRDefault="00C157EC" w:rsidP="00AC4F18">
            <w:pPr>
              <w:pStyle w:val="TableTextCentered"/>
            </w:pPr>
            <w:r w:rsidRPr="00807FB9">
              <w:t>752</w:t>
            </w:r>
          </w:p>
        </w:tc>
        <w:tc>
          <w:tcPr>
            <w:tcW w:w="960" w:type="pct"/>
            <w:tcBorders>
              <w:bottom w:val="single" w:sz="4" w:space="0" w:color="auto"/>
            </w:tcBorders>
          </w:tcPr>
          <w:p w:rsidR="00C157EC" w:rsidRPr="00807FB9" w:rsidRDefault="00C157EC" w:rsidP="00AC4F18">
            <w:pPr>
              <w:pStyle w:val="TableTextCentered"/>
            </w:pPr>
            <w:r w:rsidRPr="00807FB9">
              <w:t>1.15%</w:t>
            </w:r>
          </w:p>
        </w:tc>
      </w:tr>
      <w:tr w:rsidR="00AC4F18" w:rsidRPr="00281889" w:rsidTr="002D6597">
        <w:tc>
          <w:tcPr>
            <w:tcW w:w="960" w:type="pct"/>
            <w:tcBorders>
              <w:bottom w:val="single" w:sz="4" w:space="0" w:color="auto"/>
            </w:tcBorders>
          </w:tcPr>
          <w:p w:rsidR="00C157EC" w:rsidRPr="00807FB9" w:rsidRDefault="00C157EC" w:rsidP="00BD18E1">
            <w:pPr>
              <w:pStyle w:val="TableText"/>
              <w:jc w:val="center"/>
            </w:pPr>
            <w:r w:rsidRPr="00807FB9">
              <w:t>201</w:t>
            </w:r>
            <w:r>
              <w:t>8–1</w:t>
            </w:r>
            <w:r w:rsidRPr="00807FB9">
              <w:t>9</w:t>
            </w:r>
          </w:p>
        </w:tc>
        <w:tc>
          <w:tcPr>
            <w:tcW w:w="1011" w:type="pct"/>
            <w:tcBorders>
              <w:bottom w:val="single" w:sz="4" w:space="0" w:color="auto"/>
            </w:tcBorders>
          </w:tcPr>
          <w:p w:rsidR="00C157EC" w:rsidRPr="00E12434" w:rsidRDefault="00C157EC" w:rsidP="00AC4F18">
            <w:pPr>
              <w:pStyle w:val="TableTextCentered"/>
            </w:pPr>
            <w:r w:rsidRPr="00807FB9">
              <w:t>65,904</w:t>
            </w:r>
          </w:p>
        </w:tc>
        <w:tc>
          <w:tcPr>
            <w:tcW w:w="1106" w:type="pct"/>
            <w:tcBorders>
              <w:bottom w:val="single" w:sz="4" w:space="0" w:color="auto"/>
            </w:tcBorders>
          </w:tcPr>
          <w:p w:rsidR="00C157EC" w:rsidRPr="00807FB9" w:rsidRDefault="00C157EC" w:rsidP="00AC4F18">
            <w:pPr>
              <w:pStyle w:val="TableTextCentered"/>
            </w:pPr>
            <w:r w:rsidRPr="00807FB9">
              <w:t>64,824</w:t>
            </w:r>
          </w:p>
        </w:tc>
        <w:tc>
          <w:tcPr>
            <w:tcW w:w="963" w:type="pct"/>
            <w:tcBorders>
              <w:bottom w:val="single" w:sz="4" w:space="0" w:color="auto"/>
            </w:tcBorders>
          </w:tcPr>
          <w:p w:rsidR="00C157EC" w:rsidRPr="00BB79BA" w:rsidRDefault="00C157EC" w:rsidP="00AC4F18">
            <w:pPr>
              <w:pStyle w:val="TableTextCentered"/>
            </w:pPr>
            <w:r w:rsidRPr="00807FB9">
              <w:t>1,080</w:t>
            </w:r>
          </w:p>
        </w:tc>
        <w:tc>
          <w:tcPr>
            <w:tcW w:w="960" w:type="pct"/>
            <w:tcBorders>
              <w:bottom w:val="single" w:sz="4" w:space="0" w:color="auto"/>
            </w:tcBorders>
          </w:tcPr>
          <w:p w:rsidR="00C157EC" w:rsidRPr="00807FB9" w:rsidRDefault="00C157EC" w:rsidP="00AC4F18">
            <w:pPr>
              <w:pStyle w:val="TableTextCentered"/>
            </w:pPr>
            <w:r w:rsidRPr="00807FB9">
              <w:t>1.67%</w:t>
            </w:r>
          </w:p>
        </w:tc>
      </w:tr>
      <w:tr w:rsidR="00AC4F18" w:rsidRPr="00281889" w:rsidTr="002D6597">
        <w:tc>
          <w:tcPr>
            <w:tcW w:w="960" w:type="pct"/>
            <w:tcBorders>
              <w:bottom w:val="single" w:sz="4" w:space="0" w:color="auto"/>
            </w:tcBorders>
          </w:tcPr>
          <w:p w:rsidR="00C157EC" w:rsidRPr="00807FB9" w:rsidRDefault="00C157EC" w:rsidP="00BD18E1">
            <w:pPr>
              <w:pStyle w:val="TableText"/>
              <w:jc w:val="center"/>
            </w:pPr>
            <w:r w:rsidRPr="00807FB9">
              <w:t>20</w:t>
            </w:r>
            <w:r>
              <w:t>19–</w:t>
            </w:r>
            <w:r w:rsidRPr="00807FB9">
              <w:t>20</w:t>
            </w:r>
          </w:p>
        </w:tc>
        <w:tc>
          <w:tcPr>
            <w:tcW w:w="1011" w:type="pct"/>
            <w:tcBorders>
              <w:bottom w:val="single" w:sz="4" w:space="0" w:color="auto"/>
            </w:tcBorders>
          </w:tcPr>
          <w:p w:rsidR="00C157EC" w:rsidRPr="00E12434" w:rsidRDefault="00C157EC" w:rsidP="00AC4F18">
            <w:pPr>
              <w:pStyle w:val="TableTextCentered"/>
            </w:pPr>
            <w:r w:rsidRPr="00807FB9">
              <w:t>65,837</w:t>
            </w:r>
          </w:p>
        </w:tc>
        <w:tc>
          <w:tcPr>
            <w:tcW w:w="1106" w:type="pct"/>
            <w:tcBorders>
              <w:bottom w:val="single" w:sz="4" w:space="0" w:color="auto"/>
            </w:tcBorders>
          </w:tcPr>
          <w:p w:rsidR="00C157EC" w:rsidRPr="00807FB9" w:rsidRDefault="00C157EC" w:rsidP="00AC4F18">
            <w:pPr>
              <w:pStyle w:val="TableTextCentered"/>
            </w:pPr>
            <w:r w:rsidRPr="00807FB9">
              <w:t>64,467</w:t>
            </w:r>
          </w:p>
        </w:tc>
        <w:tc>
          <w:tcPr>
            <w:tcW w:w="963" w:type="pct"/>
            <w:tcBorders>
              <w:bottom w:val="single" w:sz="4" w:space="0" w:color="auto"/>
            </w:tcBorders>
          </w:tcPr>
          <w:p w:rsidR="00C157EC" w:rsidRPr="00BB79BA" w:rsidRDefault="00C157EC" w:rsidP="00AC4F18">
            <w:pPr>
              <w:pStyle w:val="TableTextCentered"/>
            </w:pPr>
            <w:r w:rsidRPr="00807FB9">
              <w:t>1,370</w:t>
            </w:r>
          </w:p>
        </w:tc>
        <w:tc>
          <w:tcPr>
            <w:tcW w:w="960" w:type="pct"/>
            <w:tcBorders>
              <w:bottom w:val="single" w:sz="4" w:space="0" w:color="auto"/>
            </w:tcBorders>
          </w:tcPr>
          <w:p w:rsidR="00C157EC" w:rsidRPr="00807FB9" w:rsidRDefault="00C157EC" w:rsidP="00AC4F18">
            <w:pPr>
              <w:pStyle w:val="TableTextCentered"/>
            </w:pPr>
            <w:r w:rsidRPr="00807FB9">
              <w:t>2.13%</w:t>
            </w:r>
          </w:p>
        </w:tc>
      </w:tr>
      <w:tr w:rsidR="00AC4F18" w:rsidRPr="00281889" w:rsidTr="002D6597">
        <w:tc>
          <w:tcPr>
            <w:tcW w:w="960" w:type="pct"/>
            <w:tcBorders>
              <w:bottom w:val="single" w:sz="4" w:space="0" w:color="auto"/>
            </w:tcBorders>
          </w:tcPr>
          <w:p w:rsidR="00C157EC" w:rsidRPr="00807FB9" w:rsidRDefault="00C157EC" w:rsidP="00BD18E1">
            <w:pPr>
              <w:pStyle w:val="TableText"/>
              <w:jc w:val="center"/>
            </w:pPr>
            <w:r w:rsidRPr="00807FB9">
              <w:t>202</w:t>
            </w:r>
            <w:r>
              <w:t>0–2</w:t>
            </w:r>
            <w:r w:rsidRPr="00807FB9">
              <w:t>1</w:t>
            </w:r>
          </w:p>
        </w:tc>
        <w:tc>
          <w:tcPr>
            <w:tcW w:w="1011" w:type="pct"/>
            <w:tcBorders>
              <w:bottom w:val="single" w:sz="4" w:space="0" w:color="auto"/>
            </w:tcBorders>
          </w:tcPr>
          <w:p w:rsidR="00C157EC" w:rsidRPr="00E12434" w:rsidRDefault="00C157EC" w:rsidP="00AC4F18">
            <w:pPr>
              <w:pStyle w:val="TableTextCentered"/>
            </w:pPr>
            <w:r w:rsidRPr="00807FB9">
              <w:t>65,771</w:t>
            </w:r>
          </w:p>
        </w:tc>
        <w:tc>
          <w:tcPr>
            <w:tcW w:w="1106" w:type="pct"/>
            <w:tcBorders>
              <w:bottom w:val="single" w:sz="4" w:space="0" w:color="auto"/>
            </w:tcBorders>
          </w:tcPr>
          <w:p w:rsidR="00C157EC" w:rsidRPr="00807FB9" w:rsidRDefault="00C157EC" w:rsidP="00AC4F18">
            <w:pPr>
              <w:pStyle w:val="TableTextCentered"/>
            </w:pPr>
            <w:r w:rsidRPr="00807FB9">
              <w:t>64,129</w:t>
            </w:r>
          </w:p>
        </w:tc>
        <w:tc>
          <w:tcPr>
            <w:tcW w:w="963" w:type="pct"/>
            <w:tcBorders>
              <w:bottom w:val="single" w:sz="4" w:space="0" w:color="auto"/>
            </w:tcBorders>
          </w:tcPr>
          <w:p w:rsidR="00C157EC" w:rsidRPr="00BB79BA" w:rsidRDefault="00C157EC" w:rsidP="00AC4F18">
            <w:pPr>
              <w:pStyle w:val="TableTextCentered"/>
            </w:pPr>
            <w:r w:rsidRPr="00807FB9">
              <w:t>1,642</w:t>
            </w:r>
          </w:p>
        </w:tc>
        <w:tc>
          <w:tcPr>
            <w:tcW w:w="960" w:type="pct"/>
            <w:tcBorders>
              <w:bottom w:val="single" w:sz="4" w:space="0" w:color="auto"/>
            </w:tcBorders>
          </w:tcPr>
          <w:p w:rsidR="00C157EC" w:rsidRPr="00807FB9" w:rsidRDefault="00C157EC" w:rsidP="00AC4F18">
            <w:pPr>
              <w:pStyle w:val="TableTextCentered"/>
            </w:pPr>
            <w:r w:rsidRPr="00807FB9">
              <w:t>2.56%</w:t>
            </w:r>
          </w:p>
        </w:tc>
      </w:tr>
      <w:tr w:rsidR="00AC4F18" w:rsidRPr="00281889" w:rsidTr="002D6597">
        <w:tc>
          <w:tcPr>
            <w:tcW w:w="960" w:type="pct"/>
            <w:tcBorders>
              <w:bottom w:val="single" w:sz="4" w:space="0" w:color="auto"/>
            </w:tcBorders>
          </w:tcPr>
          <w:p w:rsidR="00C157EC" w:rsidRPr="00807FB9" w:rsidRDefault="00C157EC" w:rsidP="00BD18E1">
            <w:pPr>
              <w:pStyle w:val="TableText"/>
              <w:jc w:val="center"/>
            </w:pPr>
            <w:r w:rsidRPr="00807FB9">
              <w:t>202</w:t>
            </w:r>
            <w:r>
              <w:t>1–2</w:t>
            </w:r>
            <w:r w:rsidRPr="00807FB9">
              <w:t>2</w:t>
            </w:r>
          </w:p>
        </w:tc>
        <w:tc>
          <w:tcPr>
            <w:tcW w:w="1011" w:type="pct"/>
            <w:tcBorders>
              <w:bottom w:val="single" w:sz="4" w:space="0" w:color="auto"/>
            </w:tcBorders>
          </w:tcPr>
          <w:p w:rsidR="00C157EC" w:rsidRPr="00E12434" w:rsidRDefault="00C157EC" w:rsidP="00AC4F18">
            <w:pPr>
              <w:pStyle w:val="TableTextCentered"/>
            </w:pPr>
            <w:r w:rsidRPr="00807FB9">
              <w:t>65,704</w:t>
            </w:r>
          </w:p>
        </w:tc>
        <w:tc>
          <w:tcPr>
            <w:tcW w:w="1106" w:type="pct"/>
            <w:tcBorders>
              <w:bottom w:val="single" w:sz="4" w:space="0" w:color="auto"/>
            </w:tcBorders>
          </w:tcPr>
          <w:p w:rsidR="00C157EC" w:rsidRPr="00807FB9" w:rsidRDefault="00C157EC" w:rsidP="00AC4F18">
            <w:pPr>
              <w:pStyle w:val="TableTextCentered"/>
            </w:pPr>
            <w:r w:rsidRPr="00807FB9">
              <w:t>63,733</w:t>
            </w:r>
          </w:p>
        </w:tc>
        <w:tc>
          <w:tcPr>
            <w:tcW w:w="963" w:type="pct"/>
            <w:tcBorders>
              <w:bottom w:val="single" w:sz="4" w:space="0" w:color="auto"/>
            </w:tcBorders>
          </w:tcPr>
          <w:p w:rsidR="00C157EC" w:rsidRPr="00BB79BA" w:rsidRDefault="00C157EC" w:rsidP="00AC4F18">
            <w:pPr>
              <w:pStyle w:val="TableTextCentered"/>
            </w:pPr>
            <w:r w:rsidRPr="00807FB9">
              <w:t>1,971</w:t>
            </w:r>
          </w:p>
        </w:tc>
        <w:tc>
          <w:tcPr>
            <w:tcW w:w="960" w:type="pct"/>
            <w:tcBorders>
              <w:bottom w:val="single" w:sz="4" w:space="0" w:color="auto"/>
            </w:tcBorders>
          </w:tcPr>
          <w:p w:rsidR="00C157EC" w:rsidRPr="00807FB9" w:rsidRDefault="00C157EC" w:rsidP="00AC4F18">
            <w:pPr>
              <w:pStyle w:val="TableTextCentered"/>
            </w:pPr>
            <w:r w:rsidRPr="00807FB9">
              <w:t>3.09%</w:t>
            </w:r>
          </w:p>
        </w:tc>
      </w:tr>
      <w:tr w:rsidR="00AC4F18" w:rsidRPr="00281889" w:rsidTr="002D6597">
        <w:tc>
          <w:tcPr>
            <w:tcW w:w="960" w:type="pct"/>
            <w:tcBorders>
              <w:bottom w:val="single" w:sz="4" w:space="0" w:color="auto"/>
            </w:tcBorders>
          </w:tcPr>
          <w:p w:rsidR="00C157EC" w:rsidRPr="00807FB9" w:rsidRDefault="00C157EC" w:rsidP="00BD18E1">
            <w:pPr>
              <w:pStyle w:val="TableText"/>
              <w:jc w:val="center"/>
            </w:pPr>
            <w:r w:rsidRPr="00807FB9">
              <w:t>202</w:t>
            </w:r>
            <w:r>
              <w:t>2–2</w:t>
            </w:r>
            <w:r w:rsidRPr="00807FB9">
              <w:t>3</w:t>
            </w:r>
          </w:p>
        </w:tc>
        <w:tc>
          <w:tcPr>
            <w:tcW w:w="1011" w:type="pct"/>
            <w:tcBorders>
              <w:bottom w:val="single" w:sz="4" w:space="0" w:color="auto"/>
            </w:tcBorders>
          </w:tcPr>
          <w:p w:rsidR="00C157EC" w:rsidRPr="00E12434" w:rsidRDefault="00C157EC" w:rsidP="00AC4F18">
            <w:pPr>
              <w:pStyle w:val="TableTextCentered"/>
            </w:pPr>
            <w:r w:rsidRPr="00807FB9">
              <w:t>65,638</w:t>
            </w:r>
          </w:p>
        </w:tc>
        <w:tc>
          <w:tcPr>
            <w:tcW w:w="1106" w:type="pct"/>
            <w:tcBorders>
              <w:bottom w:val="single" w:sz="4" w:space="0" w:color="auto"/>
            </w:tcBorders>
          </w:tcPr>
          <w:p w:rsidR="00C157EC" w:rsidRPr="00807FB9" w:rsidRDefault="00C157EC" w:rsidP="00AC4F18">
            <w:pPr>
              <w:pStyle w:val="TableTextCentered"/>
            </w:pPr>
            <w:r w:rsidRPr="00807FB9">
              <w:t>63,319</w:t>
            </w:r>
          </w:p>
        </w:tc>
        <w:tc>
          <w:tcPr>
            <w:tcW w:w="963" w:type="pct"/>
            <w:tcBorders>
              <w:bottom w:val="single" w:sz="4" w:space="0" w:color="auto"/>
            </w:tcBorders>
          </w:tcPr>
          <w:p w:rsidR="00C157EC" w:rsidRPr="00BB79BA" w:rsidRDefault="00C157EC" w:rsidP="00AC4F18">
            <w:pPr>
              <w:pStyle w:val="TableTextCentered"/>
            </w:pPr>
            <w:r w:rsidRPr="00807FB9">
              <w:t>2,319</w:t>
            </w:r>
          </w:p>
        </w:tc>
        <w:tc>
          <w:tcPr>
            <w:tcW w:w="960" w:type="pct"/>
            <w:tcBorders>
              <w:bottom w:val="single" w:sz="4" w:space="0" w:color="auto"/>
            </w:tcBorders>
          </w:tcPr>
          <w:p w:rsidR="00C157EC" w:rsidRPr="00807FB9" w:rsidRDefault="00C157EC" w:rsidP="00AC4F18">
            <w:pPr>
              <w:pStyle w:val="TableTextCentered"/>
            </w:pPr>
            <w:r w:rsidRPr="00807FB9">
              <w:t>3.66%</w:t>
            </w:r>
          </w:p>
        </w:tc>
      </w:tr>
      <w:tr w:rsidR="00C157EC" w:rsidRPr="00281889" w:rsidTr="002D6597">
        <w:tc>
          <w:tcPr>
            <w:tcW w:w="960" w:type="pct"/>
          </w:tcPr>
          <w:p w:rsidR="00C157EC" w:rsidRPr="00807FB9" w:rsidRDefault="00C157EC" w:rsidP="00BD18E1">
            <w:pPr>
              <w:pStyle w:val="TableText"/>
              <w:jc w:val="center"/>
            </w:pPr>
            <w:r w:rsidRPr="00807FB9">
              <w:t>202</w:t>
            </w:r>
            <w:r>
              <w:t>3–2</w:t>
            </w:r>
            <w:r w:rsidRPr="00807FB9">
              <w:t>4</w:t>
            </w:r>
          </w:p>
        </w:tc>
        <w:tc>
          <w:tcPr>
            <w:tcW w:w="1011" w:type="pct"/>
          </w:tcPr>
          <w:p w:rsidR="00C157EC" w:rsidRPr="00E12434" w:rsidRDefault="00C157EC" w:rsidP="00AC4F18">
            <w:pPr>
              <w:pStyle w:val="TableTextCentered"/>
            </w:pPr>
            <w:r w:rsidRPr="00807FB9">
              <w:t>65,572</w:t>
            </w:r>
          </w:p>
        </w:tc>
        <w:tc>
          <w:tcPr>
            <w:tcW w:w="1106" w:type="pct"/>
          </w:tcPr>
          <w:p w:rsidR="00C157EC" w:rsidRPr="00807FB9" w:rsidRDefault="00C157EC" w:rsidP="00AC4F18">
            <w:pPr>
              <w:pStyle w:val="TableTextCentered"/>
            </w:pPr>
            <w:r w:rsidRPr="00807FB9">
              <w:t>62,895</w:t>
            </w:r>
          </w:p>
        </w:tc>
        <w:tc>
          <w:tcPr>
            <w:tcW w:w="963" w:type="pct"/>
          </w:tcPr>
          <w:p w:rsidR="00C157EC" w:rsidRPr="00BB79BA" w:rsidRDefault="00C157EC" w:rsidP="00AC4F18">
            <w:pPr>
              <w:pStyle w:val="TableTextCentered"/>
            </w:pPr>
            <w:r w:rsidRPr="00807FB9">
              <w:t>2,677</w:t>
            </w:r>
          </w:p>
        </w:tc>
        <w:tc>
          <w:tcPr>
            <w:tcW w:w="960" w:type="pct"/>
          </w:tcPr>
          <w:p w:rsidR="00C157EC" w:rsidRPr="00807FB9" w:rsidRDefault="00C157EC" w:rsidP="00AC4F18">
            <w:pPr>
              <w:pStyle w:val="TableTextCentered"/>
            </w:pPr>
            <w:r w:rsidRPr="00807FB9">
              <w:t>4.26%</w:t>
            </w:r>
          </w:p>
        </w:tc>
      </w:tr>
    </w:tbl>
    <w:p w:rsidR="00C157EC" w:rsidRPr="00CC4696" w:rsidRDefault="00C157EC" w:rsidP="00AC4F18">
      <w:pPr>
        <w:pStyle w:val="FigureTitle"/>
      </w:pPr>
      <w:proofErr w:type="gramStart"/>
      <w:r>
        <w:t>Figure 11.</w:t>
      </w:r>
      <w:proofErr w:type="gramEnd"/>
      <w:r>
        <w:t xml:space="preserve"> Historical and Projected Statewide Supply and Demand </w:t>
      </w:r>
      <w:r w:rsidR="00AB1442">
        <w:t xml:space="preserve">for Teachers </w:t>
      </w:r>
      <w:r>
        <w:t>in Terms of FTEs</w:t>
      </w:r>
      <w:r w:rsidR="00E80E14">
        <w:t>,</w:t>
      </w:r>
      <w:r>
        <w:t xml:space="preserve"> 2008</w:t>
      </w:r>
      <w:r w:rsidRPr="00711F90">
        <w:t>–</w:t>
      </w:r>
      <w:r>
        <w:t>09</w:t>
      </w:r>
      <w:r w:rsidR="0092042A">
        <w:t xml:space="preserve"> </w:t>
      </w:r>
      <w:proofErr w:type="gramStart"/>
      <w:r w:rsidR="0092042A">
        <w:t>Through</w:t>
      </w:r>
      <w:proofErr w:type="gramEnd"/>
      <w:r w:rsidR="0092042A">
        <w:t xml:space="preserve"> </w:t>
      </w:r>
      <w:r>
        <w:t>2023</w:t>
      </w:r>
      <w:r w:rsidRPr="00711F90">
        <w:t>–</w:t>
      </w:r>
      <w:r>
        <w:t>24</w:t>
      </w:r>
    </w:p>
    <w:p w:rsidR="00C157EC" w:rsidRDefault="00C157EC" w:rsidP="00AC4F18">
      <w:pPr>
        <w:pStyle w:val="FigurePlacement"/>
      </w:pPr>
      <w:r w:rsidRPr="008638A1">
        <w:rPr>
          <w:noProof/>
          <w:lang w:eastAsia="zh-CN" w:bidi="km-KH"/>
        </w:rPr>
        <w:drawing>
          <wp:inline distT="0" distB="0" distL="0" distR="0">
            <wp:extent cx="5634153" cy="3657600"/>
            <wp:effectExtent l="19050" t="0" r="4647" b="0"/>
            <wp:docPr id="232" name="Picture 232" descr="In an effort to determine whether statewide shortages or surpluses of teachers are expected, the AIR research team compared the aggregate supply and demand projections, displayed in Table 4 and Figure 11. The findings suggest that it should expected to see a surplus of overall teacher FTEs on the order of 228 (or 0.35 percent in relative terms) starting in 2015–16, which will steadily increase to 2,677 FTEs (or 4.26 percent in relative terms) by 2023–24.&#10;&#10;Figure 11. Historical and Projected Statewide Supply and Demand for Teachers in Terms of FTEs, 2008–09 Through 2023–2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72" t="47446" r="2278" b="3298"/>
                    <a:stretch/>
                  </pic:blipFill>
                  <pic:spPr bwMode="auto">
                    <a:xfrm>
                      <a:off x="0" y="0"/>
                      <a:ext cx="5634153"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AC4F18">
      <w:pPr>
        <w:pStyle w:val="BodyText"/>
      </w:pPr>
      <w:r>
        <w:t>These results suggest that the state will experience a statewide surplus of teachers over most of the next 10 years, which may be encouraging to policymakers. However, it is important to bear in mind that these reported trends</w:t>
      </w:r>
      <w:r w:rsidRPr="00227843">
        <w:t xml:space="preserve"> </w:t>
      </w:r>
      <w:r>
        <w:t>in demand and supply are</w:t>
      </w:r>
      <w:r w:rsidRPr="00227843">
        <w:t xml:space="preserve"> an aggregate of many varied trends at the district level.</w:t>
      </w:r>
      <w:r>
        <w:t xml:space="preserve"> There may, in fact, still be inequitable access to teachers in specific districts, and while surpluses may be clustered in particular districts, others may face shortages. This question may be partially answered with the results from Research Question 5, which examines these trends by DSAC regions, locales, areas surrounding the </w:t>
      </w:r>
      <w:r w:rsidR="003F4F9F">
        <w:t xml:space="preserve">SOs </w:t>
      </w:r>
      <w:r>
        <w:t>(which are the largest producers of newly prepared teachers), and major metropolitan areas.</w:t>
      </w:r>
    </w:p>
    <w:p w:rsidR="00C157EC" w:rsidRDefault="00C157EC" w:rsidP="00C157EC">
      <w:pPr>
        <w:pStyle w:val="Heading3"/>
      </w:pPr>
      <w:bookmarkStart w:id="75" w:name="_Toc435461172"/>
      <w:bookmarkStart w:id="76" w:name="_Toc435784248"/>
      <w:bookmarkStart w:id="77" w:name="_Toc436724293"/>
      <w:bookmarkStart w:id="78" w:name="_Toc437284992"/>
      <w:r>
        <w:t>Research Question</w:t>
      </w:r>
      <w:r w:rsidRPr="00336754">
        <w:t xml:space="preserve"> 3: Detailed </w:t>
      </w:r>
      <w:r>
        <w:t xml:space="preserve">Supply and Demand </w:t>
      </w:r>
      <w:r w:rsidRPr="00336754">
        <w:t xml:space="preserve">Projections by </w:t>
      </w:r>
      <w:r>
        <w:t>Program</w:t>
      </w:r>
      <w:r w:rsidRPr="00336754">
        <w:t xml:space="preserve"> Area</w:t>
      </w:r>
      <w:bookmarkEnd w:id="75"/>
      <w:bookmarkEnd w:id="76"/>
      <w:bookmarkEnd w:id="77"/>
      <w:bookmarkEnd w:id="78"/>
    </w:p>
    <w:p w:rsidR="00C157EC" w:rsidRPr="00AC4F18" w:rsidRDefault="00C157EC" w:rsidP="00AC4F18">
      <w:pPr>
        <w:pStyle w:val="BodyText"/>
        <w:rPr>
          <w:i/>
        </w:rPr>
      </w:pPr>
      <w:r w:rsidRPr="00AC4F18">
        <w:rPr>
          <w:i/>
        </w:rPr>
        <w:t>What are the projections for the annual supply and demand of teachers in Massachusetts for the next 10 years by program area?</w:t>
      </w:r>
    </w:p>
    <w:p w:rsidR="00C157EC" w:rsidRDefault="00C157EC" w:rsidP="00AC4F18">
      <w:pPr>
        <w:pStyle w:val="BodyText"/>
      </w:pPr>
      <w:r>
        <w:t>While considering demand and supply projections in the aggregate can be a valuable overall gauge of potential teacher shortages or surpluses, it can also mask different demand and supply trends that exist across a variety of categories of teachers. To illuminate this potential variation, for Research Question 3, the AIR research team considered how these trends in demand and supply vary for teachers in different program areas.</w:t>
      </w:r>
      <w:r w:rsidRPr="005A4F4F">
        <w:rPr>
          <w:rStyle w:val="FootnoteReference"/>
        </w:rPr>
        <w:t xml:space="preserve"> </w:t>
      </w:r>
    </w:p>
    <w:p w:rsidR="00C157EC" w:rsidRDefault="00C157EC" w:rsidP="00AC4F18">
      <w:pPr>
        <w:pStyle w:val="BodyText"/>
      </w:pPr>
      <w:r>
        <w:t xml:space="preserve">In particular, </w:t>
      </w:r>
      <w:r w:rsidR="00545090">
        <w:t xml:space="preserve">we estimated </w:t>
      </w:r>
      <w:r w:rsidR="00FF447D">
        <w:t xml:space="preserve">the </w:t>
      </w:r>
      <w:r>
        <w:t>projected demand for teachers in general education (</w:t>
      </w:r>
      <w:proofErr w:type="spellStart"/>
      <w:r>
        <w:t>GenED</w:t>
      </w:r>
      <w:proofErr w:type="spellEnd"/>
      <w:r>
        <w:t>), special education (SPED), career</w:t>
      </w:r>
      <w:r w:rsidR="00FF447D">
        <w:t>/</w:t>
      </w:r>
      <w:r w:rsidR="00545090">
        <w:t>vocational</w:t>
      </w:r>
      <w:r w:rsidR="00FF447D">
        <w:t>/</w:t>
      </w:r>
      <w:r>
        <w:t xml:space="preserve">technical education (CTE), and English language learner </w:t>
      </w:r>
      <w:r w:rsidR="00545090">
        <w:t xml:space="preserve">education </w:t>
      </w:r>
      <w:r>
        <w:t>(ELL)</w:t>
      </w:r>
      <w:r w:rsidR="00FF447D">
        <w:t>, respectively</w:t>
      </w:r>
      <w:r>
        <w:t>. This section reports on key findings from these analyses, including projected future trends in demand, as well as projections over time for SPED and ELL teachers.</w:t>
      </w:r>
    </w:p>
    <w:p w:rsidR="00C157EC" w:rsidRPr="00917161" w:rsidRDefault="00C157EC" w:rsidP="00AC4F18">
      <w:pPr>
        <w:pStyle w:val="BodyText"/>
      </w:pPr>
      <w:r>
        <w:t>The AIR research team also estimated supply for teachers in each program area; this section reports on projected future trends in supply over time.</w:t>
      </w:r>
      <w:r>
        <w:rPr>
          <w:rStyle w:val="FootnoteReference"/>
        </w:rPr>
        <w:footnoteReference w:id="16"/>
      </w:r>
      <w:r>
        <w:t xml:space="preserve"> In addition, this section reports on the comparison of demand and supply by program area, including program areas expected to experience surpluses and shortages. Finally, there are reports on the validity of these results based on a comparison of actual and projected values created with historical data, and a review of the 95 percent confidence intervals surrounding the regression-based estimates of the team’s projections.</w:t>
      </w:r>
      <w:r>
        <w:rPr>
          <w:rStyle w:val="FootnoteReference"/>
        </w:rPr>
        <w:footnoteReference w:id="17"/>
      </w:r>
    </w:p>
    <w:p w:rsidR="00C157EC" w:rsidRDefault="00C157EC" w:rsidP="00AC4F18">
      <w:pPr>
        <w:pStyle w:val="Heading4"/>
      </w:pPr>
      <w:bookmarkStart w:id="79" w:name="_Toc435461173"/>
      <w:bookmarkStart w:id="80" w:name="_Toc435784249"/>
      <w:r>
        <w:t>Demand Projections by Program Area</w:t>
      </w:r>
      <w:bookmarkEnd w:id="79"/>
      <w:bookmarkEnd w:id="80"/>
    </w:p>
    <w:p w:rsidR="00C157EC" w:rsidRPr="00077D8D" w:rsidRDefault="00C157EC" w:rsidP="00AC4F18">
      <w:pPr>
        <w:pStyle w:val="BodyText"/>
      </w:pPr>
      <w:r>
        <w:t>The AIR team first estimated demand projections by program area. Table 5 displays the average projected percent change in statewide demand for each program area between 2013–14 and 2023–24, and the overall projected percent and absolute changes over this same time period. As is shown in the table, AIR projects that demand will decline for all four program areas, following the aggregate trend, though there is variation in the magnitude of the projected decline across the areas. For example, demand for CTE teachers</w:t>
      </w:r>
      <w:r>
        <w:rPr>
          <w:rStyle w:val="FootnoteReference"/>
        </w:rPr>
        <w:footnoteReference w:id="18"/>
      </w:r>
      <w:r>
        <w:t xml:space="preserve"> is expected to decline the most in relative terms, dropping by 19.</w:t>
      </w:r>
      <w:r w:rsidR="00F311C7">
        <w:t>1</w:t>
      </w:r>
      <w:r w:rsidR="00546098">
        <w:t>0</w:t>
      </w:r>
      <w:r>
        <w:t xml:space="preserve"> percent in total over this time period, while demand for </w:t>
      </w:r>
      <w:proofErr w:type="spellStart"/>
      <w:r>
        <w:t>GenED</w:t>
      </w:r>
      <w:proofErr w:type="spellEnd"/>
      <w:r>
        <w:t xml:space="preserve"> teachers is only projected to decline </w:t>
      </w:r>
      <w:r w:rsidR="00546098">
        <w:t xml:space="preserve">by </w:t>
      </w:r>
      <w:r>
        <w:t>3.</w:t>
      </w:r>
      <w:r w:rsidR="00F311C7">
        <w:t>83</w:t>
      </w:r>
      <w:r>
        <w:t xml:space="preserve"> percent. It may be useful to keep in mind differences in the number of teachers in each program area. For example, though </w:t>
      </w:r>
      <w:proofErr w:type="spellStart"/>
      <w:r>
        <w:t>GenED</w:t>
      </w:r>
      <w:proofErr w:type="spellEnd"/>
      <w:r>
        <w:t xml:space="preserve"> teacher demand is expected to decline</w:t>
      </w:r>
      <w:r w:rsidR="00546098">
        <w:t xml:space="preserve"> far less</w:t>
      </w:r>
      <w:r>
        <w:t xml:space="preserve"> in relative terms than SPED teacher demand, in </w:t>
      </w:r>
      <w:r>
        <w:rPr>
          <w:i/>
        </w:rPr>
        <w:t>absolute</w:t>
      </w:r>
      <w:r>
        <w:t xml:space="preserve"> terms the declines are </w:t>
      </w:r>
      <w:r w:rsidR="00546098">
        <w:t xml:space="preserve">larger for </w:t>
      </w:r>
      <w:proofErr w:type="spellStart"/>
      <w:r w:rsidR="00546098">
        <w:t>GenED</w:t>
      </w:r>
      <w:proofErr w:type="spellEnd"/>
      <w:r w:rsidR="00546098">
        <w:t xml:space="preserve"> versus SPED </w:t>
      </w:r>
      <w:r>
        <w:t>(</w:t>
      </w:r>
      <w:r w:rsidR="00C15C7C">
        <w:t>2,101 and 1,173</w:t>
      </w:r>
      <w:r>
        <w:t>, respectively).</w:t>
      </w:r>
    </w:p>
    <w:p w:rsidR="00C157EC" w:rsidRDefault="00C157EC" w:rsidP="00AC4F18">
      <w:pPr>
        <w:pStyle w:val="TableTitle"/>
      </w:pPr>
      <w:proofErr w:type="gramStart"/>
      <w:r>
        <w:t>Table 5</w:t>
      </w:r>
      <w:r w:rsidRPr="000331C5">
        <w:t>.</w:t>
      </w:r>
      <w:proofErr w:type="gramEnd"/>
      <w:r>
        <w:t xml:space="preserve"> </w:t>
      </w:r>
      <w:r w:rsidRPr="002B58FC">
        <w:t xml:space="preserve">Projected Percent </w:t>
      </w:r>
      <w:r>
        <w:t xml:space="preserve">and Absolute </w:t>
      </w:r>
      <w:r w:rsidRPr="002B58FC">
        <w:t xml:space="preserve">Changes in Statewide </w:t>
      </w:r>
      <w:r>
        <w:t>Demand by Program Area,</w:t>
      </w:r>
      <w:r w:rsidRPr="002B58FC">
        <w:t xml:space="preserve"> </w:t>
      </w:r>
      <w:r>
        <w:t>2014–15</w:t>
      </w:r>
      <w:r w:rsidR="0092042A">
        <w:t xml:space="preserve"> </w:t>
      </w:r>
      <w:proofErr w:type="gramStart"/>
      <w:r w:rsidR="0092042A">
        <w:t>Through</w:t>
      </w:r>
      <w:proofErr w:type="gramEnd"/>
      <w:r w:rsidR="0092042A">
        <w:t xml:space="preserve"> </w:t>
      </w:r>
      <w:r>
        <w:t>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85"/>
        <w:gridCol w:w="2633"/>
        <w:gridCol w:w="1939"/>
        <w:gridCol w:w="1933"/>
      </w:tblGrid>
      <w:tr w:rsidR="00BD18E1" w:rsidRPr="00B1225A" w:rsidTr="00854E4E">
        <w:trPr>
          <w:cnfStyle w:val="100000000000"/>
        </w:trPr>
        <w:tc>
          <w:tcPr>
            <w:tcW w:w="1608" w:type="pct"/>
            <w:tcBorders>
              <w:bottom w:val="single" w:sz="4" w:space="0" w:color="auto"/>
            </w:tcBorders>
          </w:tcPr>
          <w:p w:rsidR="00BD18E1" w:rsidRPr="00807FB9" w:rsidRDefault="00BD18E1" w:rsidP="00BD18E1">
            <w:pPr>
              <w:pStyle w:val="TableText"/>
              <w:jc w:val="center"/>
            </w:pPr>
            <w:r>
              <w:t>Program Area</w:t>
            </w:r>
          </w:p>
        </w:tc>
        <w:tc>
          <w:tcPr>
            <w:tcW w:w="1373" w:type="pct"/>
            <w:tcBorders>
              <w:bottom w:val="single" w:sz="4" w:space="0" w:color="auto"/>
            </w:tcBorders>
          </w:tcPr>
          <w:p w:rsidR="00BD18E1" w:rsidRPr="00807FB9" w:rsidRDefault="00BD18E1" w:rsidP="00AC4F18">
            <w:pPr>
              <w:pStyle w:val="TableTextCentered"/>
            </w:pPr>
            <w:r>
              <w:t>A</w:t>
            </w:r>
            <w:r w:rsidRPr="00C20B19">
              <w:t xml:space="preserve">verage </w:t>
            </w:r>
            <w:r>
              <w:t>Annual Percent</w:t>
            </w:r>
            <w:r w:rsidRPr="00C20B19">
              <w:t xml:space="preserve"> </w:t>
            </w:r>
            <w:r>
              <w:t>C</w:t>
            </w:r>
            <w:r w:rsidRPr="00C20B19">
              <w:t>hange</w:t>
            </w:r>
            <w:r>
              <w:t xml:space="preserve"> </w:t>
            </w:r>
            <w:r w:rsidRPr="00C20B19">
              <w:t>201</w:t>
            </w:r>
            <w:r>
              <w:t>3–</w:t>
            </w:r>
            <w:r w:rsidRPr="00C20B19">
              <w:t>1</w:t>
            </w:r>
            <w:r>
              <w:t>4</w:t>
            </w:r>
            <w:r w:rsidR="0092042A">
              <w:t xml:space="preserve"> Through </w:t>
            </w:r>
            <w:r w:rsidRPr="00C20B19">
              <w:t>2023</w:t>
            </w:r>
            <w:r>
              <w:t>–</w:t>
            </w:r>
            <w:r w:rsidRPr="00C20B19">
              <w:t>24</w:t>
            </w:r>
          </w:p>
        </w:tc>
        <w:tc>
          <w:tcPr>
            <w:tcW w:w="1011" w:type="pct"/>
            <w:tcBorders>
              <w:bottom w:val="single" w:sz="4" w:space="0" w:color="auto"/>
            </w:tcBorders>
          </w:tcPr>
          <w:p w:rsidR="00BD18E1" w:rsidRPr="00807FB9" w:rsidRDefault="00BD18E1" w:rsidP="00E80E14">
            <w:pPr>
              <w:pStyle w:val="TableTextCentered"/>
            </w:pPr>
            <w:r>
              <w:t>O</w:t>
            </w:r>
            <w:r w:rsidRPr="00C20B19">
              <w:t xml:space="preserve">verall </w:t>
            </w:r>
            <w:r>
              <w:t>Percent</w:t>
            </w:r>
            <w:r w:rsidRPr="00C20B19">
              <w:t xml:space="preserve"> </w:t>
            </w:r>
            <w:r>
              <w:t>C</w:t>
            </w:r>
            <w:r w:rsidRPr="00C20B19">
              <w:t>hange 201</w:t>
            </w:r>
            <w:r>
              <w:t>3–</w:t>
            </w:r>
            <w:r w:rsidRPr="00C20B19">
              <w:t>1</w:t>
            </w:r>
            <w:r>
              <w:t>4</w:t>
            </w:r>
            <w:r w:rsidR="0092042A">
              <w:t xml:space="preserve"> Through </w:t>
            </w:r>
            <w:r w:rsidRPr="00C20B19">
              <w:t>2023</w:t>
            </w:r>
            <w:r>
              <w:t>–</w:t>
            </w:r>
            <w:r w:rsidRPr="00C20B19">
              <w:t>24</w:t>
            </w:r>
          </w:p>
        </w:tc>
        <w:tc>
          <w:tcPr>
            <w:tcW w:w="1008" w:type="pct"/>
            <w:tcBorders>
              <w:bottom w:val="single" w:sz="4" w:space="0" w:color="auto"/>
            </w:tcBorders>
          </w:tcPr>
          <w:p w:rsidR="00BD18E1" w:rsidRPr="00807FB9" w:rsidRDefault="00BD18E1" w:rsidP="00AC4F18">
            <w:pPr>
              <w:pStyle w:val="TableTextCentered"/>
            </w:pPr>
            <w:r>
              <w:t>O</w:t>
            </w:r>
            <w:r w:rsidRPr="00C20B19">
              <w:t xml:space="preserve">verall </w:t>
            </w:r>
            <w:r>
              <w:t>A</w:t>
            </w:r>
            <w:r w:rsidRPr="00C20B19">
              <w:t xml:space="preserve">bsolute </w:t>
            </w:r>
            <w:r>
              <w:t>C</w:t>
            </w:r>
            <w:r w:rsidRPr="00C20B19">
              <w:t>hange</w:t>
            </w:r>
            <w:r>
              <w:t xml:space="preserve"> </w:t>
            </w:r>
            <w:r w:rsidRPr="00C20B19">
              <w:t>201</w:t>
            </w:r>
            <w:r>
              <w:t>3–</w:t>
            </w:r>
            <w:r w:rsidRPr="00C20B19">
              <w:t>1</w:t>
            </w:r>
            <w:r>
              <w:t>4</w:t>
            </w:r>
            <w:r w:rsidR="0092042A">
              <w:t xml:space="preserve"> Through </w:t>
            </w:r>
            <w:r w:rsidRPr="00C20B19">
              <w:t>2023</w:t>
            </w:r>
            <w:r>
              <w:t>–</w:t>
            </w:r>
            <w:r w:rsidRPr="00C20B19">
              <w:t>24</w:t>
            </w:r>
          </w:p>
        </w:tc>
      </w:tr>
      <w:tr w:rsidR="00BD18E1" w:rsidRPr="00B1225A" w:rsidTr="00854E4E">
        <w:tc>
          <w:tcPr>
            <w:tcW w:w="1608" w:type="pct"/>
            <w:tcBorders>
              <w:bottom w:val="single" w:sz="4" w:space="0" w:color="auto"/>
            </w:tcBorders>
          </w:tcPr>
          <w:p w:rsidR="00BD18E1" w:rsidRPr="00807FB9" w:rsidRDefault="00BD18E1" w:rsidP="00BD18E1">
            <w:pPr>
              <w:pStyle w:val="TableText"/>
              <w:jc w:val="center"/>
            </w:pPr>
            <w:r w:rsidRPr="00807FB9">
              <w:t>General Education</w:t>
            </w:r>
          </w:p>
        </w:tc>
        <w:tc>
          <w:tcPr>
            <w:tcW w:w="1373" w:type="pct"/>
            <w:tcBorders>
              <w:bottom w:val="single" w:sz="4" w:space="0" w:color="auto"/>
            </w:tcBorders>
            <w:vAlign w:val="top"/>
          </w:tcPr>
          <w:p w:rsidR="00BD18E1" w:rsidRPr="00807FB9" w:rsidRDefault="00BD18E1" w:rsidP="00C15C7C">
            <w:pPr>
              <w:pStyle w:val="TableTextCentered"/>
            </w:pPr>
            <w:r w:rsidRPr="00D75B45">
              <w:t>-</w:t>
            </w:r>
            <w:r>
              <w:t>0</w:t>
            </w:r>
            <w:r w:rsidRPr="00D75B45">
              <w:t>.39</w:t>
            </w:r>
            <w:r>
              <w:t>%</w:t>
            </w:r>
          </w:p>
        </w:tc>
        <w:tc>
          <w:tcPr>
            <w:tcW w:w="1011" w:type="pct"/>
            <w:tcBorders>
              <w:bottom w:val="single" w:sz="4" w:space="0" w:color="auto"/>
            </w:tcBorders>
            <w:vAlign w:val="top"/>
          </w:tcPr>
          <w:p w:rsidR="00BD18E1" w:rsidRPr="00807FB9" w:rsidRDefault="00BD18E1" w:rsidP="00C15C7C">
            <w:pPr>
              <w:pStyle w:val="TableTextCentered"/>
            </w:pPr>
            <w:r w:rsidRPr="00D75B45">
              <w:t>-3.83</w:t>
            </w:r>
            <w:r>
              <w:t>%</w:t>
            </w:r>
          </w:p>
        </w:tc>
        <w:tc>
          <w:tcPr>
            <w:tcW w:w="1008" w:type="pct"/>
            <w:tcBorders>
              <w:bottom w:val="single" w:sz="4" w:space="0" w:color="auto"/>
            </w:tcBorders>
            <w:vAlign w:val="top"/>
          </w:tcPr>
          <w:p w:rsidR="00BD18E1" w:rsidRPr="00807FB9" w:rsidRDefault="00BD18E1" w:rsidP="00C15C7C">
            <w:pPr>
              <w:pStyle w:val="TableTextCentered"/>
            </w:pPr>
            <w:r w:rsidRPr="00D75B45">
              <w:t>-2,101</w:t>
            </w:r>
          </w:p>
        </w:tc>
      </w:tr>
      <w:tr w:rsidR="00BD18E1" w:rsidRPr="00B1225A" w:rsidTr="00854E4E">
        <w:tc>
          <w:tcPr>
            <w:tcW w:w="1608" w:type="pct"/>
            <w:tcBorders>
              <w:bottom w:val="single" w:sz="4" w:space="0" w:color="auto"/>
            </w:tcBorders>
          </w:tcPr>
          <w:p w:rsidR="00BD18E1" w:rsidRPr="00807FB9" w:rsidRDefault="00BD18E1" w:rsidP="00BD18E1">
            <w:pPr>
              <w:pStyle w:val="TableText"/>
              <w:jc w:val="center"/>
            </w:pPr>
            <w:r w:rsidRPr="00807FB9">
              <w:t>Special Education</w:t>
            </w:r>
          </w:p>
        </w:tc>
        <w:tc>
          <w:tcPr>
            <w:tcW w:w="1373" w:type="pct"/>
            <w:tcBorders>
              <w:bottom w:val="single" w:sz="4" w:space="0" w:color="auto"/>
            </w:tcBorders>
            <w:vAlign w:val="top"/>
          </w:tcPr>
          <w:p w:rsidR="00BD18E1" w:rsidRPr="00807FB9" w:rsidRDefault="00BD18E1" w:rsidP="00C15C7C">
            <w:pPr>
              <w:pStyle w:val="TableTextCentered"/>
            </w:pPr>
            <w:r w:rsidRPr="00D75B45">
              <w:t>-1.48</w:t>
            </w:r>
            <w:r>
              <w:t>%</w:t>
            </w:r>
          </w:p>
        </w:tc>
        <w:tc>
          <w:tcPr>
            <w:tcW w:w="1011" w:type="pct"/>
            <w:tcBorders>
              <w:bottom w:val="single" w:sz="4" w:space="0" w:color="auto"/>
            </w:tcBorders>
            <w:vAlign w:val="top"/>
          </w:tcPr>
          <w:p w:rsidR="00BD18E1" w:rsidRPr="00807FB9" w:rsidRDefault="00BD18E1" w:rsidP="00C15C7C">
            <w:pPr>
              <w:pStyle w:val="TableTextCentered"/>
            </w:pPr>
            <w:r w:rsidRPr="00D75B45">
              <w:t>-13.91</w:t>
            </w:r>
            <w:r>
              <w:t>%</w:t>
            </w:r>
          </w:p>
        </w:tc>
        <w:tc>
          <w:tcPr>
            <w:tcW w:w="1008" w:type="pct"/>
            <w:tcBorders>
              <w:bottom w:val="single" w:sz="4" w:space="0" w:color="auto"/>
            </w:tcBorders>
            <w:vAlign w:val="top"/>
          </w:tcPr>
          <w:p w:rsidR="00BD18E1" w:rsidRPr="00807FB9" w:rsidRDefault="00BD18E1" w:rsidP="00C15C7C">
            <w:pPr>
              <w:pStyle w:val="TableTextCentered"/>
            </w:pPr>
            <w:r w:rsidRPr="00D75B45">
              <w:t>-1,173</w:t>
            </w:r>
          </w:p>
        </w:tc>
      </w:tr>
      <w:tr w:rsidR="00BD18E1" w:rsidRPr="00C20B19" w:rsidTr="00854E4E">
        <w:tc>
          <w:tcPr>
            <w:tcW w:w="1608" w:type="pct"/>
            <w:tcBorders>
              <w:bottom w:val="single" w:sz="4" w:space="0" w:color="auto"/>
            </w:tcBorders>
          </w:tcPr>
          <w:p w:rsidR="00BD18E1" w:rsidRPr="00C20B19" w:rsidRDefault="00BD18E1" w:rsidP="00BD18E1">
            <w:pPr>
              <w:pStyle w:val="TableText"/>
              <w:jc w:val="center"/>
            </w:pPr>
            <w:r w:rsidRPr="00C20B19">
              <w:t>English Language Learners</w:t>
            </w:r>
          </w:p>
        </w:tc>
        <w:tc>
          <w:tcPr>
            <w:tcW w:w="1373" w:type="pct"/>
            <w:tcBorders>
              <w:bottom w:val="single" w:sz="4" w:space="0" w:color="auto"/>
            </w:tcBorders>
          </w:tcPr>
          <w:p w:rsidR="00BD18E1" w:rsidRPr="00C15C7C" w:rsidRDefault="00BD18E1" w:rsidP="00C15C7C">
            <w:pPr>
              <w:pStyle w:val="TableTextCentered"/>
              <w:rPr>
                <w:rFonts w:cstheme="majorHAnsi"/>
              </w:rPr>
            </w:pPr>
            <w:r w:rsidRPr="00A46F58">
              <w:rPr>
                <w:rFonts w:cstheme="majorHAnsi"/>
              </w:rPr>
              <w:t>-1.37</w:t>
            </w:r>
            <w:r>
              <w:rPr>
                <w:rFonts w:cstheme="majorHAnsi"/>
              </w:rPr>
              <w:t>%</w:t>
            </w:r>
          </w:p>
        </w:tc>
        <w:tc>
          <w:tcPr>
            <w:tcW w:w="1011" w:type="pct"/>
            <w:tcBorders>
              <w:bottom w:val="single" w:sz="4" w:space="0" w:color="auto"/>
            </w:tcBorders>
          </w:tcPr>
          <w:p w:rsidR="00BD18E1" w:rsidRPr="00C15C7C" w:rsidRDefault="00BD18E1" w:rsidP="00C15C7C">
            <w:pPr>
              <w:pStyle w:val="TableTextCentered"/>
              <w:rPr>
                <w:rFonts w:cstheme="majorHAnsi"/>
              </w:rPr>
            </w:pPr>
            <w:r w:rsidRPr="00A46F58">
              <w:rPr>
                <w:rFonts w:cstheme="majorHAnsi"/>
              </w:rPr>
              <w:t>-12.91</w:t>
            </w:r>
            <w:r>
              <w:rPr>
                <w:rFonts w:cstheme="majorHAnsi"/>
              </w:rPr>
              <w:t>%</w:t>
            </w:r>
          </w:p>
        </w:tc>
        <w:tc>
          <w:tcPr>
            <w:tcW w:w="1008" w:type="pct"/>
            <w:tcBorders>
              <w:bottom w:val="single" w:sz="4" w:space="0" w:color="auto"/>
            </w:tcBorders>
          </w:tcPr>
          <w:p w:rsidR="00BD18E1" w:rsidRPr="00C15C7C" w:rsidRDefault="00BD18E1" w:rsidP="00C15C7C">
            <w:pPr>
              <w:pStyle w:val="TableTextCentered"/>
              <w:rPr>
                <w:rFonts w:cstheme="majorHAnsi"/>
              </w:rPr>
            </w:pPr>
            <w:r w:rsidRPr="00A46F58">
              <w:rPr>
                <w:rFonts w:cstheme="majorHAnsi"/>
              </w:rPr>
              <w:t>-197</w:t>
            </w:r>
          </w:p>
        </w:tc>
      </w:tr>
      <w:tr w:rsidR="00BD18E1" w:rsidRPr="00B1225A" w:rsidTr="00854E4E">
        <w:tc>
          <w:tcPr>
            <w:tcW w:w="1608" w:type="pct"/>
          </w:tcPr>
          <w:p w:rsidR="00BD18E1" w:rsidRPr="00807FB9" w:rsidRDefault="00BD18E1" w:rsidP="00BD18E1">
            <w:pPr>
              <w:pStyle w:val="TableText"/>
              <w:jc w:val="center"/>
            </w:pPr>
            <w:r w:rsidRPr="00807FB9">
              <w:t>Career</w:t>
            </w:r>
            <w:r>
              <w:t xml:space="preserve">/Vocational/ </w:t>
            </w:r>
            <w:r w:rsidRPr="00807FB9">
              <w:t>Technical Education</w:t>
            </w:r>
          </w:p>
        </w:tc>
        <w:tc>
          <w:tcPr>
            <w:tcW w:w="1373" w:type="pct"/>
          </w:tcPr>
          <w:p w:rsidR="00BD18E1" w:rsidRPr="00C15C7C" w:rsidRDefault="00BD18E1" w:rsidP="00C15C7C">
            <w:pPr>
              <w:pStyle w:val="TableTextCentered"/>
              <w:rPr>
                <w:rFonts w:cstheme="majorHAnsi"/>
              </w:rPr>
            </w:pPr>
            <w:r w:rsidRPr="00A46F58">
              <w:rPr>
                <w:rFonts w:cstheme="majorHAnsi"/>
              </w:rPr>
              <w:t>-2.1</w:t>
            </w:r>
            <w:r>
              <w:rPr>
                <w:rFonts w:cstheme="majorHAnsi"/>
              </w:rPr>
              <w:t>0%</w:t>
            </w:r>
          </w:p>
        </w:tc>
        <w:tc>
          <w:tcPr>
            <w:tcW w:w="1011" w:type="pct"/>
          </w:tcPr>
          <w:p w:rsidR="00BD18E1" w:rsidRPr="00C15C7C" w:rsidRDefault="00BD18E1" w:rsidP="00C15C7C">
            <w:pPr>
              <w:pStyle w:val="TableTextCentered"/>
              <w:rPr>
                <w:rFonts w:cstheme="majorHAnsi"/>
              </w:rPr>
            </w:pPr>
            <w:r w:rsidRPr="00A46F58">
              <w:rPr>
                <w:rFonts w:cstheme="majorHAnsi"/>
              </w:rPr>
              <w:t>-19.1</w:t>
            </w:r>
            <w:r>
              <w:rPr>
                <w:rFonts w:cstheme="majorHAnsi"/>
              </w:rPr>
              <w:t>0%</w:t>
            </w:r>
          </w:p>
        </w:tc>
        <w:tc>
          <w:tcPr>
            <w:tcW w:w="1008" w:type="pct"/>
          </w:tcPr>
          <w:p w:rsidR="00BD18E1" w:rsidRPr="00C15C7C" w:rsidRDefault="00BD18E1" w:rsidP="00C15C7C">
            <w:pPr>
              <w:pStyle w:val="TableTextCentered"/>
              <w:rPr>
                <w:rFonts w:cstheme="majorHAnsi"/>
              </w:rPr>
            </w:pPr>
            <w:r w:rsidRPr="00A46F58">
              <w:rPr>
                <w:rFonts w:cstheme="majorHAnsi"/>
              </w:rPr>
              <w:t>-370</w:t>
            </w:r>
          </w:p>
        </w:tc>
      </w:tr>
    </w:tbl>
    <w:p w:rsidR="00C157EC" w:rsidRPr="00AC4F18" w:rsidRDefault="00C157EC" w:rsidP="00AC4F18">
      <w:pPr>
        <w:pStyle w:val="BodyText"/>
      </w:pPr>
      <w:r>
        <w:t>When considering these projected trends alongside historical staffing trends in each program area, it is found that some program areas are relatively stable in historical years, while others tend to be more volatile. For example, as can be seen in Figures 12 and 13, the historical staffing trends for SPED and ELL teachers are quite volatile. Over the last six years, SPED FTEs have ranged between 8,427 (2013–14) and 9,957 (2009–10). Likewise, ELL FTEs have ranged between 1,206 (2012–13) and 1,710 (2011–12) over the same period.</w:t>
      </w:r>
      <w:r>
        <w:rPr>
          <w:rStyle w:val="FootnoteReference"/>
        </w:rPr>
        <w:footnoteReference w:id="19"/>
      </w:r>
    </w:p>
    <w:p w:rsidR="00C157EC" w:rsidRDefault="00C157EC" w:rsidP="00AC4F18">
      <w:pPr>
        <w:pStyle w:val="FigureTitle"/>
      </w:pPr>
      <w:proofErr w:type="gramStart"/>
      <w:r>
        <w:t>Figure 12</w:t>
      </w:r>
      <w:r w:rsidRPr="006D0A7C">
        <w:t>.</w:t>
      </w:r>
      <w:proofErr w:type="gramEnd"/>
      <w:r w:rsidRPr="006D0A7C">
        <w:t xml:space="preserve"> </w:t>
      </w:r>
      <w:r w:rsidRPr="002B58FC">
        <w:t xml:space="preserve">Historical and Projected </w:t>
      </w:r>
      <w:r>
        <w:t>Statewide Demand</w:t>
      </w:r>
      <w:r w:rsidRPr="002B58FC">
        <w:t xml:space="preserve"> </w:t>
      </w:r>
      <w:r>
        <w:t xml:space="preserve">for </w:t>
      </w:r>
      <w:r w:rsidRPr="006D0A7C">
        <w:t xml:space="preserve">Special Education </w:t>
      </w:r>
      <w:r>
        <w:t>Teachers in Terms of FTEs,</w:t>
      </w:r>
      <w:r w:rsidRPr="002B58FC">
        <w:t xml:space="preserve"> 20</w:t>
      </w:r>
      <w:r w:rsidR="00E80E14">
        <w:t>08–</w:t>
      </w:r>
      <w:r w:rsidRPr="002B58FC">
        <w:t>09</w:t>
      </w:r>
      <w:r w:rsidR="0092042A">
        <w:t xml:space="preserve"> </w:t>
      </w:r>
      <w:proofErr w:type="gramStart"/>
      <w:r w:rsidR="0092042A">
        <w:t>Through</w:t>
      </w:r>
      <w:proofErr w:type="gramEnd"/>
      <w:r w:rsidR="0092042A">
        <w:t xml:space="preserve"> </w:t>
      </w:r>
      <w:r w:rsidRPr="002B58FC">
        <w:t>20</w:t>
      </w:r>
      <w:r w:rsidR="00E80E14">
        <w:t>23–</w:t>
      </w:r>
      <w:r w:rsidRPr="002B58FC">
        <w:t>24</w:t>
      </w:r>
    </w:p>
    <w:p w:rsidR="00C157EC" w:rsidRPr="00AC4F18" w:rsidRDefault="00C157EC" w:rsidP="00AC4F18">
      <w:pPr>
        <w:pStyle w:val="FigurePlacement"/>
      </w:pPr>
      <w:r w:rsidRPr="008638A1">
        <w:rPr>
          <w:noProof/>
          <w:lang w:eastAsia="zh-CN" w:bidi="km-KH"/>
        </w:rPr>
        <w:drawing>
          <wp:inline distT="0" distB="0" distL="0" distR="0">
            <wp:extent cx="5611803" cy="3657600"/>
            <wp:effectExtent l="19050" t="0" r="7947" b="0"/>
            <wp:docPr id="233" name="Picture 233" descr="as can be seen in Figures 12 and 13, the historical staffing trends for SPED and ELL teachers are quite volatile. Over the last six years, SPED FTEs have ranged between 8,427 (2013–14) and 9,957 (2009–10). Likewise, ELL FTEs have ranged between 1,206 (2012–13) and 1,710 (2011–12) over the same period. &#10;&#10;Figure 12. Historical and Projected Statewide Demand for Special Education Teachers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3" t="3837" r="4785" b="6665"/>
                    <a:stretch/>
                  </pic:blipFill>
                  <pic:spPr bwMode="auto">
                    <a:xfrm>
                      <a:off x="0" y="0"/>
                      <a:ext cx="5611803"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7B2066">
        <w:rPr>
          <w:rFonts w:ascii="Times New Roman" w:hAnsi="Times New Roman"/>
          <w:snapToGrid w:val="0"/>
          <w:color w:val="000000"/>
          <w:w w:val="0"/>
          <w:sz w:val="0"/>
          <w:szCs w:val="0"/>
          <w:u w:color="000000"/>
          <w:bdr w:val="none" w:sz="0" w:space="0" w:color="000000"/>
          <w:shd w:val="clear" w:color="000000" w:fill="000000"/>
        </w:rPr>
        <w:t xml:space="preserve"> </w:t>
      </w:r>
    </w:p>
    <w:p w:rsidR="00C157EC" w:rsidRDefault="00C157EC" w:rsidP="00AC4F18">
      <w:pPr>
        <w:pStyle w:val="FigureTitle"/>
      </w:pPr>
      <w:proofErr w:type="gramStart"/>
      <w:r>
        <w:t>Figure 13.</w:t>
      </w:r>
      <w:proofErr w:type="gramEnd"/>
      <w:r w:rsidRPr="00356FD7">
        <w:t xml:space="preserve"> </w:t>
      </w:r>
      <w:r w:rsidRPr="002B58FC">
        <w:t xml:space="preserve">Historical and Projected </w:t>
      </w:r>
      <w:r>
        <w:t>Statewide Demand</w:t>
      </w:r>
      <w:r w:rsidRPr="002B58FC">
        <w:t xml:space="preserve"> </w:t>
      </w:r>
      <w:r>
        <w:t>for English Language Learner Teachers in Terms of FTEs,</w:t>
      </w:r>
      <w:r w:rsidRPr="002B58FC">
        <w:t xml:space="preserve"> 20</w:t>
      </w:r>
      <w:r>
        <w:t>08–</w:t>
      </w:r>
      <w:r w:rsidRPr="002B58FC">
        <w:t>09</w:t>
      </w:r>
      <w:r w:rsidR="0092042A">
        <w:t xml:space="preserve"> </w:t>
      </w:r>
      <w:proofErr w:type="gramStart"/>
      <w:r w:rsidR="0092042A">
        <w:t>Through</w:t>
      </w:r>
      <w:proofErr w:type="gramEnd"/>
      <w:r w:rsidR="0092042A">
        <w:t xml:space="preserve"> </w:t>
      </w:r>
      <w:r w:rsidRPr="002B58FC">
        <w:t>20</w:t>
      </w:r>
      <w:r>
        <w:t>23–</w:t>
      </w:r>
      <w:r w:rsidRPr="002B58FC">
        <w:t>24</w:t>
      </w:r>
    </w:p>
    <w:p w:rsidR="00C157EC" w:rsidRPr="00AC4F18" w:rsidRDefault="00C157EC" w:rsidP="00AC4F18">
      <w:pPr>
        <w:pStyle w:val="FigurePlacement"/>
      </w:pPr>
      <w:r w:rsidRPr="008638A1">
        <w:rPr>
          <w:noProof/>
          <w:lang w:eastAsia="zh-CN" w:bidi="km-KH"/>
        </w:rPr>
        <w:drawing>
          <wp:inline distT="0" distB="0" distL="0" distR="0">
            <wp:extent cx="5603213" cy="3657600"/>
            <wp:effectExtent l="19050" t="0" r="0" b="0"/>
            <wp:docPr id="235" name="Picture 235" descr="as can be seen in Figures 12 and 13, the historical staffing trends for SPED and ELL teachers are quite volatile. Over the last six years, SPED FTEs have ranged between 8,427 (2013–14) and 9,957 (2009–10). Likewise, ELL FTEs have ranged between 1,206 (2012–13) and 1,710 (2011–12) over the same period. &#10;&#10;Figure 13. Historical and Projected Statewide Demand for English Language Learner Teachers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43" t="3568" r="4938" b="6935"/>
                    <a:stretch/>
                  </pic:blipFill>
                  <pic:spPr bwMode="auto">
                    <a:xfrm>
                      <a:off x="0" y="0"/>
                      <a:ext cx="5603213"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7B2066">
        <w:rPr>
          <w:rFonts w:ascii="Times New Roman" w:hAnsi="Times New Roman"/>
          <w:snapToGrid w:val="0"/>
          <w:color w:val="000000"/>
          <w:w w:val="0"/>
          <w:sz w:val="0"/>
          <w:szCs w:val="0"/>
          <w:u w:color="000000"/>
          <w:bdr w:val="none" w:sz="0" w:space="0" w:color="000000"/>
          <w:shd w:val="clear" w:color="000000" w:fill="000000"/>
        </w:rPr>
        <w:t xml:space="preserve"> </w:t>
      </w:r>
    </w:p>
    <w:p w:rsidR="00C157EC" w:rsidRPr="00AC4F18" w:rsidRDefault="00C157EC" w:rsidP="00AC4F18">
      <w:pPr>
        <w:pStyle w:val="BodyText"/>
      </w:pPr>
      <w:r>
        <w:t>Despite the observed volatility, these results suggest that demand for SPED and ELL teachers will decline in future years, in some cases quite dramatically. Policymakers may want to investigate further to determine how these projected declines are distributed across the state, possibly by partnering with districts to better understand needs with respect to program area.</w:t>
      </w:r>
    </w:p>
    <w:p w:rsidR="00C157EC" w:rsidRDefault="00C157EC" w:rsidP="00AC4F18">
      <w:pPr>
        <w:pStyle w:val="Heading4"/>
      </w:pPr>
      <w:bookmarkStart w:id="81" w:name="_Toc435461174"/>
      <w:bookmarkStart w:id="82" w:name="_Toc435784250"/>
      <w:r>
        <w:t>Supply Projections by Program Area</w:t>
      </w:r>
      <w:bookmarkEnd w:id="81"/>
      <w:bookmarkEnd w:id="82"/>
    </w:p>
    <w:p w:rsidR="00C157EC" w:rsidRPr="00C016FD" w:rsidRDefault="00C157EC" w:rsidP="00AC4F18">
      <w:pPr>
        <w:pStyle w:val="BodyText"/>
      </w:pPr>
      <w:r>
        <w:t>The AIR research team also estimated projections of teacher supply by program area. Table 6 displays the average projected percent change in statewide teacher supply for each program area between 2013–14 and 2023–24, and the overall projected percent and absolute changes over the same period. As shown in the table, projected supply will decline for the majority of program areas, following the aggregate trend. In relative terms</w:t>
      </w:r>
      <w:r w:rsidR="00546098">
        <w:t>,</w:t>
      </w:r>
      <w:r>
        <w:t xml:space="preserve"> the suppl</w:t>
      </w:r>
      <w:r w:rsidR="009369CB">
        <w:t>ies</w:t>
      </w:r>
      <w:r>
        <w:t xml:space="preserve"> of ELL and SPED teachers </w:t>
      </w:r>
      <w:r w:rsidR="009369CB">
        <w:t>are</w:t>
      </w:r>
      <w:r>
        <w:t xml:space="preserve"> expected to decline </w:t>
      </w:r>
      <w:r w:rsidR="009369CB">
        <w:t xml:space="preserve">the </w:t>
      </w:r>
      <w:r>
        <w:t xml:space="preserve">most over the period, </w:t>
      </w:r>
      <w:r w:rsidR="001D07B8">
        <w:t>26.44</w:t>
      </w:r>
      <w:r>
        <w:t xml:space="preserve"> and 2</w:t>
      </w:r>
      <w:r w:rsidR="001D07B8">
        <w:t>0.43</w:t>
      </w:r>
      <w:r>
        <w:t xml:space="preserve"> percent, respectively. CTE teacher supply is </w:t>
      </w:r>
      <w:r w:rsidR="00C5095E">
        <w:t xml:space="preserve">also </w:t>
      </w:r>
      <w:r>
        <w:t>expected to decline, but less severely in relative terms, at</w:t>
      </w:r>
      <w:r w:rsidR="00FC72FA">
        <w:t xml:space="preserve"> 7.86</w:t>
      </w:r>
      <w:r>
        <w:t xml:space="preserve"> percent. While the supply of teachers in the three specialized program areas is expected to decline, based on AIR’s projections, the supply of </w:t>
      </w:r>
      <w:proofErr w:type="spellStart"/>
      <w:r>
        <w:t>GenED</w:t>
      </w:r>
      <w:proofErr w:type="spellEnd"/>
      <w:r>
        <w:t xml:space="preserve"> teachers is actually expected to grow 7.</w:t>
      </w:r>
      <w:r w:rsidR="001D07B8">
        <w:t>19</w:t>
      </w:r>
      <w:r>
        <w:t xml:space="preserve"> percent over the next 10 years.</w:t>
      </w:r>
      <w:r>
        <w:rPr>
          <w:rStyle w:val="FootnoteReference"/>
        </w:rPr>
        <w:footnoteReference w:id="20"/>
      </w:r>
    </w:p>
    <w:p w:rsidR="00C157EC" w:rsidRDefault="00C157EC" w:rsidP="00AC4F18">
      <w:pPr>
        <w:pStyle w:val="TableTitle"/>
      </w:pPr>
      <w:proofErr w:type="gramStart"/>
      <w:r>
        <w:t>Table 6</w:t>
      </w:r>
      <w:r w:rsidRPr="000331C5">
        <w:t>.</w:t>
      </w:r>
      <w:proofErr w:type="gramEnd"/>
      <w:r>
        <w:t xml:space="preserve"> </w:t>
      </w:r>
      <w:r w:rsidRPr="002B58FC">
        <w:t xml:space="preserve">Projected Percent </w:t>
      </w:r>
      <w:r>
        <w:t xml:space="preserve">and Absolute </w:t>
      </w:r>
      <w:r w:rsidRPr="002B58FC">
        <w:t xml:space="preserve">Changes in Statewide </w:t>
      </w:r>
      <w:r>
        <w:t>Supply by Program Area,</w:t>
      </w:r>
      <w:r w:rsidRPr="002B58FC">
        <w:t xml:space="preserve"> </w:t>
      </w:r>
      <w:r>
        <w:t>2014–15</w:t>
      </w:r>
      <w:r w:rsidR="0092042A">
        <w:t xml:space="preserve"> </w:t>
      </w:r>
      <w:proofErr w:type="gramStart"/>
      <w:r w:rsidR="0092042A">
        <w:t>Through</w:t>
      </w:r>
      <w:proofErr w:type="gramEnd"/>
      <w:r w:rsidR="0092042A">
        <w:t xml:space="preserve"> </w:t>
      </w:r>
      <w:r>
        <w:t>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98"/>
        <w:gridCol w:w="2620"/>
        <w:gridCol w:w="1939"/>
        <w:gridCol w:w="1933"/>
      </w:tblGrid>
      <w:tr w:rsidR="00C157EC" w:rsidRPr="00B1225A" w:rsidTr="00854E4E">
        <w:trPr>
          <w:cnfStyle w:val="100000000000"/>
        </w:trPr>
        <w:tc>
          <w:tcPr>
            <w:tcW w:w="3021" w:type="dxa"/>
          </w:tcPr>
          <w:p w:rsidR="00C157EC" w:rsidRPr="00807FB9" w:rsidRDefault="00C157EC" w:rsidP="00BD18E1">
            <w:pPr>
              <w:pStyle w:val="TableText"/>
              <w:jc w:val="center"/>
            </w:pPr>
            <w:r>
              <w:t>Program Area</w:t>
            </w:r>
          </w:p>
        </w:tc>
        <w:tc>
          <w:tcPr>
            <w:tcW w:w="2554" w:type="dxa"/>
          </w:tcPr>
          <w:p w:rsidR="00C157EC" w:rsidRPr="00807FB9" w:rsidRDefault="00C157EC" w:rsidP="00BD18E1">
            <w:pPr>
              <w:pStyle w:val="TableTextCentered"/>
            </w:pPr>
            <w:r>
              <w:t>A</w:t>
            </w:r>
            <w:r w:rsidRPr="00C20B19">
              <w:t xml:space="preserve">verage </w:t>
            </w:r>
            <w:r>
              <w:t>Annual Percent</w:t>
            </w:r>
            <w:r w:rsidRPr="00C20B19">
              <w:t xml:space="preserve"> </w:t>
            </w:r>
            <w:r>
              <w:t>C</w:t>
            </w:r>
            <w:r w:rsidRPr="00C20B19">
              <w:t>hange</w:t>
            </w:r>
            <w:r>
              <w:t xml:space="preserve"> </w:t>
            </w:r>
            <w:r w:rsidRPr="00C20B19">
              <w:t>201</w:t>
            </w:r>
            <w:r>
              <w:t>3–</w:t>
            </w:r>
            <w:r w:rsidRPr="00C20B19">
              <w:t>1</w:t>
            </w:r>
            <w:r>
              <w:t>4</w:t>
            </w:r>
            <w:r w:rsidR="0092042A">
              <w:t xml:space="preserve"> Through </w:t>
            </w:r>
            <w:r w:rsidRPr="00C20B19">
              <w:t>2023</w:t>
            </w:r>
            <w:r>
              <w:t>–</w:t>
            </w:r>
            <w:r w:rsidRPr="00C20B19">
              <w:t>24</w:t>
            </w:r>
          </w:p>
        </w:tc>
        <w:tc>
          <w:tcPr>
            <w:tcW w:w="1890" w:type="dxa"/>
          </w:tcPr>
          <w:p w:rsidR="00C157EC" w:rsidRPr="00807FB9" w:rsidRDefault="00C157EC" w:rsidP="00AC4F18">
            <w:pPr>
              <w:pStyle w:val="TableTextCentered"/>
            </w:pPr>
            <w:r>
              <w:t>O</w:t>
            </w:r>
            <w:r w:rsidRPr="00C20B19">
              <w:t xml:space="preserve">verall </w:t>
            </w:r>
            <w:r>
              <w:t>Percent</w:t>
            </w:r>
            <w:r w:rsidRPr="00C20B19">
              <w:t xml:space="preserve"> </w:t>
            </w:r>
            <w:r>
              <w:t>C</w:t>
            </w:r>
            <w:r w:rsidRPr="00C20B19">
              <w:t>hange 201</w:t>
            </w:r>
            <w:r>
              <w:t>3–</w:t>
            </w:r>
            <w:r w:rsidRPr="00C20B19">
              <w:t>1</w:t>
            </w:r>
            <w:r>
              <w:t>4</w:t>
            </w:r>
            <w:r w:rsidR="0092042A">
              <w:t xml:space="preserve"> Through </w:t>
            </w:r>
            <w:r w:rsidRPr="00C20B19">
              <w:t>2023</w:t>
            </w:r>
            <w:r>
              <w:t>–</w:t>
            </w:r>
            <w:r w:rsidRPr="00C20B19">
              <w:t>24</w:t>
            </w:r>
          </w:p>
        </w:tc>
        <w:tc>
          <w:tcPr>
            <w:tcW w:w="1885" w:type="dxa"/>
          </w:tcPr>
          <w:p w:rsidR="00C157EC" w:rsidRPr="00807FB9" w:rsidRDefault="00C157EC" w:rsidP="00AC4F18">
            <w:pPr>
              <w:pStyle w:val="TableTextCentered"/>
            </w:pPr>
            <w:r>
              <w:t>O</w:t>
            </w:r>
            <w:r w:rsidRPr="00C20B19">
              <w:t xml:space="preserve">verall </w:t>
            </w:r>
            <w:r>
              <w:t>A</w:t>
            </w:r>
            <w:r w:rsidRPr="00C20B19">
              <w:t xml:space="preserve">bsolute </w:t>
            </w:r>
            <w:r>
              <w:t>C</w:t>
            </w:r>
            <w:r w:rsidRPr="00C20B19">
              <w:t>hange</w:t>
            </w:r>
            <w:r>
              <w:t xml:space="preserve"> </w:t>
            </w:r>
            <w:r w:rsidRPr="00C20B19">
              <w:t>201</w:t>
            </w:r>
            <w:r>
              <w:t>3–</w:t>
            </w:r>
            <w:r w:rsidRPr="00C20B19">
              <w:t>1</w:t>
            </w:r>
            <w:r>
              <w:t>4</w:t>
            </w:r>
            <w:r w:rsidR="0092042A">
              <w:t xml:space="preserve"> Through </w:t>
            </w:r>
            <w:r w:rsidRPr="00C20B19">
              <w:t>2023</w:t>
            </w:r>
            <w:r>
              <w:t>–</w:t>
            </w:r>
            <w:r w:rsidRPr="00C20B19">
              <w:t>24</w:t>
            </w:r>
          </w:p>
        </w:tc>
      </w:tr>
      <w:tr w:rsidR="00F311C7" w:rsidRPr="00492D77" w:rsidTr="00854E4E">
        <w:tc>
          <w:tcPr>
            <w:tcW w:w="3021" w:type="dxa"/>
            <w:tcBorders>
              <w:bottom w:val="single" w:sz="4" w:space="0" w:color="auto"/>
            </w:tcBorders>
          </w:tcPr>
          <w:p w:rsidR="00F311C7" w:rsidRPr="00492D77" w:rsidRDefault="00F311C7" w:rsidP="00BD18E1">
            <w:pPr>
              <w:pStyle w:val="TableText"/>
              <w:jc w:val="center"/>
            </w:pPr>
            <w:r w:rsidRPr="00492D77">
              <w:t>General Education</w:t>
            </w:r>
          </w:p>
        </w:tc>
        <w:tc>
          <w:tcPr>
            <w:tcW w:w="2554" w:type="dxa"/>
            <w:tcBorders>
              <w:bottom w:val="single" w:sz="4" w:space="0" w:color="auto"/>
            </w:tcBorders>
            <w:vAlign w:val="top"/>
          </w:tcPr>
          <w:p w:rsidR="00F311C7" w:rsidRPr="0092652D" w:rsidRDefault="00F311C7" w:rsidP="00F311C7">
            <w:pPr>
              <w:pStyle w:val="TableTextCentered"/>
            </w:pPr>
            <w:r>
              <w:t>0</w:t>
            </w:r>
            <w:r w:rsidRPr="005F0A05">
              <w:t>.7</w:t>
            </w:r>
            <w:r>
              <w:t>0%</w:t>
            </w:r>
          </w:p>
        </w:tc>
        <w:tc>
          <w:tcPr>
            <w:tcW w:w="1890" w:type="dxa"/>
            <w:tcBorders>
              <w:bottom w:val="single" w:sz="4" w:space="0" w:color="auto"/>
            </w:tcBorders>
            <w:vAlign w:val="top"/>
          </w:tcPr>
          <w:p w:rsidR="00F311C7" w:rsidRPr="0092652D" w:rsidRDefault="00F311C7" w:rsidP="00F311C7">
            <w:pPr>
              <w:pStyle w:val="TableTextCentered"/>
            </w:pPr>
            <w:r w:rsidRPr="005F0A05">
              <w:t>7.19</w:t>
            </w:r>
            <w:r>
              <w:t>%</w:t>
            </w:r>
          </w:p>
        </w:tc>
        <w:tc>
          <w:tcPr>
            <w:tcW w:w="1885" w:type="dxa"/>
            <w:tcBorders>
              <w:bottom w:val="single" w:sz="4" w:space="0" w:color="auto"/>
            </w:tcBorders>
            <w:vAlign w:val="top"/>
          </w:tcPr>
          <w:p w:rsidR="00F311C7" w:rsidRPr="0092652D" w:rsidRDefault="00F311C7" w:rsidP="00F311C7">
            <w:pPr>
              <w:pStyle w:val="TableTextCentered"/>
            </w:pPr>
            <w:r w:rsidRPr="005F0A05">
              <w:t>3,945</w:t>
            </w:r>
          </w:p>
        </w:tc>
      </w:tr>
      <w:tr w:rsidR="00F311C7" w:rsidRPr="00492D77" w:rsidTr="00854E4E">
        <w:tc>
          <w:tcPr>
            <w:tcW w:w="3021" w:type="dxa"/>
            <w:tcBorders>
              <w:bottom w:val="single" w:sz="4" w:space="0" w:color="auto"/>
            </w:tcBorders>
          </w:tcPr>
          <w:p w:rsidR="00F311C7" w:rsidRPr="00492D77" w:rsidRDefault="00F311C7" w:rsidP="00BD18E1">
            <w:pPr>
              <w:pStyle w:val="TableText"/>
              <w:jc w:val="center"/>
            </w:pPr>
            <w:r w:rsidRPr="00492D77">
              <w:t>Special Education</w:t>
            </w:r>
          </w:p>
        </w:tc>
        <w:tc>
          <w:tcPr>
            <w:tcW w:w="2554" w:type="dxa"/>
            <w:tcBorders>
              <w:bottom w:val="single" w:sz="4" w:space="0" w:color="auto"/>
            </w:tcBorders>
            <w:vAlign w:val="top"/>
          </w:tcPr>
          <w:p w:rsidR="00F311C7" w:rsidRPr="0092652D" w:rsidRDefault="00F311C7" w:rsidP="00F311C7">
            <w:pPr>
              <w:pStyle w:val="TableTextCentered"/>
            </w:pPr>
            <w:r w:rsidRPr="005F0A05">
              <w:t>-2.26</w:t>
            </w:r>
            <w:r>
              <w:t>%</w:t>
            </w:r>
          </w:p>
        </w:tc>
        <w:tc>
          <w:tcPr>
            <w:tcW w:w="1890" w:type="dxa"/>
            <w:tcBorders>
              <w:bottom w:val="single" w:sz="4" w:space="0" w:color="auto"/>
            </w:tcBorders>
            <w:vAlign w:val="top"/>
          </w:tcPr>
          <w:p w:rsidR="00F311C7" w:rsidRPr="0092652D" w:rsidRDefault="00F311C7" w:rsidP="00F311C7">
            <w:pPr>
              <w:pStyle w:val="TableTextCentered"/>
            </w:pPr>
            <w:r w:rsidRPr="005F0A05">
              <w:t>-20.43</w:t>
            </w:r>
            <w:r>
              <w:t>%</w:t>
            </w:r>
          </w:p>
        </w:tc>
        <w:tc>
          <w:tcPr>
            <w:tcW w:w="1885" w:type="dxa"/>
            <w:tcBorders>
              <w:bottom w:val="single" w:sz="4" w:space="0" w:color="auto"/>
            </w:tcBorders>
            <w:vAlign w:val="top"/>
          </w:tcPr>
          <w:p w:rsidR="00F311C7" w:rsidRPr="0092652D" w:rsidRDefault="00F311C7" w:rsidP="00F311C7">
            <w:pPr>
              <w:pStyle w:val="TableTextCentered"/>
            </w:pPr>
            <w:r w:rsidRPr="005F0A05">
              <w:t>-1,722</w:t>
            </w:r>
          </w:p>
        </w:tc>
      </w:tr>
      <w:tr w:rsidR="00F311C7" w:rsidRPr="00492D77" w:rsidTr="00854E4E">
        <w:tc>
          <w:tcPr>
            <w:tcW w:w="3021" w:type="dxa"/>
            <w:tcBorders>
              <w:bottom w:val="single" w:sz="4" w:space="0" w:color="auto"/>
            </w:tcBorders>
          </w:tcPr>
          <w:p w:rsidR="00F311C7" w:rsidRPr="00492D77" w:rsidRDefault="00F311C7" w:rsidP="00BD18E1">
            <w:pPr>
              <w:pStyle w:val="TableText"/>
              <w:jc w:val="center"/>
            </w:pPr>
            <w:r w:rsidRPr="00492D77">
              <w:t>English Language Learners</w:t>
            </w:r>
          </w:p>
        </w:tc>
        <w:tc>
          <w:tcPr>
            <w:tcW w:w="2554" w:type="dxa"/>
            <w:tcBorders>
              <w:bottom w:val="single" w:sz="4" w:space="0" w:color="auto"/>
            </w:tcBorders>
          </w:tcPr>
          <w:p w:rsidR="00F311C7" w:rsidRPr="00F311C7" w:rsidRDefault="00F311C7" w:rsidP="00F311C7">
            <w:pPr>
              <w:pStyle w:val="TableTextCentered"/>
              <w:rPr>
                <w:rFonts w:cstheme="majorHAnsi"/>
              </w:rPr>
            </w:pPr>
            <w:r w:rsidRPr="00A46F58">
              <w:rPr>
                <w:rFonts w:cstheme="majorHAnsi"/>
              </w:rPr>
              <w:t>-3.04</w:t>
            </w:r>
            <w:r>
              <w:rPr>
                <w:rFonts w:cstheme="majorHAnsi"/>
              </w:rPr>
              <w:t>%</w:t>
            </w:r>
          </w:p>
        </w:tc>
        <w:tc>
          <w:tcPr>
            <w:tcW w:w="1890" w:type="dxa"/>
            <w:tcBorders>
              <w:bottom w:val="single" w:sz="4" w:space="0" w:color="auto"/>
            </w:tcBorders>
          </w:tcPr>
          <w:p w:rsidR="00F311C7" w:rsidRPr="00F311C7" w:rsidRDefault="00F311C7" w:rsidP="00F311C7">
            <w:pPr>
              <w:pStyle w:val="TableTextCentered"/>
              <w:rPr>
                <w:rFonts w:cstheme="majorHAnsi"/>
              </w:rPr>
            </w:pPr>
            <w:r w:rsidRPr="00A46F58">
              <w:rPr>
                <w:rFonts w:cstheme="majorHAnsi"/>
              </w:rPr>
              <w:t>-26.44</w:t>
            </w:r>
            <w:r>
              <w:rPr>
                <w:rFonts w:cstheme="majorHAnsi"/>
              </w:rPr>
              <w:t>%</w:t>
            </w:r>
          </w:p>
        </w:tc>
        <w:tc>
          <w:tcPr>
            <w:tcW w:w="1885" w:type="dxa"/>
            <w:tcBorders>
              <w:bottom w:val="single" w:sz="4" w:space="0" w:color="auto"/>
            </w:tcBorders>
          </w:tcPr>
          <w:p w:rsidR="00F311C7" w:rsidRPr="00F311C7" w:rsidRDefault="00F311C7" w:rsidP="00F311C7">
            <w:pPr>
              <w:pStyle w:val="TableTextCentered"/>
              <w:rPr>
                <w:rFonts w:cstheme="majorHAnsi"/>
              </w:rPr>
            </w:pPr>
            <w:r w:rsidRPr="00A46F58">
              <w:rPr>
                <w:rFonts w:cstheme="majorHAnsi"/>
              </w:rPr>
              <w:t>-403</w:t>
            </w:r>
          </w:p>
        </w:tc>
      </w:tr>
      <w:tr w:rsidR="00F311C7" w:rsidRPr="00492D77" w:rsidTr="00854E4E">
        <w:tc>
          <w:tcPr>
            <w:tcW w:w="3021" w:type="dxa"/>
          </w:tcPr>
          <w:p w:rsidR="00F311C7" w:rsidRPr="00492D77" w:rsidRDefault="00F311C7" w:rsidP="00BD18E1">
            <w:pPr>
              <w:pStyle w:val="TableText"/>
              <w:jc w:val="center"/>
            </w:pPr>
            <w:r w:rsidRPr="00492D77">
              <w:t>Career</w:t>
            </w:r>
            <w:r w:rsidR="00FC72FA">
              <w:t xml:space="preserve">/Vocational/ </w:t>
            </w:r>
            <w:r w:rsidRPr="00492D77">
              <w:t>Technical Education</w:t>
            </w:r>
          </w:p>
        </w:tc>
        <w:tc>
          <w:tcPr>
            <w:tcW w:w="2554" w:type="dxa"/>
          </w:tcPr>
          <w:p w:rsidR="00F311C7" w:rsidRPr="00F311C7" w:rsidRDefault="00F311C7" w:rsidP="00F311C7">
            <w:pPr>
              <w:pStyle w:val="TableTextCentered"/>
              <w:rPr>
                <w:rFonts w:cstheme="majorHAnsi"/>
              </w:rPr>
            </w:pPr>
            <w:r w:rsidRPr="00A46F58">
              <w:rPr>
                <w:rFonts w:cstheme="majorHAnsi"/>
              </w:rPr>
              <w:t>-</w:t>
            </w:r>
            <w:r>
              <w:rPr>
                <w:rFonts w:cstheme="majorHAnsi"/>
              </w:rPr>
              <w:t>0</w:t>
            </w:r>
            <w:r w:rsidRPr="00A46F58">
              <w:rPr>
                <w:rFonts w:cstheme="majorHAnsi"/>
              </w:rPr>
              <w:t>.81</w:t>
            </w:r>
            <w:r>
              <w:rPr>
                <w:rFonts w:cstheme="majorHAnsi"/>
              </w:rPr>
              <w:t>%</w:t>
            </w:r>
          </w:p>
        </w:tc>
        <w:tc>
          <w:tcPr>
            <w:tcW w:w="1890" w:type="dxa"/>
          </w:tcPr>
          <w:p w:rsidR="00F311C7" w:rsidRPr="00F311C7" w:rsidRDefault="00F311C7" w:rsidP="00F311C7">
            <w:pPr>
              <w:pStyle w:val="TableTextCentered"/>
              <w:rPr>
                <w:rFonts w:cstheme="majorHAnsi"/>
              </w:rPr>
            </w:pPr>
            <w:r w:rsidRPr="00A46F58">
              <w:rPr>
                <w:rFonts w:cstheme="majorHAnsi"/>
              </w:rPr>
              <w:t>-7.86</w:t>
            </w:r>
            <w:r>
              <w:rPr>
                <w:rFonts w:cstheme="majorHAnsi"/>
              </w:rPr>
              <w:t>%</w:t>
            </w:r>
          </w:p>
        </w:tc>
        <w:tc>
          <w:tcPr>
            <w:tcW w:w="1885" w:type="dxa"/>
          </w:tcPr>
          <w:p w:rsidR="00F311C7" w:rsidRPr="00F311C7" w:rsidRDefault="00F311C7" w:rsidP="00F311C7">
            <w:pPr>
              <w:pStyle w:val="TableTextCentered"/>
              <w:rPr>
                <w:rFonts w:cstheme="majorHAnsi"/>
              </w:rPr>
            </w:pPr>
            <w:r w:rsidRPr="00A46F58">
              <w:rPr>
                <w:rFonts w:cstheme="majorHAnsi"/>
              </w:rPr>
              <w:t>-152</w:t>
            </w:r>
          </w:p>
        </w:tc>
      </w:tr>
    </w:tbl>
    <w:p w:rsidR="00C157EC" w:rsidRDefault="00C157EC" w:rsidP="00AC4F18">
      <w:pPr>
        <w:pStyle w:val="BodyText"/>
      </w:pPr>
      <w:r>
        <w:t>One interpretation of the program-area specific supply projections is that future declines in teacher supply are expected to be primarily among non-</w:t>
      </w:r>
      <w:proofErr w:type="spellStart"/>
      <w:r>
        <w:t>GenED</w:t>
      </w:r>
      <w:proofErr w:type="spellEnd"/>
      <w:r>
        <w:t xml:space="preserve"> teachers.</w:t>
      </w:r>
      <w:r w:rsidR="00CE749C">
        <w:t xml:space="preserve"> </w:t>
      </w:r>
      <w:r>
        <w:t>See Appendix B for additional findings from this analysis.</w:t>
      </w:r>
    </w:p>
    <w:p w:rsidR="00C157EC" w:rsidRDefault="00C157EC" w:rsidP="00AC4F18">
      <w:pPr>
        <w:pStyle w:val="Heading4"/>
      </w:pPr>
      <w:bookmarkStart w:id="83" w:name="_Toc435461175"/>
      <w:bookmarkStart w:id="84" w:name="_Toc435784251"/>
      <w:r>
        <w:t>Comparing Supply and Demand by Program Area</w:t>
      </w:r>
      <w:bookmarkEnd w:id="83"/>
      <w:bookmarkEnd w:id="84"/>
    </w:p>
    <w:p w:rsidR="00C157EC" w:rsidRDefault="00C157EC" w:rsidP="00AC4F18">
      <w:pPr>
        <w:pStyle w:val="BodyText"/>
      </w:pPr>
      <w:r>
        <w:t xml:space="preserve">In an effort to determine if there are expected shortages or surpluses in any particular program area in future years, the AIR research team compared the supply and demand projections for each year through 2023–24. </w:t>
      </w:r>
    </w:p>
    <w:p w:rsidR="00C157EC" w:rsidRDefault="00C157EC" w:rsidP="00C157EC">
      <w:pPr>
        <w:pStyle w:val="Heading5"/>
      </w:pPr>
      <w:r>
        <w:t>Expected Surpluses</w:t>
      </w:r>
    </w:p>
    <w:p w:rsidR="00C157EC" w:rsidRDefault="00C157EC" w:rsidP="00AC4F18">
      <w:pPr>
        <w:pStyle w:val="BodyText"/>
      </w:pPr>
      <w:r>
        <w:t xml:space="preserve">For those program areas expected to experience a surplus (i.e., </w:t>
      </w:r>
      <w:proofErr w:type="spellStart"/>
      <w:r>
        <w:t>GenED</w:t>
      </w:r>
      <w:proofErr w:type="spellEnd"/>
      <w:r>
        <w:t xml:space="preserve"> and CTE), it was found that projected surpluses tend to grow over time. The demand for </w:t>
      </w:r>
      <w:proofErr w:type="spellStart"/>
      <w:r>
        <w:t>GenED</w:t>
      </w:r>
      <w:proofErr w:type="spellEnd"/>
      <w:r>
        <w:t xml:space="preserve"> teachers is projected to decline over the next 10 years, while supply is projected to grow. Consequently, as shown in Table 7 and Figure 14, there is an expected statewide surplus of 1,058 FTEs (supply exceeds demand by 1.95 percent) in 2014–15, which is projected to grow to 6,046 FTEs (11.46 percent) by 2023–24.</w:t>
      </w:r>
    </w:p>
    <w:p w:rsidR="00C157EC" w:rsidRPr="00AC4F18" w:rsidRDefault="00C157EC" w:rsidP="00AC4F18">
      <w:pPr>
        <w:pStyle w:val="FigureTitle"/>
        <w:pageBreakBefore/>
      </w:pPr>
      <w:proofErr w:type="gramStart"/>
      <w:r>
        <w:t>Table 7</w:t>
      </w:r>
      <w:r w:rsidRPr="00CC4696">
        <w:t>.</w:t>
      </w:r>
      <w:proofErr w:type="gramEnd"/>
      <w:r w:rsidRPr="00CC4696">
        <w:t xml:space="preserve"> Projected </w:t>
      </w:r>
      <w:r>
        <w:t xml:space="preserve">Statewide </w:t>
      </w:r>
      <w:r w:rsidRPr="00CC4696">
        <w:t>Demand</w:t>
      </w:r>
      <w:r>
        <w:t xml:space="preserve"> and </w:t>
      </w:r>
      <w:r w:rsidRPr="00CC4696">
        <w:t xml:space="preserve">Supply </w:t>
      </w:r>
      <w:r>
        <w:t xml:space="preserve">of General Education Teachers in Terms of FTEs </w:t>
      </w:r>
      <w:r w:rsidRPr="00CC4696">
        <w:t xml:space="preserve">and </w:t>
      </w:r>
      <w:r>
        <w:t xml:space="preserve">Absolute and </w:t>
      </w:r>
      <w:r w:rsidRPr="00CC4696">
        <w:t>Relative Differences</w:t>
      </w:r>
      <w:r>
        <w:t>,</w:t>
      </w:r>
      <w:r w:rsidRPr="00CC4696">
        <w:t xml:space="preserve"> </w:t>
      </w:r>
      <w:r>
        <w:t>2014–15</w:t>
      </w:r>
      <w:r w:rsidR="0092042A">
        <w:t xml:space="preserve"> </w:t>
      </w:r>
      <w:proofErr w:type="gramStart"/>
      <w:r w:rsidR="0092042A">
        <w:t>Through</w:t>
      </w:r>
      <w:proofErr w:type="gramEnd"/>
      <w:r w:rsidR="0092042A">
        <w:t xml:space="preserve"> </w:t>
      </w:r>
      <w:r w:rsidRPr="00CC4696">
        <w:t>2023</w:t>
      </w:r>
      <w:r>
        <w:t>–</w:t>
      </w:r>
      <w:r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2"/>
        <w:gridCol w:w="1939"/>
        <w:gridCol w:w="2123"/>
        <w:gridCol w:w="1847"/>
        <w:gridCol w:w="1839"/>
      </w:tblGrid>
      <w:tr w:rsidR="00AC4F18" w:rsidRPr="006F1905" w:rsidTr="002D6597">
        <w:trPr>
          <w:cnfStyle w:val="100000000000"/>
        </w:trPr>
        <w:tc>
          <w:tcPr>
            <w:tcW w:w="960" w:type="pct"/>
            <w:tcBorders>
              <w:bottom w:val="single" w:sz="4" w:space="0" w:color="auto"/>
            </w:tcBorders>
          </w:tcPr>
          <w:p w:rsidR="00C157EC" w:rsidRPr="00807FB9" w:rsidRDefault="00C157EC" w:rsidP="00BD18E1">
            <w:pPr>
              <w:pStyle w:val="TableText"/>
              <w:jc w:val="center"/>
            </w:pPr>
            <w:r>
              <w:t>Year</w:t>
            </w:r>
          </w:p>
        </w:tc>
        <w:tc>
          <w:tcPr>
            <w:tcW w:w="1011" w:type="pct"/>
            <w:tcBorders>
              <w:bottom w:val="single" w:sz="4" w:space="0" w:color="auto"/>
            </w:tcBorders>
          </w:tcPr>
          <w:p w:rsidR="00C157EC" w:rsidRPr="00E12434" w:rsidRDefault="00C157EC" w:rsidP="00AC4F18">
            <w:pPr>
              <w:pStyle w:val="TableTextCentered"/>
            </w:pPr>
            <w:r w:rsidRPr="00807FB9">
              <w:t>Projected Supply</w:t>
            </w:r>
          </w:p>
        </w:tc>
        <w:tc>
          <w:tcPr>
            <w:tcW w:w="1107" w:type="pct"/>
            <w:tcBorders>
              <w:bottom w:val="single" w:sz="4" w:space="0" w:color="auto"/>
            </w:tcBorders>
          </w:tcPr>
          <w:p w:rsidR="00C157EC" w:rsidRPr="00E12434" w:rsidRDefault="00C157EC" w:rsidP="00AC4F18">
            <w:pPr>
              <w:pStyle w:val="TableTextCentered"/>
            </w:pPr>
            <w:r w:rsidRPr="00807FB9">
              <w:t>Projected Demand</w:t>
            </w:r>
          </w:p>
        </w:tc>
        <w:tc>
          <w:tcPr>
            <w:tcW w:w="963" w:type="pct"/>
            <w:tcBorders>
              <w:bottom w:val="single" w:sz="4" w:space="0" w:color="auto"/>
            </w:tcBorders>
          </w:tcPr>
          <w:p w:rsidR="00C157EC" w:rsidRPr="00E12434" w:rsidRDefault="00C157EC" w:rsidP="00AC4F18">
            <w:pPr>
              <w:pStyle w:val="TableTextCentered"/>
            </w:pPr>
            <w:r w:rsidRPr="00807FB9">
              <w:t xml:space="preserve">Absolute Difference </w:t>
            </w:r>
            <w:r>
              <w:t>B</w:t>
            </w:r>
            <w:r w:rsidRPr="00807FB9">
              <w:t>etween Supply and Demand</w:t>
            </w:r>
          </w:p>
        </w:tc>
        <w:tc>
          <w:tcPr>
            <w:tcW w:w="959" w:type="pct"/>
            <w:tcBorders>
              <w:bottom w:val="single" w:sz="4" w:space="0" w:color="auto"/>
            </w:tcBorders>
          </w:tcPr>
          <w:p w:rsidR="00C157EC" w:rsidRPr="00E12434" w:rsidRDefault="00C157EC" w:rsidP="00AC4F18">
            <w:pPr>
              <w:pStyle w:val="TableTextCentered"/>
            </w:pPr>
            <w:r w:rsidRPr="00807FB9">
              <w:t xml:space="preserve">Relative Difference </w:t>
            </w:r>
            <w:r>
              <w:t>B</w:t>
            </w:r>
            <w:r w:rsidRPr="00807FB9">
              <w:t>etween Supply and Demand</w:t>
            </w:r>
          </w:p>
        </w:tc>
      </w:tr>
      <w:tr w:rsidR="00AC4F18" w:rsidRPr="006F1905" w:rsidTr="002D6597">
        <w:tc>
          <w:tcPr>
            <w:tcW w:w="960" w:type="pct"/>
            <w:tcBorders>
              <w:bottom w:val="single" w:sz="4" w:space="0" w:color="auto"/>
            </w:tcBorders>
          </w:tcPr>
          <w:p w:rsidR="00C157EC" w:rsidRPr="00807FB9" w:rsidRDefault="00C157EC" w:rsidP="00BD18E1">
            <w:pPr>
              <w:pStyle w:val="TableText"/>
              <w:jc w:val="center"/>
            </w:pPr>
            <w:r w:rsidRPr="00C20B19">
              <w:t>201</w:t>
            </w:r>
            <w:r>
              <w:t>4–1</w:t>
            </w:r>
            <w:r w:rsidRPr="00C20B19">
              <w:t>5</w:t>
            </w:r>
          </w:p>
        </w:tc>
        <w:tc>
          <w:tcPr>
            <w:tcW w:w="1011" w:type="pct"/>
            <w:tcBorders>
              <w:bottom w:val="single" w:sz="4" w:space="0" w:color="auto"/>
            </w:tcBorders>
          </w:tcPr>
          <w:p w:rsidR="00C157EC" w:rsidRPr="00E12434" w:rsidRDefault="00C157EC" w:rsidP="00AC4F18">
            <w:pPr>
              <w:pStyle w:val="TableTextCentered"/>
            </w:pPr>
            <w:r w:rsidRPr="00807FB9">
              <w:t>55,276</w:t>
            </w:r>
          </w:p>
        </w:tc>
        <w:tc>
          <w:tcPr>
            <w:tcW w:w="1107" w:type="pct"/>
            <w:tcBorders>
              <w:bottom w:val="single" w:sz="4" w:space="0" w:color="auto"/>
            </w:tcBorders>
          </w:tcPr>
          <w:p w:rsidR="00C157EC" w:rsidRPr="00E12434" w:rsidRDefault="00C157EC" w:rsidP="00AC4F18">
            <w:pPr>
              <w:pStyle w:val="TableTextCentered"/>
            </w:pPr>
            <w:r w:rsidRPr="00807FB9">
              <w:t>54,218</w:t>
            </w:r>
          </w:p>
        </w:tc>
        <w:tc>
          <w:tcPr>
            <w:tcW w:w="963" w:type="pct"/>
            <w:tcBorders>
              <w:bottom w:val="single" w:sz="4" w:space="0" w:color="auto"/>
            </w:tcBorders>
          </w:tcPr>
          <w:p w:rsidR="00C157EC" w:rsidRPr="00E12434" w:rsidRDefault="00C157EC" w:rsidP="00AC4F18">
            <w:pPr>
              <w:pStyle w:val="TableTextCentered"/>
            </w:pPr>
            <w:r w:rsidRPr="00807FB9">
              <w:t>1,058</w:t>
            </w:r>
          </w:p>
        </w:tc>
        <w:tc>
          <w:tcPr>
            <w:tcW w:w="959" w:type="pct"/>
            <w:tcBorders>
              <w:bottom w:val="single" w:sz="4" w:space="0" w:color="auto"/>
            </w:tcBorders>
          </w:tcPr>
          <w:p w:rsidR="00C157EC" w:rsidRPr="00E12434" w:rsidRDefault="00C157EC" w:rsidP="00AC4F18">
            <w:pPr>
              <w:pStyle w:val="TableTextCentered"/>
            </w:pPr>
            <w:r w:rsidRPr="00807FB9">
              <w:t>1.95%</w:t>
            </w:r>
          </w:p>
        </w:tc>
      </w:tr>
      <w:tr w:rsidR="00C157EC" w:rsidRPr="006F1905" w:rsidTr="002D6597">
        <w:tc>
          <w:tcPr>
            <w:tcW w:w="960" w:type="pct"/>
            <w:tcBorders>
              <w:bottom w:val="single" w:sz="4" w:space="0" w:color="auto"/>
            </w:tcBorders>
          </w:tcPr>
          <w:p w:rsidR="00C157EC" w:rsidRPr="00807FB9" w:rsidRDefault="00C157EC" w:rsidP="00BD18E1">
            <w:pPr>
              <w:pStyle w:val="TableText"/>
              <w:jc w:val="center"/>
            </w:pPr>
            <w:r w:rsidRPr="00C20B19">
              <w:t>201</w:t>
            </w:r>
            <w:r>
              <w:t>5–1</w:t>
            </w:r>
            <w:r w:rsidRPr="00C20B19">
              <w:t>6</w:t>
            </w:r>
          </w:p>
        </w:tc>
        <w:tc>
          <w:tcPr>
            <w:tcW w:w="1011" w:type="pct"/>
            <w:tcBorders>
              <w:bottom w:val="single" w:sz="4" w:space="0" w:color="auto"/>
            </w:tcBorders>
          </w:tcPr>
          <w:p w:rsidR="00C157EC" w:rsidRPr="00E12434" w:rsidRDefault="00C157EC" w:rsidP="00AC4F18">
            <w:pPr>
              <w:pStyle w:val="TableTextCentered"/>
            </w:pPr>
            <w:r w:rsidRPr="00807FB9">
              <w:t>55,644</w:t>
            </w:r>
          </w:p>
        </w:tc>
        <w:tc>
          <w:tcPr>
            <w:tcW w:w="1107" w:type="pct"/>
            <w:tcBorders>
              <w:bottom w:val="single" w:sz="4" w:space="0" w:color="auto"/>
            </w:tcBorders>
          </w:tcPr>
          <w:p w:rsidR="00C157EC" w:rsidRPr="00E12434" w:rsidRDefault="00C157EC" w:rsidP="00AC4F18">
            <w:pPr>
              <w:pStyle w:val="TableTextCentered"/>
            </w:pPr>
            <w:r w:rsidRPr="00807FB9">
              <w:t>54,138</w:t>
            </w:r>
          </w:p>
        </w:tc>
        <w:tc>
          <w:tcPr>
            <w:tcW w:w="963" w:type="pct"/>
            <w:tcBorders>
              <w:bottom w:val="single" w:sz="4" w:space="0" w:color="auto"/>
            </w:tcBorders>
          </w:tcPr>
          <w:p w:rsidR="00C157EC" w:rsidRPr="00E12434" w:rsidRDefault="00C157EC" w:rsidP="00AC4F18">
            <w:pPr>
              <w:pStyle w:val="TableTextCentered"/>
            </w:pPr>
            <w:r w:rsidRPr="00807FB9">
              <w:t>1,506</w:t>
            </w:r>
          </w:p>
        </w:tc>
        <w:tc>
          <w:tcPr>
            <w:tcW w:w="959" w:type="pct"/>
            <w:tcBorders>
              <w:bottom w:val="single" w:sz="4" w:space="0" w:color="auto"/>
            </w:tcBorders>
          </w:tcPr>
          <w:p w:rsidR="00C157EC" w:rsidRPr="00E12434" w:rsidRDefault="00C157EC" w:rsidP="00AC4F18">
            <w:pPr>
              <w:pStyle w:val="TableTextCentered"/>
            </w:pPr>
            <w:r w:rsidRPr="00807FB9">
              <w:t>2.78%</w:t>
            </w:r>
          </w:p>
        </w:tc>
      </w:tr>
      <w:tr w:rsidR="00AC4F18" w:rsidRPr="006F1905" w:rsidTr="002D6597">
        <w:tc>
          <w:tcPr>
            <w:tcW w:w="960" w:type="pct"/>
            <w:tcBorders>
              <w:bottom w:val="single" w:sz="4" w:space="0" w:color="auto"/>
            </w:tcBorders>
          </w:tcPr>
          <w:p w:rsidR="00C157EC" w:rsidRPr="00807FB9" w:rsidRDefault="00C157EC" w:rsidP="00BD18E1">
            <w:pPr>
              <w:pStyle w:val="TableText"/>
              <w:jc w:val="center"/>
            </w:pPr>
            <w:r w:rsidRPr="00C20B19">
              <w:t>201</w:t>
            </w:r>
            <w:r>
              <w:t>6–1</w:t>
            </w:r>
            <w:r w:rsidRPr="00C20B19">
              <w:t>7</w:t>
            </w:r>
          </w:p>
        </w:tc>
        <w:tc>
          <w:tcPr>
            <w:tcW w:w="1011" w:type="pct"/>
            <w:tcBorders>
              <w:bottom w:val="single" w:sz="4" w:space="0" w:color="auto"/>
            </w:tcBorders>
          </w:tcPr>
          <w:p w:rsidR="00C157EC" w:rsidRPr="00E12434" w:rsidRDefault="00C157EC" w:rsidP="00AC4F18">
            <w:pPr>
              <w:pStyle w:val="TableTextCentered"/>
            </w:pPr>
            <w:r w:rsidRPr="00807FB9">
              <w:t>56,017</w:t>
            </w:r>
          </w:p>
        </w:tc>
        <w:tc>
          <w:tcPr>
            <w:tcW w:w="1107" w:type="pct"/>
            <w:tcBorders>
              <w:bottom w:val="single" w:sz="4" w:space="0" w:color="auto"/>
            </w:tcBorders>
          </w:tcPr>
          <w:p w:rsidR="00C157EC" w:rsidRPr="00E12434" w:rsidRDefault="00C157EC" w:rsidP="00AC4F18">
            <w:pPr>
              <w:pStyle w:val="TableTextCentered"/>
            </w:pPr>
            <w:r w:rsidRPr="00807FB9">
              <w:t>54,001</w:t>
            </w:r>
          </w:p>
        </w:tc>
        <w:tc>
          <w:tcPr>
            <w:tcW w:w="963" w:type="pct"/>
            <w:tcBorders>
              <w:bottom w:val="single" w:sz="4" w:space="0" w:color="auto"/>
            </w:tcBorders>
          </w:tcPr>
          <w:p w:rsidR="00C157EC" w:rsidRPr="00E12434" w:rsidRDefault="00C157EC" w:rsidP="00AC4F18">
            <w:pPr>
              <w:pStyle w:val="TableTextCentered"/>
            </w:pPr>
            <w:r w:rsidRPr="00807FB9">
              <w:t>2,016</w:t>
            </w:r>
          </w:p>
        </w:tc>
        <w:tc>
          <w:tcPr>
            <w:tcW w:w="959" w:type="pct"/>
            <w:tcBorders>
              <w:bottom w:val="single" w:sz="4" w:space="0" w:color="auto"/>
            </w:tcBorders>
          </w:tcPr>
          <w:p w:rsidR="00C157EC" w:rsidRPr="00E12434" w:rsidRDefault="00C157EC" w:rsidP="00AC4F18">
            <w:pPr>
              <w:pStyle w:val="TableTextCentered"/>
            </w:pPr>
            <w:r w:rsidRPr="00807FB9">
              <w:t>3.73%</w:t>
            </w:r>
          </w:p>
        </w:tc>
      </w:tr>
      <w:tr w:rsidR="00C157EC" w:rsidRPr="006F1905" w:rsidTr="002D6597">
        <w:tc>
          <w:tcPr>
            <w:tcW w:w="960" w:type="pct"/>
            <w:tcBorders>
              <w:bottom w:val="single" w:sz="4" w:space="0" w:color="auto"/>
            </w:tcBorders>
          </w:tcPr>
          <w:p w:rsidR="00C157EC" w:rsidRPr="00807FB9" w:rsidRDefault="00C157EC" w:rsidP="00BD18E1">
            <w:pPr>
              <w:pStyle w:val="TableText"/>
              <w:jc w:val="center"/>
            </w:pPr>
            <w:r w:rsidRPr="00C20B19">
              <w:t>201</w:t>
            </w:r>
            <w:r>
              <w:t>7–1</w:t>
            </w:r>
            <w:r w:rsidRPr="00C20B19">
              <w:t>8</w:t>
            </w:r>
          </w:p>
        </w:tc>
        <w:tc>
          <w:tcPr>
            <w:tcW w:w="1011" w:type="pct"/>
            <w:tcBorders>
              <w:bottom w:val="single" w:sz="4" w:space="0" w:color="auto"/>
            </w:tcBorders>
          </w:tcPr>
          <w:p w:rsidR="00C157EC" w:rsidRPr="00E12434" w:rsidRDefault="00C157EC" w:rsidP="00AC4F18">
            <w:pPr>
              <w:pStyle w:val="TableTextCentered"/>
            </w:pPr>
            <w:r w:rsidRPr="00807FB9">
              <w:t>56,396</w:t>
            </w:r>
          </w:p>
        </w:tc>
        <w:tc>
          <w:tcPr>
            <w:tcW w:w="1107" w:type="pct"/>
            <w:tcBorders>
              <w:bottom w:val="single" w:sz="4" w:space="0" w:color="auto"/>
            </w:tcBorders>
          </w:tcPr>
          <w:p w:rsidR="00C157EC" w:rsidRPr="00E12434" w:rsidRDefault="00C157EC" w:rsidP="00AC4F18">
            <w:pPr>
              <w:pStyle w:val="TableTextCentered"/>
            </w:pPr>
            <w:r w:rsidRPr="00807FB9">
              <w:t>53,910</w:t>
            </w:r>
          </w:p>
        </w:tc>
        <w:tc>
          <w:tcPr>
            <w:tcW w:w="963" w:type="pct"/>
            <w:tcBorders>
              <w:bottom w:val="single" w:sz="4" w:space="0" w:color="auto"/>
            </w:tcBorders>
          </w:tcPr>
          <w:p w:rsidR="00C157EC" w:rsidRPr="00E12434" w:rsidRDefault="00C157EC" w:rsidP="00AC4F18">
            <w:pPr>
              <w:pStyle w:val="TableTextCentered"/>
            </w:pPr>
            <w:r w:rsidRPr="00807FB9">
              <w:t>2,485</w:t>
            </w:r>
          </w:p>
        </w:tc>
        <w:tc>
          <w:tcPr>
            <w:tcW w:w="959" w:type="pct"/>
            <w:tcBorders>
              <w:bottom w:val="single" w:sz="4" w:space="0" w:color="auto"/>
            </w:tcBorders>
          </w:tcPr>
          <w:p w:rsidR="00C157EC" w:rsidRPr="00E12434" w:rsidRDefault="00C157EC" w:rsidP="00AC4F18">
            <w:pPr>
              <w:pStyle w:val="TableTextCentered"/>
            </w:pPr>
            <w:r w:rsidRPr="00807FB9">
              <w:t>4.61%</w:t>
            </w:r>
          </w:p>
        </w:tc>
      </w:tr>
      <w:tr w:rsidR="00AC4F18" w:rsidRPr="006F1905" w:rsidTr="002D6597">
        <w:tc>
          <w:tcPr>
            <w:tcW w:w="960" w:type="pct"/>
            <w:tcBorders>
              <w:bottom w:val="single" w:sz="4" w:space="0" w:color="auto"/>
            </w:tcBorders>
          </w:tcPr>
          <w:p w:rsidR="00C157EC" w:rsidRPr="00807FB9" w:rsidRDefault="00C157EC" w:rsidP="00BD18E1">
            <w:pPr>
              <w:pStyle w:val="TableText"/>
              <w:jc w:val="center"/>
            </w:pPr>
            <w:r w:rsidRPr="00C20B19">
              <w:t>201</w:t>
            </w:r>
            <w:r>
              <w:t>8–1</w:t>
            </w:r>
            <w:r w:rsidRPr="00C20B19">
              <w:t>9</w:t>
            </w:r>
          </w:p>
        </w:tc>
        <w:tc>
          <w:tcPr>
            <w:tcW w:w="1011" w:type="pct"/>
            <w:tcBorders>
              <w:bottom w:val="single" w:sz="4" w:space="0" w:color="auto"/>
            </w:tcBorders>
          </w:tcPr>
          <w:p w:rsidR="00C157EC" w:rsidRPr="00E12434" w:rsidRDefault="00C157EC" w:rsidP="00AC4F18">
            <w:pPr>
              <w:pStyle w:val="TableTextCentered"/>
            </w:pPr>
            <w:r w:rsidRPr="00807FB9">
              <w:t>56,780</w:t>
            </w:r>
          </w:p>
        </w:tc>
        <w:tc>
          <w:tcPr>
            <w:tcW w:w="1107" w:type="pct"/>
            <w:tcBorders>
              <w:bottom w:val="single" w:sz="4" w:space="0" w:color="auto"/>
            </w:tcBorders>
          </w:tcPr>
          <w:p w:rsidR="00C157EC" w:rsidRPr="00E12434" w:rsidRDefault="00C157EC" w:rsidP="00AC4F18">
            <w:pPr>
              <w:pStyle w:val="TableTextCentered"/>
            </w:pPr>
            <w:r w:rsidRPr="00807FB9">
              <w:t>53,731</w:t>
            </w:r>
          </w:p>
        </w:tc>
        <w:tc>
          <w:tcPr>
            <w:tcW w:w="963" w:type="pct"/>
            <w:tcBorders>
              <w:bottom w:val="single" w:sz="4" w:space="0" w:color="auto"/>
            </w:tcBorders>
          </w:tcPr>
          <w:p w:rsidR="00C157EC" w:rsidRPr="00E12434" w:rsidRDefault="00C157EC" w:rsidP="00AC4F18">
            <w:pPr>
              <w:pStyle w:val="TableTextCentered"/>
            </w:pPr>
            <w:r w:rsidRPr="00807FB9">
              <w:t>3,049</w:t>
            </w:r>
          </w:p>
        </w:tc>
        <w:tc>
          <w:tcPr>
            <w:tcW w:w="959" w:type="pct"/>
            <w:tcBorders>
              <w:bottom w:val="single" w:sz="4" w:space="0" w:color="auto"/>
            </w:tcBorders>
          </w:tcPr>
          <w:p w:rsidR="00C157EC" w:rsidRPr="00E12434" w:rsidRDefault="00C157EC" w:rsidP="00AC4F18">
            <w:pPr>
              <w:pStyle w:val="TableTextCentered"/>
            </w:pPr>
            <w:r w:rsidRPr="00807FB9">
              <w:t>5.67%</w:t>
            </w:r>
          </w:p>
        </w:tc>
      </w:tr>
      <w:tr w:rsidR="00C157EC" w:rsidRPr="006F1905" w:rsidTr="002D6597">
        <w:tc>
          <w:tcPr>
            <w:tcW w:w="960" w:type="pct"/>
            <w:tcBorders>
              <w:bottom w:val="single" w:sz="4" w:space="0" w:color="auto"/>
            </w:tcBorders>
          </w:tcPr>
          <w:p w:rsidR="00C157EC" w:rsidRPr="00807FB9" w:rsidRDefault="00C157EC" w:rsidP="00BD18E1">
            <w:pPr>
              <w:pStyle w:val="TableText"/>
              <w:jc w:val="center"/>
            </w:pPr>
            <w:r w:rsidRPr="00C20B19">
              <w:t>20</w:t>
            </w:r>
            <w:r>
              <w:t>19–</w:t>
            </w:r>
            <w:r w:rsidRPr="00C20B19">
              <w:t>20</w:t>
            </w:r>
          </w:p>
        </w:tc>
        <w:tc>
          <w:tcPr>
            <w:tcW w:w="1011" w:type="pct"/>
            <w:tcBorders>
              <w:bottom w:val="single" w:sz="4" w:space="0" w:color="auto"/>
            </w:tcBorders>
          </w:tcPr>
          <w:p w:rsidR="00C157EC" w:rsidRPr="00E12434" w:rsidRDefault="00C157EC" w:rsidP="00AC4F18">
            <w:pPr>
              <w:pStyle w:val="TableTextCentered"/>
            </w:pPr>
            <w:r w:rsidRPr="00807FB9">
              <w:t>57,170</w:t>
            </w:r>
          </w:p>
        </w:tc>
        <w:tc>
          <w:tcPr>
            <w:tcW w:w="1107" w:type="pct"/>
            <w:tcBorders>
              <w:bottom w:val="single" w:sz="4" w:space="0" w:color="auto"/>
            </w:tcBorders>
          </w:tcPr>
          <w:p w:rsidR="00C157EC" w:rsidRPr="00E12434" w:rsidRDefault="00C157EC" w:rsidP="00AC4F18">
            <w:pPr>
              <w:pStyle w:val="TableTextCentered"/>
            </w:pPr>
            <w:r w:rsidRPr="00807FB9">
              <w:t>53,573</w:t>
            </w:r>
          </w:p>
        </w:tc>
        <w:tc>
          <w:tcPr>
            <w:tcW w:w="963" w:type="pct"/>
            <w:tcBorders>
              <w:bottom w:val="single" w:sz="4" w:space="0" w:color="auto"/>
            </w:tcBorders>
          </w:tcPr>
          <w:p w:rsidR="00C157EC" w:rsidRPr="00E12434" w:rsidRDefault="00C157EC" w:rsidP="00AC4F18">
            <w:pPr>
              <w:pStyle w:val="TableTextCentered"/>
            </w:pPr>
            <w:r w:rsidRPr="00807FB9">
              <w:t>3,597</w:t>
            </w:r>
          </w:p>
        </w:tc>
        <w:tc>
          <w:tcPr>
            <w:tcW w:w="959" w:type="pct"/>
            <w:tcBorders>
              <w:bottom w:val="single" w:sz="4" w:space="0" w:color="auto"/>
            </w:tcBorders>
          </w:tcPr>
          <w:p w:rsidR="00C157EC" w:rsidRPr="00E12434" w:rsidRDefault="00C157EC" w:rsidP="00AC4F18">
            <w:pPr>
              <w:pStyle w:val="TableTextCentered"/>
            </w:pPr>
            <w:r w:rsidRPr="00807FB9">
              <w:t>6.71%</w:t>
            </w:r>
          </w:p>
        </w:tc>
      </w:tr>
      <w:tr w:rsidR="00AC4F18" w:rsidRPr="006F1905" w:rsidTr="002D6597">
        <w:tc>
          <w:tcPr>
            <w:tcW w:w="960" w:type="pct"/>
            <w:tcBorders>
              <w:bottom w:val="single" w:sz="4" w:space="0" w:color="auto"/>
            </w:tcBorders>
          </w:tcPr>
          <w:p w:rsidR="00C157EC" w:rsidRPr="00807FB9" w:rsidRDefault="00C157EC" w:rsidP="00BD18E1">
            <w:pPr>
              <w:pStyle w:val="TableText"/>
              <w:jc w:val="center"/>
            </w:pPr>
            <w:r w:rsidRPr="00C20B19">
              <w:t>202</w:t>
            </w:r>
            <w:r>
              <w:t>0–2</w:t>
            </w:r>
            <w:r w:rsidRPr="00C20B19">
              <w:t>1</w:t>
            </w:r>
          </w:p>
        </w:tc>
        <w:tc>
          <w:tcPr>
            <w:tcW w:w="1011" w:type="pct"/>
            <w:tcBorders>
              <w:bottom w:val="single" w:sz="4" w:space="0" w:color="auto"/>
            </w:tcBorders>
          </w:tcPr>
          <w:p w:rsidR="00C157EC" w:rsidRPr="00E12434" w:rsidRDefault="00C157EC" w:rsidP="00AC4F18">
            <w:pPr>
              <w:pStyle w:val="TableTextCentered"/>
            </w:pPr>
            <w:r w:rsidRPr="00807FB9">
              <w:t>57,566</w:t>
            </w:r>
          </w:p>
        </w:tc>
        <w:tc>
          <w:tcPr>
            <w:tcW w:w="1107" w:type="pct"/>
            <w:tcBorders>
              <w:bottom w:val="single" w:sz="4" w:space="0" w:color="auto"/>
            </w:tcBorders>
          </w:tcPr>
          <w:p w:rsidR="00C157EC" w:rsidRPr="00E12434" w:rsidRDefault="00C157EC" w:rsidP="00AC4F18">
            <w:pPr>
              <w:pStyle w:val="TableTextCentered"/>
            </w:pPr>
            <w:r w:rsidRPr="00807FB9">
              <w:t>53,423</w:t>
            </w:r>
          </w:p>
        </w:tc>
        <w:tc>
          <w:tcPr>
            <w:tcW w:w="963" w:type="pct"/>
            <w:tcBorders>
              <w:bottom w:val="single" w:sz="4" w:space="0" w:color="auto"/>
            </w:tcBorders>
          </w:tcPr>
          <w:p w:rsidR="00C157EC" w:rsidRPr="00E12434" w:rsidRDefault="00C157EC" w:rsidP="00AC4F18">
            <w:pPr>
              <w:pStyle w:val="TableTextCentered"/>
            </w:pPr>
            <w:r w:rsidRPr="00807FB9">
              <w:t>4,143</w:t>
            </w:r>
          </w:p>
        </w:tc>
        <w:tc>
          <w:tcPr>
            <w:tcW w:w="959" w:type="pct"/>
            <w:tcBorders>
              <w:bottom w:val="single" w:sz="4" w:space="0" w:color="auto"/>
            </w:tcBorders>
          </w:tcPr>
          <w:p w:rsidR="00C157EC" w:rsidRPr="00E12434" w:rsidRDefault="00C157EC" w:rsidP="00AC4F18">
            <w:pPr>
              <w:pStyle w:val="TableTextCentered"/>
            </w:pPr>
            <w:r w:rsidRPr="00807FB9">
              <w:t>7.76%</w:t>
            </w:r>
          </w:p>
        </w:tc>
      </w:tr>
      <w:tr w:rsidR="00C157EC" w:rsidRPr="006F1905" w:rsidTr="002D6597">
        <w:tc>
          <w:tcPr>
            <w:tcW w:w="960" w:type="pct"/>
            <w:tcBorders>
              <w:bottom w:val="single" w:sz="4" w:space="0" w:color="auto"/>
            </w:tcBorders>
          </w:tcPr>
          <w:p w:rsidR="00C157EC" w:rsidRPr="00807FB9" w:rsidRDefault="00C157EC" w:rsidP="00BD18E1">
            <w:pPr>
              <w:pStyle w:val="TableText"/>
              <w:jc w:val="center"/>
            </w:pPr>
            <w:r w:rsidRPr="00C20B19">
              <w:t>202</w:t>
            </w:r>
            <w:r>
              <w:t>1–2</w:t>
            </w:r>
            <w:r w:rsidRPr="00C20B19">
              <w:t>2</w:t>
            </w:r>
          </w:p>
        </w:tc>
        <w:tc>
          <w:tcPr>
            <w:tcW w:w="1011" w:type="pct"/>
            <w:tcBorders>
              <w:bottom w:val="single" w:sz="4" w:space="0" w:color="auto"/>
            </w:tcBorders>
          </w:tcPr>
          <w:p w:rsidR="00C157EC" w:rsidRPr="00E12434" w:rsidRDefault="00C157EC" w:rsidP="00AC4F18">
            <w:pPr>
              <w:pStyle w:val="TableTextCentered"/>
            </w:pPr>
            <w:r w:rsidRPr="00807FB9">
              <w:t>57,968</w:t>
            </w:r>
          </w:p>
        </w:tc>
        <w:tc>
          <w:tcPr>
            <w:tcW w:w="1107" w:type="pct"/>
            <w:tcBorders>
              <w:bottom w:val="single" w:sz="4" w:space="0" w:color="auto"/>
            </w:tcBorders>
          </w:tcPr>
          <w:p w:rsidR="00C157EC" w:rsidRPr="00E12434" w:rsidRDefault="00C157EC" w:rsidP="00AC4F18">
            <w:pPr>
              <w:pStyle w:val="TableTextCentered"/>
            </w:pPr>
            <w:r w:rsidRPr="00807FB9">
              <w:t>53,217</w:t>
            </w:r>
          </w:p>
        </w:tc>
        <w:tc>
          <w:tcPr>
            <w:tcW w:w="963" w:type="pct"/>
            <w:tcBorders>
              <w:bottom w:val="single" w:sz="4" w:space="0" w:color="auto"/>
            </w:tcBorders>
          </w:tcPr>
          <w:p w:rsidR="00C157EC" w:rsidRPr="00E12434" w:rsidRDefault="00C157EC" w:rsidP="00AC4F18">
            <w:pPr>
              <w:pStyle w:val="TableTextCentered"/>
            </w:pPr>
            <w:r w:rsidRPr="00807FB9">
              <w:t>4,751</w:t>
            </w:r>
          </w:p>
        </w:tc>
        <w:tc>
          <w:tcPr>
            <w:tcW w:w="959" w:type="pct"/>
            <w:tcBorders>
              <w:bottom w:val="single" w:sz="4" w:space="0" w:color="auto"/>
            </w:tcBorders>
          </w:tcPr>
          <w:p w:rsidR="00C157EC" w:rsidRPr="00E12434" w:rsidRDefault="00C157EC" w:rsidP="00AC4F18">
            <w:pPr>
              <w:pStyle w:val="TableTextCentered"/>
            </w:pPr>
            <w:r w:rsidRPr="00807FB9">
              <w:t>8.93%</w:t>
            </w:r>
          </w:p>
        </w:tc>
      </w:tr>
      <w:tr w:rsidR="00AC4F18" w:rsidRPr="006F1905" w:rsidTr="002D6597">
        <w:tc>
          <w:tcPr>
            <w:tcW w:w="960" w:type="pct"/>
            <w:tcBorders>
              <w:bottom w:val="single" w:sz="4" w:space="0" w:color="auto"/>
            </w:tcBorders>
          </w:tcPr>
          <w:p w:rsidR="00C157EC" w:rsidRPr="00807FB9" w:rsidRDefault="00C157EC" w:rsidP="00BD18E1">
            <w:pPr>
              <w:pStyle w:val="TableText"/>
              <w:jc w:val="center"/>
            </w:pPr>
            <w:r w:rsidRPr="00C20B19">
              <w:t>202</w:t>
            </w:r>
            <w:r>
              <w:t>2–2</w:t>
            </w:r>
            <w:r w:rsidRPr="00C20B19">
              <w:t>3</w:t>
            </w:r>
          </w:p>
        </w:tc>
        <w:tc>
          <w:tcPr>
            <w:tcW w:w="1011" w:type="pct"/>
            <w:tcBorders>
              <w:bottom w:val="single" w:sz="4" w:space="0" w:color="auto"/>
            </w:tcBorders>
          </w:tcPr>
          <w:p w:rsidR="00C157EC" w:rsidRPr="00E12434" w:rsidRDefault="00C157EC" w:rsidP="00AC4F18">
            <w:pPr>
              <w:pStyle w:val="TableTextCentered"/>
            </w:pPr>
            <w:r w:rsidRPr="00807FB9">
              <w:t>58,377</w:t>
            </w:r>
          </w:p>
        </w:tc>
        <w:tc>
          <w:tcPr>
            <w:tcW w:w="1107" w:type="pct"/>
            <w:tcBorders>
              <w:bottom w:val="single" w:sz="4" w:space="0" w:color="auto"/>
            </w:tcBorders>
          </w:tcPr>
          <w:p w:rsidR="00C157EC" w:rsidRPr="00E12434" w:rsidRDefault="00C157EC" w:rsidP="00AC4F18">
            <w:pPr>
              <w:pStyle w:val="TableTextCentered"/>
            </w:pPr>
            <w:r w:rsidRPr="00807FB9">
              <w:t>52,988</w:t>
            </w:r>
          </w:p>
        </w:tc>
        <w:tc>
          <w:tcPr>
            <w:tcW w:w="963" w:type="pct"/>
            <w:tcBorders>
              <w:bottom w:val="single" w:sz="4" w:space="0" w:color="auto"/>
            </w:tcBorders>
          </w:tcPr>
          <w:p w:rsidR="00C157EC" w:rsidRPr="00E12434" w:rsidRDefault="00C157EC" w:rsidP="00AC4F18">
            <w:pPr>
              <w:pStyle w:val="TableTextCentered"/>
            </w:pPr>
            <w:r w:rsidRPr="00807FB9">
              <w:t>5,388</w:t>
            </w:r>
          </w:p>
        </w:tc>
        <w:tc>
          <w:tcPr>
            <w:tcW w:w="959" w:type="pct"/>
            <w:tcBorders>
              <w:bottom w:val="single" w:sz="4" w:space="0" w:color="auto"/>
            </w:tcBorders>
          </w:tcPr>
          <w:p w:rsidR="00C157EC" w:rsidRPr="00E12434" w:rsidRDefault="00C157EC" w:rsidP="00AC4F18">
            <w:pPr>
              <w:pStyle w:val="TableTextCentered"/>
            </w:pPr>
            <w:r w:rsidRPr="00807FB9">
              <w:t>10.17%</w:t>
            </w:r>
          </w:p>
        </w:tc>
      </w:tr>
      <w:tr w:rsidR="00C157EC" w:rsidRPr="006F1905" w:rsidTr="002D6597">
        <w:tc>
          <w:tcPr>
            <w:tcW w:w="960" w:type="pct"/>
          </w:tcPr>
          <w:p w:rsidR="00C157EC" w:rsidRPr="00807FB9" w:rsidRDefault="00C157EC" w:rsidP="00BD18E1">
            <w:pPr>
              <w:pStyle w:val="TableText"/>
              <w:jc w:val="center"/>
            </w:pPr>
            <w:r w:rsidRPr="00C20B19">
              <w:t>202</w:t>
            </w:r>
            <w:r>
              <w:t>3–2</w:t>
            </w:r>
            <w:r w:rsidRPr="00C20B19">
              <w:t>4</w:t>
            </w:r>
          </w:p>
        </w:tc>
        <w:tc>
          <w:tcPr>
            <w:tcW w:w="1011" w:type="pct"/>
          </w:tcPr>
          <w:p w:rsidR="00C157EC" w:rsidRPr="00E12434" w:rsidRDefault="00C157EC" w:rsidP="00AC4F18">
            <w:pPr>
              <w:pStyle w:val="TableTextCentered"/>
            </w:pPr>
            <w:r w:rsidRPr="00807FB9">
              <w:t>58,791</w:t>
            </w:r>
          </w:p>
        </w:tc>
        <w:tc>
          <w:tcPr>
            <w:tcW w:w="1107" w:type="pct"/>
          </w:tcPr>
          <w:p w:rsidR="00C157EC" w:rsidRPr="00E12434" w:rsidRDefault="00C157EC" w:rsidP="00AC4F18">
            <w:pPr>
              <w:pStyle w:val="TableTextCentered"/>
            </w:pPr>
            <w:r w:rsidRPr="00807FB9">
              <w:t>52,745</w:t>
            </w:r>
          </w:p>
        </w:tc>
        <w:tc>
          <w:tcPr>
            <w:tcW w:w="963" w:type="pct"/>
          </w:tcPr>
          <w:p w:rsidR="00C157EC" w:rsidRPr="00E12434" w:rsidRDefault="00C157EC" w:rsidP="00AC4F18">
            <w:pPr>
              <w:pStyle w:val="TableTextCentered"/>
            </w:pPr>
            <w:r w:rsidRPr="00807FB9">
              <w:t>6,046</w:t>
            </w:r>
          </w:p>
        </w:tc>
        <w:tc>
          <w:tcPr>
            <w:tcW w:w="959" w:type="pct"/>
          </w:tcPr>
          <w:p w:rsidR="00C157EC" w:rsidRPr="00E12434" w:rsidRDefault="00C157EC" w:rsidP="00AC4F18">
            <w:pPr>
              <w:pStyle w:val="TableTextCentered"/>
            </w:pPr>
            <w:r w:rsidRPr="00807FB9">
              <w:t>11.46%</w:t>
            </w:r>
          </w:p>
        </w:tc>
      </w:tr>
    </w:tbl>
    <w:p w:rsidR="00C157EC" w:rsidRPr="00CC4696" w:rsidRDefault="00C157EC" w:rsidP="00AC4F18">
      <w:pPr>
        <w:pStyle w:val="FigureTitle"/>
      </w:pPr>
      <w:proofErr w:type="gramStart"/>
      <w:r>
        <w:t>Figure 14.</w:t>
      </w:r>
      <w:proofErr w:type="gramEnd"/>
      <w:r>
        <w:t xml:space="preserve"> Historical and Projected Statewide Supply and Demand for General Education Teachers in Terms of FTEs, 2008–09</w:t>
      </w:r>
      <w:r w:rsidR="0092042A">
        <w:t xml:space="preserve"> Through </w:t>
      </w:r>
      <w:r>
        <w:t>2023–24</w:t>
      </w:r>
    </w:p>
    <w:p w:rsidR="00C157EC" w:rsidRDefault="00C157EC" w:rsidP="009235C1">
      <w:pPr>
        <w:pStyle w:val="FigurePlacement"/>
      </w:pPr>
      <w:r w:rsidRPr="00CE3832">
        <w:rPr>
          <w:noProof/>
          <w:lang w:eastAsia="zh-CN" w:bidi="km-KH"/>
        </w:rPr>
        <w:drawing>
          <wp:inline distT="0" distB="0" distL="0" distR="0">
            <wp:extent cx="5581971" cy="3657600"/>
            <wp:effectExtent l="19050" t="0" r="0" b="0"/>
            <wp:docPr id="254" name="Picture 254" descr="As shown in Figure 14, there is an expected statewide surplus of 1,058 FTEs (supply exceeds demand by 1.95 percent) in 2014–15, which is projected to grow to 6,046 FTEs (11.46 percent) by 2023–24.&#10;&#10;Figure 14. Historical and Projected Statewide Supply and Demand for General Education Teachers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277" t="53269" r="2903" b="3104"/>
                    <a:stretch/>
                  </pic:blipFill>
                  <pic:spPr bwMode="auto">
                    <a:xfrm>
                      <a:off x="0" y="0"/>
                      <a:ext cx="5581971"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9235C1">
      <w:pPr>
        <w:pStyle w:val="BodyText"/>
      </w:pPr>
      <w:r>
        <w:t>In contrast, both the demand and supply of CTE teachers are projected to decline over the next 10 years, but at differing rates. As shown in Table 8 and Figure 15, there is an expected surplus of 22 FTEs (1.16 percent) in 2014–15 that is projected to grow to 218 FTEs (13.89 percent) by 2023–24.</w:t>
      </w:r>
    </w:p>
    <w:p w:rsidR="00C157EC" w:rsidRPr="009235C1" w:rsidRDefault="00C157EC" w:rsidP="009235C1">
      <w:pPr>
        <w:pStyle w:val="TableTitle"/>
      </w:pPr>
      <w:proofErr w:type="gramStart"/>
      <w:r>
        <w:t>Table 8</w:t>
      </w:r>
      <w:r w:rsidRPr="00CC4696">
        <w:t>.</w:t>
      </w:r>
      <w:proofErr w:type="gramEnd"/>
      <w:r w:rsidRPr="00CC4696">
        <w:t xml:space="preserve"> Projected </w:t>
      </w:r>
      <w:r>
        <w:t xml:space="preserve">Statewide </w:t>
      </w:r>
      <w:r w:rsidRPr="00CC4696">
        <w:t>Demand</w:t>
      </w:r>
      <w:r>
        <w:t xml:space="preserve"> and </w:t>
      </w:r>
      <w:r w:rsidRPr="00CC4696">
        <w:t xml:space="preserve">Supply </w:t>
      </w:r>
      <w:r>
        <w:t xml:space="preserve">of </w:t>
      </w:r>
      <w:r w:rsidRPr="00F158FB">
        <w:t>Career</w:t>
      </w:r>
      <w:r w:rsidR="00FC72FA">
        <w:t>/Vocational/</w:t>
      </w:r>
      <w:r w:rsidRPr="00F158FB">
        <w:t xml:space="preserve">Technical </w:t>
      </w:r>
      <w:r>
        <w:t xml:space="preserve">Education Teachers in Terms of FTEs </w:t>
      </w:r>
      <w:r w:rsidRPr="00CC4696">
        <w:t xml:space="preserve">and </w:t>
      </w:r>
      <w:r>
        <w:t xml:space="preserve">Absolute and </w:t>
      </w:r>
      <w:r w:rsidRPr="00CC4696">
        <w:t>Relative Differences</w:t>
      </w:r>
      <w:r>
        <w:t>, 2014–15</w:t>
      </w:r>
      <w:r w:rsidR="0092042A">
        <w:t xml:space="preserve"> </w:t>
      </w:r>
      <w:proofErr w:type="gramStart"/>
      <w:r w:rsidR="0092042A">
        <w:t>Through</w:t>
      </w:r>
      <w:proofErr w:type="gramEnd"/>
      <w:r w:rsidR="0092042A">
        <w:t xml:space="preserve"> </w:t>
      </w:r>
      <w:r w:rsidRPr="00CC4696">
        <w:t>2023</w:t>
      </w:r>
      <w:r>
        <w:t>–</w:t>
      </w:r>
      <w:r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2"/>
        <w:gridCol w:w="1939"/>
        <w:gridCol w:w="2123"/>
        <w:gridCol w:w="1847"/>
        <w:gridCol w:w="1839"/>
      </w:tblGrid>
      <w:tr w:rsidR="009235C1" w:rsidRPr="00D97567" w:rsidTr="004E50CD">
        <w:trPr>
          <w:cnfStyle w:val="100000000000"/>
        </w:trPr>
        <w:tc>
          <w:tcPr>
            <w:tcW w:w="960" w:type="pct"/>
            <w:tcBorders>
              <w:bottom w:val="single" w:sz="4" w:space="0" w:color="auto"/>
            </w:tcBorders>
          </w:tcPr>
          <w:p w:rsidR="00C157EC" w:rsidRPr="00807FB9" w:rsidRDefault="00C157EC" w:rsidP="00BD18E1">
            <w:pPr>
              <w:pStyle w:val="TableText"/>
              <w:jc w:val="center"/>
            </w:pPr>
            <w:r>
              <w:t>Year</w:t>
            </w:r>
          </w:p>
        </w:tc>
        <w:tc>
          <w:tcPr>
            <w:tcW w:w="1011" w:type="pct"/>
            <w:tcBorders>
              <w:bottom w:val="single" w:sz="4" w:space="0" w:color="auto"/>
            </w:tcBorders>
          </w:tcPr>
          <w:p w:rsidR="00C157EC" w:rsidRPr="00E12434" w:rsidRDefault="00C157EC" w:rsidP="009235C1">
            <w:pPr>
              <w:pStyle w:val="TableTextCentered"/>
            </w:pPr>
            <w:r w:rsidRPr="00807FB9">
              <w:t>Projected Supply</w:t>
            </w:r>
          </w:p>
        </w:tc>
        <w:tc>
          <w:tcPr>
            <w:tcW w:w="1107" w:type="pct"/>
            <w:tcBorders>
              <w:bottom w:val="single" w:sz="4" w:space="0" w:color="auto"/>
            </w:tcBorders>
          </w:tcPr>
          <w:p w:rsidR="00C157EC" w:rsidRPr="00807FB9" w:rsidRDefault="00C157EC" w:rsidP="009235C1">
            <w:pPr>
              <w:pStyle w:val="TableTextCentered"/>
            </w:pPr>
            <w:r w:rsidRPr="00807FB9">
              <w:t>Projected Demand</w:t>
            </w:r>
          </w:p>
        </w:tc>
        <w:tc>
          <w:tcPr>
            <w:tcW w:w="963" w:type="pct"/>
            <w:tcBorders>
              <w:bottom w:val="single" w:sz="4" w:space="0" w:color="auto"/>
            </w:tcBorders>
          </w:tcPr>
          <w:p w:rsidR="00C157EC" w:rsidRPr="00D97567" w:rsidRDefault="00C157EC" w:rsidP="009235C1">
            <w:pPr>
              <w:pStyle w:val="TableTextCentered"/>
            </w:pPr>
            <w:r w:rsidRPr="00807FB9">
              <w:t xml:space="preserve">Absolute Difference </w:t>
            </w:r>
            <w:r>
              <w:t>B</w:t>
            </w:r>
            <w:r w:rsidRPr="00807FB9">
              <w:t>etween Supply and Demand</w:t>
            </w:r>
          </w:p>
        </w:tc>
        <w:tc>
          <w:tcPr>
            <w:tcW w:w="959" w:type="pct"/>
            <w:tcBorders>
              <w:bottom w:val="single" w:sz="4" w:space="0" w:color="auto"/>
            </w:tcBorders>
          </w:tcPr>
          <w:p w:rsidR="00C157EC" w:rsidRPr="00807FB9" w:rsidRDefault="00C157EC" w:rsidP="009235C1">
            <w:pPr>
              <w:pStyle w:val="TableTextCentered"/>
            </w:pPr>
            <w:r w:rsidRPr="00807FB9">
              <w:t xml:space="preserve">Relative Difference </w:t>
            </w:r>
            <w:r>
              <w:t>B</w:t>
            </w:r>
            <w:r w:rsidRPr="00807FB9">
              <w:t>etween Supply and Demand</w:t>
            </w:r>
          </w:p>
        </w:tc>
      </w:tr>
      <w:tr w:rsidR="009235C1" w:rsidRPr="00D97567" w:rsidTr="004E50CD">
        <w:tc>
          <w:tcPr>
            <w:tcW w:w="960" w:type="pct"/>
            <w:tcBorders>
              <w:bottom w:val="single" w:sz="4" w:space="0" w:color="auto"/>
            </w:tcBorders>
          </w:tcPr>
          <w:p w:rsidR="00C157EC" w:rsidRPr="00807FB9" w:rsidRDefault="00C157EC" w:rsidP="00BD18E1">
            <w:pPr>
              <w:pStyle w:val="TableText"/>
              <w:jc w:val="center"/>
            </w:pPr>
            <w:r w:rsidRPr="00C20B19">
              <w:t>201</w:t>
            </w:r>
            <w:r>
              <w:t>4</w:t>
            </w:r>
            <w:r>
              <w:rPr>
                <w:b/>
              </w:rPr>
              <w:t>–</w:t>
            </w:r>
            <w:r>
              <w:t>1</w:t>
            </w:r>
            <w:r w:rsidRPr="00C20B19">
              <w:t>5</w:t>
            </w:r>
          </w:p>
        </w:tc>
        <w:tc>
          <w:tcPr>
            <w:tcW w:w="1011" w:type="pct"/>
            <w:tcBorders>
              <w:bottom w:val="single" w:sz="4" w:space="0" w:color="auto"/>
            </w:tcBorders>
          </w:tcPr>
          <w:p w:rsidR="00C157EC" w:rsidRPr="00E12434" w:rsidRDefault="00C157EC" w:rsidP="009235C1">
            <w:pPr>
              <w:pStyle w:val="TableTextCentered"/>
            </w:pPr>
            <w:r w:rsidRPr="00807FB9">
              <w:t>1,914</w:t>
            </w:r>
          </w:p>
        </w:tc>
        <w:tc>
          <w:tcPr>
            <w:tcW w:w="1107" w:type="pct"/>
            <w:tcBorders>
              <w:bottom w:val="single" w:sz="4" w:space="0" w:color="auto"/>
            </w:tcBorders>
          </w:tcPr>
          <w:p w:rsidR="00C157EC" w:rsidRPr="00807FB9" w:rsidRDefault="00C157EC" w:rsidP="009235C1">
            <w:pPr>
              <w:pStyle w:val="TableTextCentered"/>
            </w:pPr>
            <w:r w:rsidRPr="00807FB9">
              <w:t>1,892</w:t>
            </w:r>
          </w:p>
        </w:tc>
        <w:tc>
          <w:tcPr>
            <w:tcW w:w="963" w:type="pct"/>
            <w:tcBorders>
              <w:bottom w:val="single" w:sz="4" w:space="0" w:color="auto"/>
            </w:tcBorders>
          </w:tcPr>
          <w:p w:rsidR="00C157EC" w:rsidRPr="00D97567" w:rsidRDefault="00C157EC" w:rsidP="009235C1">
            <w:pPr>
              <w:pStyle w:val="TableTextCentered"/>
            </w:pPr>
            <w:r w:rsidRPr="00807FB9">
              <w:t>22</w:t>
            </w:r>
          </w:p>
        </w:tc>
        <w:tc>
          <w:tcPr>
            <w:tcW w:w="959" w:type="pct"/>
            <w:tcBorders>
              <w:bottom w:val="single" w:sz="4" w:space="0" w:color="auto"/>
            </w:tcBorders>
          </w:tcPr>
          <w:p w:rsidR="00C157EC" w:rsidRPr="00807FB9" w:rsidRDefault="00C157EC" w:rsidP="009235C1">
            <w:pPr>
              <w:pStyle w:val="TableTextCentered"/>
            </w:pPr>
            <w:r w:rsidRPr="00807FB9">
              <w:t>1.16%</w:t>
            </w:r>
          </w:p>
        </w:tc>
      </w:tr>
      <w:tr w:rsidR="009235C1" w:rsidRPr="00D97567" w:rsidTr="004E50CD">
        <w:tc>
          <w:tcPr>
            <w:tcW w:w="960" w:type="pct"/>
            <w:tcBorders>
              <w:bottom w:val="single" w:sz="4" w:space="0" w:color="auto"/>
            </w:tcBorders>
          </w:tcPr>
          <w:p w:rsidR="00C157EC" w:rsidRPr="00807FB9" w:rsidRDefault="00C157EC" w:rsidP="00BD18E1">
            <w:pPr>
              <w:pStyle w:val="TableText"/>
              <w:jc w:val="center"/>
            </w:pPr>
            <w:r w:rsidRPr="00C20B19">
              <w:t>201</w:t>
            </w:r>
            <w:r>
              <w:t>5</w:t>
            </w:r>
            <w:r>
              <w:rPr>
                <w:b/>
              </w:rPr>
              <w:t>–</w:t>
            </w:r>
            <w:r>
              <w:t>1</w:t>
            </w:r>
            <w:r w:rsidRPr="00C20B19">
              <w:t>6</w:t>
            </w:r>
          </w:p>
        </w:tc>
        <w:tc>
          <w:tcPr>
            <w:tcW w:w="1011" w:type="pct"/>
            <w:tcBorders>
              <w:bottom w:val="single" w:sz="4" w:space="0" w:color="auto"/>
            </w:tcBorders>
          </w:tcPr>
          <w:p w:rsidR="00C157EC" w:rsidRPr="00E12434" w:rsidRDefault="00C157EC" w:rsidP="009235C1">
            <w:pPr>
              <w:pStyle w:val="TableTextCentered"/>
            </w:pPr>
            <w:r w:rsidRPr="00807FB9">
              <w:t>1,893</w:t>
            </w:r>
          </w:p>
        </w:tc>
        <w:tc>
          <w:tcPr>
            <w:tcW w:w="1107" w:type="pct"/>
            <w:tcBorders>
              <w:bottom w:val="single" w:sz="4" w:space="0" w:color="auto"/>
            </w:tcBorders>
          </w:tcPr>
          <w:p w:rsidR="00C157EC" w:rsidRPr="00807FB9" w:rsidRDefault="00C157EC" w:rsidP="009235C1">
            <w:pPr>
              <w:pStyle w:val="TableTextCentered"/>
            </w:pPr>
            <w:r w:rsidRPr="00807FB9">
              <w:t>1,855</w:t>
            </w:r>
          </w:p>
        </w:tc>
        <w:tc>
          <w:tcPr>
            <w:tcW w:w="963" w:type="pct"/>
            <w:tcBorders>
              <w:bottom w:val="single" w:sz="4" w:space="0" w:color="auto"/>
            </w:tcBorders>
          </w:tcPr>
          <w:p w:rsidR="00C157EC" w:rsidRPr="00D97567" w:rsidRDefault="00C157EC" w:rsidP="009235C1">
            <w:pPr>
              <w:pStyle w:val="TableTextCentered"/>
            </w:pPr>
            <w:r w:rsidRPr="00807FB9">
              <w:t>39</w:t>
            </w:r>
          </w:p>
        </w:tc>
        <w:tc>
          <w:tcPr>
            <w:tcW w:w="959" w:type="pct"/>
            <w:tcBorders>
              <w:bottom w:val="single" w:sz="4" w:space="0" w:color="auto"/>
            </w:tcBorders>
          </w:tcPr>
          <w:p w:rsidR="00C157EC" w:rsidRPr="00807FB9" w:rsidRDefault="00C157EC" w:rsidP="009235C1">
            <w:pPr>
              <w:pStyle w:val="TableTextCentered"/>
            </w:pPr>
            <w:r w:rsidRPr="00807FB9">
              <w:t>2.09%</w:t>
            </w:r>
          </w:p>
        </w:tc>
      </w:tr>
      <w:tr w:rsidR="009235C1" w:rsidRPr="00D97567" w:rsidTr="004E50CD">
        <w:tc>
          <w:tcPr>
            <w:tcW w:w="960" w:type="pct"/>
            <w:tcBorders>
              <w:bottom w:val="single" w:sz="4" w:space="0" w:color="auto"/>
            </w:tcBorders>
          </w:tcPr>
          <w:p w:rsidR="00C157EC" w:rsidRPr="00807FB9" w:rsidRDefault="00C157EC" w:rsidP="00BD18E1">
            <w:pPr>
              <w:pStyle w:val="TableText"/>
              <w:jc w:val="center"/>
            </w:pPr>
            <w:r w:rsidRPr="00C20B19">
              <w:t>201</w:t>
            </w:r>
            <w:r>
              <w:t>6</w:t>
            </w:r>
            <w:r>
              <w:rPr>
                <w:b/>
              </w:rPr>
              <w:t>–</w:t>
            </w:r>
            <w:r>
              <w:t>1</w:t>
            </w:r>
            <w:r w:rsidRPr="00C20B19">
              <w:t>7</w:t>
            </w:r>
          </w:p>
        </w:tc>
        <w:tc>
          <w:tcPr>
            <w:tcW w:w="1011" w:type="pct"/>
            <w:tcBorders>
              <w:bottom w:val="single" w:sz="4" w:space="0" w:color="auto"/>
            </w:tcBorders>
          </w:tcPr>
          <w:p w:rsidR="00C157EC" w:rsidRPr="00E12434" w:rsidRDefault="00C157EC" w:rsidP="009235C1">
            <w:pPr>
              <w:pStyle w:val="TableTextCentered"/>
            </w:pPr>
            <w:r w:rsidRPr="00807FB9">
              <w:t>1,874</w:t>
            </w:r>
          </w:p>
        </w:tc>
        <w:tc>
          <w:tcPr>
            <w:tcW w:w="1107" w:type="pct"/>
            <w:tcBorders>
              <w:bottom w:val="single" w:sz="4" w:space="0" w:color="auto"/>
            </w:tcBorders>
          </w:tcPr>
          <w:p w:rsidR="00C157EC" w:rsidRPr="00807FB9" w:rsidRDefault="00C157EC" w:rsidP="009235C1">
            <w:pPr>
              <w:pStyle w:val="TableTextCentered"/>
            </w:pPr>
            <w:r w:rsidRPr="00807FB9">
              <w:t>1,815</w:t>
            </w:r>
          </w:p>
        </w:tc>
        <w:tc>
          <w:tcPr>
            <w:tcW w:w="963" w:type="pct"/>
            <w:tcBorders>
              <w:bottom w:val="single" w:sz="4" w:space="0" w:color="auto"/>
            </w:tcBorders>
          </w:tcPr>
          <w:p w:rsidR="00C157EC" w:rsidRPr="00D97567" w:rsidRDefault="00C157EC" w:rsidP="009235C1">
            <w:pPr>
              <w:pStyle w:val="TableTextCentered"/>
            </w:pPr>
            <w:r w:rsidRPr="00807FB9">
              <w:t>59</w:t>
            </w:r>
          </w:p>
        </w:tc>
        <w:tc>
          <w:tcPr>
            <w:tcW w:w="959" w:type="pct"/>
            <w:tcBorders>
              <w:bottom w:val="single" w:sz="4" w:space="0" w:color="auto"/>
            </w:tcBorders>
          </w:tcPr>
          <w:p w:rsidR="00C157EC" w:rsidRPr="00807FB9" w:rsidRDefault="00C157EC" w:rsidP="009235C1">
            <w:pPr>
              <w:pStyle w:val="TableTextCentered"/>
            </w:pPr>
            <w:r w:rsidRPr="00807FB9">
              <w:t>3.25%</w:t>
            </w:r>
          </w:p>
        </w:tc>
      </w:tr>
      <w:tr w:rsidR="009235C1" w:rsidRPr="00D97567" w:rsidTr="004E50CD">
        <w:tc>
          <w:tcPr>
            <w:tcW w:w="960" w:type="pct"/>
            <w:tcBorders>
              <w:bottom w:val="single" w:sz="4" w:space="0" w:color="auto"/>
            </w:tcBorders>
          </w:tcPr>
          <w:p w:rsidR="00C157EC" w:rsidRPr="00807FB9" w:rsidRDefault="00C157EC" w:rsidP="00BD18E1">
            <w:pPr>
              <w:pStyle w:val="TableText"/>
              <w:jc w:val="center"/>
            </w:pPr>
            <w:r w:rsidRPr="00C20B19">
              <w:t>201</w:t>
            </w:r>
            <w:r>
              <w:t>7</w:t>
            </w:r>
            <w:r>
              <w:rPr>
                <w:b/>
              </w:rPr>
              <w:t>–</w:t>
            </w:r>
            <w:r>
              <w:t>1</w:t>
            </w:r>
            <w:r w:rsidRPr="00C20B19">
              <w:t>8</w:t>
            </w:r>
          </w:p>
        </w:tc>
        <w:tc>
          <w:tcPr>
            <w:tcW w:w="1011" w:type="pct"/>
            <w:tcBorders>
              <w:bottom w:val="single" w:sz="4" w:space="0" w:color="auto"/>
            </w:tcBorders>
          </w:tcPr>
          <w:p w:rsidR="00C157EC" w:rsidRPr="00E12434" w:rsidRDefault="00C157EC" w:rsidP="009235C1">
            <w:pPr>
              <w:pStyle w:val="TableTextCentered"/>
            </w:pPr>
            <w:r w:rsidRPr="00807FB9">
              <w:t>1,857</w:t>
            </w:r>
          </w:p>
        </w:tc>
        <w:tc>
          <w:tcPr>
            <w:tcW w:w="1107" w:type="pct"/>
            <w:tcBorders>
              <w:bottom w:val="single" w:sz="4" w:space="0" w:color="auto"/>
            </w:tcBorders>
          </w:tcPr>
          <w:p w:rsidR="00C157EC" w:rsidRPr="00807FB9" w:rsidRDefault="00C157EC" w:rsidP="009235C1">
            <w:pPr>
              <w:pStyle w:val="TableTextCentered"/>
            </w:pPr>
            <w:r w:rsidRPr="00807FB9">
              <w:t>1,779</w:t>
            </w:r>
          </w:p>
        </w:tc>
        <w:tc>
          <w:tcPr>
            <w:tcW w:w="963" w:type="pct"/>
            <w:tcBorders>
              <w:bottom w:val="single" w:sz="4" w:space="0" w:color="auto"/>
            </w:tcBorders>
          </w:tcPr>
          <w:p w:rsidR="00C157EC" w:rsidRPr="00D97567" w:rsidRDefault="00C157EC" w:rsidP="009235C1">
            <w:pPr>
              <w:pStyle w:val="TableTextCentered"/>
            </w:pPr>
            <w:r w:rsidRPr="00807FB9">
              <w:t>77</w:t>
            </w:r>
          </w:p>
        </w:tc>
        <w:tc>
          <w:tcPr>
            <w:tcW w:w="959" w:type="pct"/>
            <w:tcBorders>
              <w:bottom w:val="single" w:sz="4" w:space="0" w:color="auto"/>
            </w:tcBorders>
          </w:tcPr>
          <w:p w:rsidR="00C157EC" w:rsidRPr="00807FB9" w:rsidRDefault="00C157EC" w:rsidP="009235C1">
            <w:pPr>
              <w:pStyle w:val="TableTextCentered"/>
            </w:pPr>
            <w:r w:rsidRPr="00807FB9">
              <w:t>4.35%</w:t>
            </w:r>
          </w:p>
        </w:tc>
      </w:tr>
      <w:tr w:rsidR="009235C1" w:rsidRPr="00D97567" w:rsidTr="004E50CD">
        <w:tc>
          <w:tcPr>
            <w:tcW w:w="960" w:type="pct"/>
            <w:tcBorders>
              <w:bottom w:val="single" w:sz="4" w:space="0" w:color="auto"/>
            </w:tcBorders>
          </w:tcPr>
          <w:p w:rsidR="00C157EC" w:rsidRPr="00807FB9" w:rsidRDefault="00C157EC" w:rsidP="00BD18E1">
            <w:pPr>
              <w:pStyle w:val="TableText"/>
              <w:jc w:val="center"/>
            </w:pPr>
            <w:r w:rsidRPr="00C20B19">
              <w:t>201</w:t>
            </w:r>
            <w:r>
              <w:t>8</w:t>
            </w:r>
            <w:r>
              <w:rPr>
                <w:b/>
              </w:rPr>
              <w:t>–</w:t>
            </w:r>
            <w:r>
              <w:t>1</w:t>
            </w:r>
            <w:r w:rsidRPr="00C20B19">
              <w:t>9</w:t>
            </w:r>
          </w:p>
        </w:tc>
        <w:tc>
          <w:tcPr>
            <w:tcW w:w="1011" w:type="pct"/>
            <w:tcBorders>
              <w:bottom w:val="single" w:sz="4" w:space="0" w:color="auto"/>
            </w:tcBorders>
          </w:tcPr>
          <w:p w:rsidR="00C157EC" w:rsidRPr="00E12434" w:rsidRDefault="00C157EC" w:rsidP="009235C1">
            <w:pPr>
              <w:pStyle w:val="TableTextCentered"/>
            </w:pPr>
            <w:r w:rsidRPr="00807FB9">
              <w:t>1,841</w:t>
            </w:r>
          </w:p>
        </w:tc>
        <w:tc>
          <w:tcPr>
            <w:tcW w:w="1107" w:type="pct"/>
            <w:tcBorders>
              <w:bottom w:val="single" w:sz="4" w:space="0" w:color="auto"/>
            </w:tcBorders>
          </w:tcPr>
          <w:p w:rsidR="00C157EC" w:rsidRPr="00807FB9" w:rsidRDefault="00C157EC" w:rsidP="009235C1">
            <w:pPr>
              <w:pStyle w:val="TableTextCentered"/>
            </w:pPr>
            <w:r w:rsidRPr="00807FB9">
              <w:t>1,740</w:t>
            </w:r>
          </w:p>
        </w:tc>
        <w:tc>
          <w:tcPr>
            <w:tcW w:w="963" w:type="pct"/>
            <w:tcBorders>
              <w:bottom w:val="single" w:sz="4" w:space="0" w:color="auto"/>
            </w:tcBorders>
          </w:tcPr>
          <w:p w:rsidR="00C157EC" w:rsidRPr="00D97567" w:rsidRDefault="00C157EC" w:rsidP="009235C1">
            <w:pPr>
              <w:pStyle w:val="TableTextCentered"/>
            </w:pPr>
            <w:r w:rsidRPr="00807FB9">
              <w:t>101</w:t>
            </w:r>
          </w:p>
        </w:tc>
        <w:tc>
          <w:tcPr>
            <w:tcW w:w="959" w:type="pct"/>
            <w:tcBorders>
              <w:bottom w:val="single" w:sz="4" w:space="0" w:color="auto"/>
            </w:tcBorders>
          </w:tcPr>
          <w:p w:rsidR="00C157EC" w:rsidRPr="00807FB9" w:rsidRDefault="00C157EC" w:rsidP="009235C1">
            <w:pPr>
              <w:pStyle w:val="TableTextCentered"/>
            </w:pPr>
            <w:r w:rsidRPr="00807FB9">
              <w:t>5.8</w:t>
            </w:r>
            <w:r>
              <w:t>0</w:t>
            </w:r>
            <w:r w:rsidRPr="00807FB9">
              <w:t>%</w:t>
            </w:r>
          </w:p>
        </w:tc>
      </w:tr>
      <w:tr w:rsidR="009235C1" w:rsidRPr="00D97567" w:rsidTr="004E50CD">
        <w:tc>
          <w:tcPr>
            <w:tcW w:w="960" w:type="pct"/>
            <w:tcBorders>
              <w:bottom w:val="single" w:sz="4" w:space="0" w:color="auto"/>
            </w:tcBorders>
          </w:tcPr>
          <w:p w:rsidR="00C157EC" w:rsidRPr="00807FB9" w:rsidRDefault="00C157EC" w:rsidP="00BD18E1">
            <w:pPr>
              <w:pStyle w:val="TableText"/>
              <w:jc w:val="center"/>
            </w:pPr>
            <w:r w:rsidRPr="00C20B19">
              <w:t>20</w:t>
            </w:r>
            <w:r>
              <w:t>19</w:t>
            </w:r>
            <w:r>
              <w:rPr>
                <w:b/>
              </w:rPr>
              <w:t>–</w:t>
            </w:r>
            <w:r w:rsidRPr="00C20B19">
              <w:t>20</w:t>
            </w:r>
          </w:p>
        </w:tc>
        <w:tc>
          <w:tcPr>
            <w:tcW w:w="1011" w:type="pct"/>
            <w:tcBorders>
              <w:bottom w:val="single" w:sz="4" w:space="0" w:color="auto"/>
            </w:tcBorders>
          </w:tcPr>
          <w:p w:rsidR="00C157EC" w:rsidRPr="00E12434" w:rsidRDefault="00C157EC" w:rsidP="009235C1">
            <w:pPr>
              <w:pStyle w:val="TableTextCentered"/>
            </w:pPr>
            <w:r w:rsidRPr="00807FB9">
              <w:t>1,827</w:t>
            </w:r>
          </w:p>
        </w:tc>
        <w:tc>
          <w:tcPr>
            <w:tcW w:w="1107" w:type="pct"/>
            <w:tcBorders>
              <w:bottom w:val="single" w:sz="4" w:space="0" w:color="auto"/>
            </w:tcBorders>
          </w:tcPr>
          <w:p w:rsidR="00C157EC" w:rsidRPr="00807FB9" w:rsidRDefault="00C157EC" w:rsidP="009235C1">
            <w:pPr>
              <w:pStyle w:val="TableTextCentered"/>
            </w:pPr>
            <w:r w:rsidRPr="00807FB9">
              <w:t>1,706</w:t>
            </w:r>
          </w:p>
        </w:tc>
        <w:tc>
          <w:tcPr>
            <w:tcW w:w="963" w:type="pct"/>
            <w:tcBorders>
              <w:bottom w:val="single" w:sz="4" w:space="0" w:color="auto"/>
            </w:tcBorders>
          </w:tcPr>
          <w:p w:rsidR="00C157EC" w:rsidRPr="00D97567" w:rsidRDefault="00C157EC" w:rsidP="009235C1">
            <w:pPr>
              <w:pStyle w:val="TableTextCentered"/>
            </w:pPr>
            <w:r w:rsidRPr="00807FB9">
              <w:t>121</w:t>
            </w:r>
          </w:p>
        </w:tc>
        <w:tc>
          <w:tcPr>
            <w:tcW w:w="959" w:type="pct"/>
            <w:tcBorders>
              <w:bottom w:val="single" w:sz="4" w:space="0" w:color="auto"/>
            </w:tcBorders>
          </w:tcPr>
          <w:p w:rsidR="00C157EC" w:rsidRPr="00807FB9" w:rsidRDefault="00C157EC" w:rsidP="009235C1">
            <w:pPr>
              <w:pStyle w:val="TableTextCentered"/>
            </w:pPr>
            <w:r w:rsidRPr="00807FB9">
              <w:t>7.09%</w:t>
            </w:r>
          </w:p>
        </w:tc>
      </w:tr>
      <w:tr w:rsidR="009235C1" w:rsidRPr="00D97567" w:rsidTr="004E50CD">
        <w:tc>
          <w:tcPr>
            <w:tcW w:w="960" w:type="pct"/>
            <w:tcBorders>
              <w:bottom w:val="single" w:sz="4" w:space="0" w:color="auto"/>
            </w:tcBorders>
          </w:tcPr>
          <w:p w:rsidR="00C157EC" w:rsidRPr="00807FB9" w:rsidRDefault="00C157EC" w:rsidP="00BD18E1">
            <w:pPr>
              <w:pStyle w:val="TableText"/>
              <w:jc w:val="center"/>
            </w:pPr>
            <w:r w:rsidRPr="00C20B19">
              <w:t>202</w:t>
            </w:r>
            <w:r>
              <w:t>0</w:t>
            </w:r>
            <w:r>
              <w:rPr>
                <w:b/>
              </w:rPr>
              <w:t>–</w:t>
            </w:r>
            <w:r>
              <w:t>2</w:t>
            </w:r>
            <w:r w:rsidRPr="00C20B19">
              <w:t>1</w:t>
            </w:r>
          </w:p>
        </w:tc>
        <w:tc>
          <w:tcPr>
            <w:tcW w:w="1011" w:type="pct"/>
            <w:tcBorders>
              <w:bottom w:val="single" w:sz="4" w:space="0" w:color="auto"/>
            </w:tcBorders>
          </w:tcPr>
          <w:p w:rsidR="00C157EC" w:rsidRPr="00E12434" w:rsidRDefault="00C157EC" w:rsidP="009235C1">
            <w:pPr>
              <w:pStyle w:val="TableTextCentered"/>
            </w:pPr>
            <w:r w:rsidRPr="00807FB9">
              <w:t>1,814</w:t>
            </w:r>
          </w:p>
        </w:tc>
        <w:tc>
          <w:tcPr>
            <w:tcW w:w="1107" w:type="pct"/>
            <w:tcBorders>
              <w:bottom w:val="single" w:sz="4" w:space="0" w:color="auto"/>
            </w:tcBorders>
          </w:tcPr>
          <w:p w:rsidR="00C157EC" w:rsidRPr="00807FB9" w:rsidRDefault="00C157EC" w:rsidP="009235C1">
            <w:pPr>
              <w:pStyle w:val="TableTextCentered"/>
            </w:pPr>
            <w:r w:rsidRPr="00807FB9">
              <w:t>1,671</w:t>
            </w:r>
          </w:p>
        </w:tc>
        <w:tc>
          <w:tcPr>
            <w:tcW w:w="963" w:type="pct"/>
            <w:tcBorders>
              <w:bottom w:val="single" w:sz="4" w:space="0" w:color="auto"/>
            </w:tcBorders>
          </w:tcPr>
          <w:p w:rsidR="00C157EC" w:rsidRPr="00D97567" w:rsidRDefault="00C157EC" w:rsidP="009235C1">
            <w:pPr>
              <w:pStyle w:val="TableTextCentered"/>
            </w:pPr>
            <w:r w:rsidRPr="00807FB9">
              <w:t>143</w:t>
            </w:r>
          </w:p>
        </w:tc>
        <w:tc>
          <w:tcPr>
            <w:tcW w:w="959" w:type="pct"/>
            <w:tcBorders>
              <w:bottom w:val="single" w:sz="4" w:space="0" w:color="auto"/>
            </w:tcBorders>
          </w:tcPr>
          <w:p w:rsidR="00C157EC" w:rsidRPr="00807FB9" w:rsidRDefault="00C157EC" w:rsidP="009235C1">
            <w:pPr>
              <w:pStyle w:val="TableTextCentered"/>
            </w:pPr>
            <w:r w:rsidRPr="00807FB9">
              <w:t>8.55%</w:t>
            </w:r>
          </w:p>
        </w:tc>
      </w:tr>
      <w:tr w:rsidR="009235C1" w:rsidRPr="00D97567" w:rsidTr="004E50CD">
        <w:tc>
          <w:tcPr>
            <w:tcW w:w="960" w:type="pct"/>
            <w:tcBorders>
              <w:bottom w:val="single" w:sz="4" w:space="0" w:color="auto"/>
            </w:tcBorders>
          </w:tcPr>
          <w:p w:rsidR="00C157EC" w:rsidRPr="00807FB9" w:rsidRDefault="00C157EC" w:rsidP="00BD18E1">
            <w:pPr>
              <w:pStyle w:val="TableText"/>
              <w:jc w:val="center"/>
            </w:pPr>
            <w:r w:rsidRPr="00C20B19">
              <w:t>202</w:t>
            </w:r>
            <w:r>
              <w:t>1</w:t>
            </w:r>
            <w:r>
              <w:rPr>
                <w:b/>
              </w:rPr>
              <w:t>–</w:t>
            </w:r>
            <w:r>
              <w:t>2</w:t>
            </w:r>
            <w:r w:rsidRPr="00C20B19">
              <w:t>2</w:t>
            </w:r>
          </w:p>
        </w:tc>
        <w:tc>
          <w:tcPr>
            <w:tcW w:w="1011" w:type="pct"/>
            <w:tcBorders>
              <w:bottom w:val="single" w:sz="4" w:space="0" w:color="auto"/>
            </w:tcBorders>
          </w:tcPr>
          <w:p w:rsidR="00C157EC" w:rsidRPr="00E12434" w:rsidRDefault="00C157EC" w:rsidP="009235C1">
            <w:pPr>
              <w:pStyle w:val="TableTextCentered"/>
            </w:pPr>
            <w:r w:rsidRPr="00807FB9">
              <w:t>1,803</w:t>
            </w:r>
          </w:p>
        </w:tc>
        <w:tc>
          <w:tcPr>
            <w:tcW w:w="1107" w:type="pct"/>
            <w:tcBorders>
              <w:bottom w:val="single" w:sz="4" w:space="0" w:color="auto"/>
            </w:tcBorders>
          </w:tcPr>
          <w:p w:rsidR="00C157EC" w:rsidRPr="00807FB9" w:rsidRDefault="00C157EC" w:rsidP="009235C1">
            <w:pPr>
              <w:pStyle w:val="TableTextCentered"/>
            </w:pPr>
            <w:r w:rsidRPr="00807FB9">
              <w:t>1,636</w:t>
            </w:r>
          </w:p>
        </w:tc>
        <w:tc>
          <w:tcPr>
            <w:tcW w:w="963" w:type="pct"/>
            <w:tcBorders>
              <w:bottom w:val="single" w:sz="4" w:space="0" w:color="auto"/>
            </w:tcBorders>
          </w:tcPr>
          <w:p w:rsidR="00C157EC" w:rsidRPr="00D97567" w:rsidRDefault="00C157EC" w:rsidP="009235C1">
            <w:pPr>
              <w:pStyle w:val="TableTextCentered"/>
            </w:pPr>
            <w:r w:rsidRPr="00807FB9">
              <w:t>166</w:t>
            </w:r>
          </w:p>
        </w:tc>
        <w:tc>
          <w:tcPr>
            <w:tcW w:w="959" w:type="pct"/>
            <w:tcBorders>
              <w:bottom w:val="single" w:sz="4" w:space="0" w:color="auto"/>
            </w:tcBorders>
          </w:tcPr>
          <w:p w:rsidR="00C157EC" w:rsidRPr="00807FB9" w:rsidRDefault="00C157EC" w:rsidP="009235C1">
            <w:pPr>
              <w:pStyle w:val="TableTextCentered"/>
            </w:pPr>
            <w:r w:rsidRPr="00807FB9">
              <w:t>10.17%</w:t>
            </w:r>
          </w:p>
        </w:tc>
      </w:tr>
      <w:tr w:rsidR="009235C1" w:rsidRPr="00D97567" w:rsidTr="004E50CD">
        <w:tc>
          <w:tcPr>
            <w:tcW w:w="960" w:type="pct"/>
            <w:tcBorders>
              <w:bottom w:val="single" w:sz="4" w:space="0" w:color="auto"/>
            </w:tcBorders>
          </w:tcPr>
          <w:p w:rsidR="00C157EC" w:rsidRPr="00807FB9" w:rsidRDefault="00C157EC" w:rsidP="00BD18E1">
            <w:pPr>
              <w:pStyle w:val="TableText"/>
              <w:jc w:val="center"/>
            </w:pPr>
            <w:r w:rsidRPr="00C20B19">
              <w:t>202</w:t>
            </w:r>
            <w:r>
              <w:t>2</w:t>
            </w:r>
            <w:r>
              <w:rPr>
                <w:b/>
              </w:rPr>
              <w:t>–</w:t>
            </w:r>
            <w:r>
              <w:t>2</w:t>
            </w:r>
            <w:r w:rsidRPr="00C20B19">
              <w:t>3</w:t>
            </w:r>
          </w:p>
        </w:tc>
        <w:tc>
          <w:tcPr>
            <w:tcW w:w="1011" w:type="pct"/>
            <w:tcBorders>
              <w:bottom w:val="single" w:sz="4" w:space="0" w:color="auto"/>
            </w:tcBorders>
          </w:tcPr>
          <w:p w:rsidR="00C157EC" w:rsidRPr="00E12434" w:rsidRDefault="00C157EC" w:rsidP="009235C1">
            <w:pPr>
              <w:pStyle w:val="TableTextCentered"/>
            </w:pPr>
            <w:r w:rsidRPr="00807FB9">
              <w:t>1,793</w:t>
            </w:r>
          </w:p>
        </w:tc>
        <w:tc>
          <w:tcPr>
            <w:tcW w:w="1107" w:type="pct"/>
            <w:tcBorders>
              <w:bottom w:val="single" w:sz="4" w:space="0" w:color="auto"/>
            </w:tcBorders>
          </w:tcPr>
          <w:p w:rsidR="00C157EC" w:rsidRPr="00807FB9" w:rsidRDefault="00C157EC" w:rsidP="009235C1">
            <w:pPr>
              <w:pStyle w:val="TableTextCentered"/>
            </w:pPr>
            <w:r w:rsidRPr="00807FB9">
              <w:t>1,601</w:t>
            </w:r>
          </w:p>
        </w:tc>
        <w:tc>
          <w:tcPr>
            <w:tcW w:w="963" w:type="pct"/>
            <w:tcBorders>
              <w:bottom w:val="single" w:sz="4" w:space="0" w:color="auto"/>
            </w:tcBorders>
          </w:tcPr>
          <w:p w:rsidR="00C157EC" w:rsidRPr="00D97567" w:rsidRDefault="00C157EC" w:rsidP="009235C1">
            <w:pPr>
              <w:pStyle w:val="TableTextCentered"/>
            </w:pPr>
            <w:r w:rsidRPr="00807FB9">
              <w:t>191</w:t>
            </w:r>
          </w:p>
        </w:tc>
        <w:tc>
          <w:tcPr>
            <w:tcW w:w="959" w:type="pct"/>
            <w:tcBorders>
              <w:bottom w:val="single" w:sz="4" w:space="0" w:color="auto"/>
            </w:tcBorders>
          </w:tcPr>
          <w:p w:rsidR="00C157EC" w:rsidRPr="00807FB9" w:rsidRDefault="00C157EC" w:rsidP="009235C1">
            <w:pPr>
              <w:pStyle w:val="TableTextCentered"/>
            </w:pPr>
            <w:r w:rsidRPr="00807FB9">
              <w:t>11.94%</w:t>
            </w:r>
          </w:p>
        </w:tc>
      </w:tr>
      <w:tr w:rsidR="00C157EC" w:rsidRPr="00D97567" w:rsidTr="004E50CD">
        <w:tc>
          <w:tcPr>
            <w:tcW w:w="960" w:type="pct"/>
          </w:tcPr>
          <w:p w:rsidR="00C157EC" w:rsidRPr="00807FB9" w:rsidRDefault="00C157EC" w:rsidP="00BD18E1">
            <w:pPr>
              <w:pStyle w:val="TableText"/>
              <w:jc w:val="center"/>
            </w:pPr>
            <w:r w:rsidRPr="00C20B19">
              <w:t>202</w:t>
            </w:r>
            <w:r>
              <w:t>3</w:t>
            </w:r>
            <w:r>
              <w:rPr>
                <w:b/>
              </w:rPr>
              <w:t>–</w:t>
            </w:r>
            <w:r>
              <w:t>2</w:t>
            </w:r>
            <w:r w:rsidRPr="00C20B19">
              <w:t>4</w:t>
            </w:r>
          </w:p>
        </w:tc>
        <w:tc>
          <w:tcPr>
            <w:tcW w:w="1011" w:type="pct"/>
          </w:tcPr>
          <w:p w:rsidR="00C157EC" w:rsidRPr="00E12434" w:rsidRDefault="00C157EC" w:rsidP="009235C1">
            <w:pPr>
              <w:pStyle w:val="TableTextCentered"/>
            </w:pPr>
            <w:r w:rsidRPr="00807FB9">
              <w:t>1,784</w:t>
            </w:r>
          </w:p>
        </w:tc>
        <w:tc>
          <w:tcPr>
            <w:tcW w:w="1107" w:type="pct"/>
          </w:tcPr>
          <w:p w:rsidR="00C157EC" w:rsidRPr="00807FB9" w:rsidRDefault="00C157EC" w:rsidP="009235C1">
            <w:pPr>
              <w:pStyle w:val="TableTextCentered"/>
            </w:pPr>
            <w:r w:rsidRPr="00807FB9">
              <w:t>1,567</w:t>
            </w:r>
          </w:p>
        </w:tc>
        <w:tc>
          <w:tcPr>
            <w:tcW w:w="963" w:type="pct"/>
          </w:tcPr>
          <w:p w:rsidR="00C157EC" w:rsidRPr="00D97567" w:rsidRDefault="00C157EC" w:rsidP="009235C1">
            <w:pPr>
              <w:pStyle w:val="TableTextCentered"/>
            </w:pPr>
            <w:r w:rsidRPr="00807FB9">
              <w:t>218</w:t>
            </w:r>
          </w:p>
        </w:tc>
        <w:tc>
          <w:tcPr>
            <w:tcW w:w="959" w:type="pct"/>
          </w:tcPr>
          <w:p w:rsidR="00C157EC" w:rsidRPr="00807FB9" w:rsidRDefault="00C157EC" w:rsidP="009235C1">
            <w:pPr>
              <w:pStyle w:val="TableTextCentered"/>
            </w:pPr>
            <w:r w:rsidRPr="00807FB9">
              <w:t>13.89%</w:t>
            </w:r>
          </w:p>
        </w:tc>
      </w:tr>
    </w:tbl>
    <w:p w:rsidR="00C157EC" w:rsidRPr="00CC4696" w:rsidRDefault="00C157EC" w:rsidP="009235C1">
      <w:pPr>
        <w:pStyle w:val="FigureTitle"/>
      </w:pPr>
      <w:proofErr w:type="gramStart"/>
      <w:r>
        <w:t>Figure 15.</w:t>
      </w:r>
      <w:proofErr w:type="gramEnd"/>
      <w:r>
        <w:t xml:space="preserve"> Historical and Projected Statewide Supply and Demand for </w:t>
      </w:r>
      <w:r w:rsidRPr="00F158FB">
        <w:t>Career</w:t>
      </w:r>
      <w:r w:rsidR="00FC72FA">
        <w:t>/Vocational/</w:t>
      </w:r>
      <w:r w:rsidRPr="00F158FB">
        <w:t xml:space="preserve">Technical </w:t>
      </w:r>
      <w:r>
        <w:t>Education Teachers in Terms of FTEs, 2008–09</w:t>
      </w:r>
      <w:r w:rsidR="0092042A">
        <w:t xml:space="preserve"> </w:t>
      </w:r>
      <w:proofErr w:type="gramStart"/>
      <w:r w:rsidR="0092042A">
        <w:t>Through</w:t>
      </w:r>
      <w:proofErr w:type="gramEnd"/>
      <w:r w:rsidR="0092042A">
        <w:t xml:space="preserve"> </w:t>
      </w:r>
      <w:r>
        <w:t>2023–24</w:t>
      </w:r>
    </w:p>
    <w:p w:rsidR="00C157EC" w:rsidRDefault="00C157EC" w:rsidP="009235C1">
      <w:pPr>
        <w:pStyle w:val="FigurePlacement"/>
      </w:pPr>
      <w:r w:rsidRPr="00A949DF">
        <w:rPr>
          <w:noProof/>
          <w:lang w:eastAsia="zh-CN" w:bidi="km-KH"/>
        </w:rPr>
        <w:drawing>
          <wp:inline distT="0" distB="0" distL="0" distR="0">
            <wp:extent cx="5613349" cy="3657600"/>
            <wp:effectExtent l="19050" t="0" r="6401" b="0"/>
            <wp:docPr id="255" name="Picture 255" descr="As shown in Table 8 and Figure 15, there is an expected surplus of 22 FTEs (1.16 percent) in 2014–15 that is projected to grow to 218 FTEs (13.89 percent) by 2023–24.&#10;&#10;Figure 15. Historical and Projected Statewide Supply and Demand for Career/Vocational/Technical Education Teachers in Terms of FTE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28" t="28863" r="2962" b="30084"/>
                    <a:stretch/>
                  </pic:blipFill>
                  <pic:spPr bwMode="auto">
                    <a:xfrm>
                      <a:off x="0" y="0"/>
                      <a:ext cx="5613349"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30701E">
      <w:pPr>
        <w:pStyle w:val="BodyText"/>
      </w:pPr>
      <w:r>
        <w:t xml:space="preserve">These surpluses may suggest that recruitment and retention is healthy among teachers in these program areas, and no additional support will be needed if historical trends persist. However, any shock in future years, such as a change in statewide policy or a large staffing change (e.g., offers for early retirement, reductions in force) could certainly impact these results. This is especially important to keep in mind for CTE teachers, who make up a very small part of the teacher workforce and therefore may be more affected by any shocks or policy decisions regarding CTE education. In addition, the statewide projections presented here represent an aggregation of individual district-level projections. It is possible that, although statewide there is an expected surplus, there may be individual districts that will experience shortages. </w:t>
      </w:r>
    </w:p>
    <w:p w:rsidR="00C157EC" w:rsidRDefault="00C157EC" w:rsidP="00C157EC">
      <w:pPr>
        <w:pStyle w:val="Heading5"/>
      </w:pPr>
      <w:r>
        <w:t>Expected Shortages</w:t>
      </w:r>
    </w:p>
    <w:p w:rsidR="00C157EC" w:rsidRDefault="00C157EC" w:rsidP="0030701E">
      <w:pPr>
        <w:pStyle w:val="BodyText"/>
      </w:pPr>
      <w:r>
        <w:t>For those program areas expected to experience a shortage (i.e., SPED and ELL), the AIR research team found that the projected shortages tend to grow over time. Both the demand and supply for SPED teachers is projected to decline over the next 10 years, but supply is expected to decline at a faster rate. Specifically, there is an expected statewide shortage of 262 FTEs (3.06 percent) in 2014</w:t>
      </w:r>
      <w:r>
        <w:rPr>
          <w:b/>
        </w:rPr>
        <w:t>–</w:t>
      </w:r>
      <w:r>
        <w:t>15 that is projected to grow to 549 FTEs (7.57 percent) by 2023</w:t>
      </w:r>
      <w:r>
        <w:rPr>
          <w:b/>
        </w:rPr>
        <w:t>–</w:t>
      </w:r>
      <w:r>
        <w:t xml:space="preserve">24 (Table 9 and Figure 16). The projected rapid decline in both supply and demand of SPED teachers is striking. In many ways the decline in supply is more reasonable than the decline in demand, which will be driven largely by the number of special education students, which is expected to decline at a rate similar to the general population of students. If that decline in demand is overstated, the projected shortage could be greater than presented here. </w:t>
      </w:r>
    </w:p>
    <w:p w:rsidR="00C157EC" w:rsidRPr="0030701E" w:rsidRDefault="00C157EC" w:rsidP="0030701E">
      <w:pPr>
        <w:pStyle w:val="TableTitle"/>
      </w:pPr>
      <w:proofErr w:type="gramStart"/>
      <w:r>
        <w:t>Table 9</w:t>
      </w:r>
      <w:r w:rsidRPr="00CC4696">
        <w:t>.</w:t>
      </w:r>
      <w:proofErr w:type="gramEnd"/>
      <w:r w:rsidRPr="00CC4696">
        <w:t xml:space="preserve"> Projected </w:t>
      </w:r>
      <w:r>
        <w:t xml:space="preserve">Statewide </w:t>
      </w:r>
      <w:r w:rsidRPr="00CC4696">
        <w:t>Demand</w:t>
      </w:r>
      <w:r>
        <w:t xml:space="preserve"> and </w:t>
      </w:r>
      <w:r w:rsidRPr="00CC4696">
        <w:t xml:space="preserve">Supply </w:t>
      </w:r>
      <w:r>
        <w:t xml:space="preserve">of Special Education Teachers in Terms of FTEs </w:t>
      </w:r>
      <w:r w:rsidRPr="00CC4696">
        <w:t xml:space="preserve">and </w:t>
      </w:r>
      <w:r>
        <w:t xml:space="preserve">Absolute and </w:t>
      </w:r>
      <w:r w:rsidRPr="00CC4696">
        <w:t>Relative Differences</w:t>
      </w:r>
      <w:r>
        <w:t>, 2014–15</w:t>
      </w:r>
      <w:r w:rsidR="0092042A">
        <w:t xml:space="preserve"> </w:t>
      </w:r>
      <w:proofErr w:type="gramStart"/>
      <w:r w:rsidR="0092042A">
        <w:t>Through</w:t>
      </w:r>
      <w:proofErr w:type="gramEnd"/>
      <w:r w:rsidR="0092042A">
        <w:t xml:space="preserve"> </w:t>
      </w:r>
      <w:r w:rsidRPr="00CC4696">
        <w:t>2023</w:t>
      </w:r>
      <w:r>
        <w:t>–</w:t>
      </w:r>
      <w:r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1"/>
        <w:gridCol w:w="1939"/>
        <w:gridCol w:w="2123"/>
        <w:gridCol w:w="1846"/>
        <w:gridCol w:w="1841"/>
      </w:tblGrid>
      <w:tr w:rsidR="00346F80" w:rsidRPr="00CD70A0" w:rsidTr="004E50CD">
        <w:trPr>
          <w:cnfStyle w:val="100000000000"/>
        </w:trPr>
        <w:tc>
          <w:tcPr>
            <w:tcW w:w="1795" w:type="dxa"/>
            <w:tcBorders>
              <w:bottom w:val="single" w:sz="4" w:space="0" w:color="auto"/>
            </w:tcBorders>
          </w:tcPr>
          <w:p w:rsidR="00346F80" w:rsidRPr="00807FB9" w:rsidRDefault="00346F80" w:rsidP="00346F80">
            <w:pPr>
              <w:pStyle w:val="TableText"/>
              <w:jc w:val="center"/>
            </w:pPr>
            <w:r>
              <w:t>Year</w:t>
            </w:r>
          </w:p>
        </w:tc>
        <w:tc>
          <w:tcPr>
            <w:tcW w:w="1890" w:type="dxa"/>
            <w:tcBorders>
              <w:bottom w:val="single" w:sz="4" w:space="0" w:color="auto"/>
            </w:tcBorders>
          </w:tcPr>
          <w:p w:rsidR="00346F80" w:rsidRPr="00807FB9" w:rsidRDefault="00346F80" w:rsidP="00346F80">
            <w:pPr>
              <w:pStyle w:val="TableTextCentered"/>
            </w:pPr>
            <w:r w:rsidRPr="00807FB9">
              <w:t>Projected Supply</w:t>
            </w:r>
          </w:p>
        </w:tc>
        <w:tc>
          <w:tcPr>
            <w:tcW w:w="2070" w:type="dxa"/>
            <w:tcBorders>
              <w:bottom w:val="single" w:sz="4" w:space="0" w:color="auto"/>
            </w:tcBorders>
          </w:tcPr>
          <w:p w:rsidR="00346F80" w:rsidRPr="00807FB9" w:rsidRDefault="00346F80" w:rsidP="00346F80">
            <w:pPr>
              <w:pStyle w:val="TableTextCentered"/>
            </w:pPr>
            <w:r w:rsidRPr="00807FB9">
              <w:t>Projected Demand</w:t>
            </w:r>
          </w:p>
        </w:tc>
        <w:tc>
          <w:tcPr>
            <w:tcW w:w="1800" w:type="dxa"/>
            <w:tcBorders>
              <w:bottom w:val="single" w:sz="4" w:space="0" w:color="auto"/>
            </w:tcBorders>
          </w:tcPr>
          <w:p w:rsidR="00346F80" w:rsidRPr="00CD70A0" w:rsidRDefault="00346F80" w:rsidP="00346F80">
            <w:pPr>
              <w:pStyle w:val="TableTextCentered"/>
            </w:pPr>
            <w:r w:rsidRPr="00807FB9">
              <w:t xml:space="preserve">Absolute Difference </w:t>
            </w:r>
            <w:r>
              <w:t>B</w:t>
            </w:r>
            <w:r w:rsidRPr="00807FB9">
              <w:t>etween Supply and Demand</w:t>
            </w:r>
          </w:p>
        </w:tc>
        <w:tc>
          <w:tcPr>
            <w:tcW w:w="1795" w:type="dxa"/>
            <w:tcBorders>
              <w:bottom w:val="single" w:sz="4" w:space="0" w:color="auto"/>
            </w:tcBorders>
          </w:tcPr>
          <w:p w:rsidR="00346F80" w:rsidRPr="00807FB9" w:rsidRDefault="00346F80" w:rsidP="00346F80">
            <w:pPr>
              <w:pStyle w:val="TableTextCentered"/>
            </w:pPr>
            <w:r w:rsidRPr="00807FB9">
              <w:t xml:space="preserve">Relative Difference </w:t>
            </w:r>
            <w:r>
              <w:t>B</w:t>
            </w:r>
            <w:r w:rsidRPr="00807FB9">
              <w:t>etween Supply and Demand</w:t>
            </w:r>
          </w:p>
        </w:tc>
      </w:tr>
      <w:tr w:rsidR="00346F80" w:rsidRPr="00CD70A0" w:rsidTr="004E50CD">
        <w:tc>
          <w:tcPr>
            <w:tcW w:w="1795" w:type="dxa"/>
            <w:tcBorders>
              <w:bottom w:val="single" w:sz="4" w:space="0" w:color="auto"/>
            </w:tcBorders>
          </w:tcPr>
          <w:p w:rsidR="00346F80" w:rsidRPr="00807FB9" w:rsidRDefault="00346F80" w:rsidP="00346F80">
            <w:pPr>
              <w:pStyle w:val="TableText"/>
              <w:jc w:val="center"/>
            </w:pPr>
            <w:r w:rsidRPr="00C20B19">
              <w:t>201</w:t>
            </w:r>
            <w:r>
              <w:t>4</w:t>
            </w:r>
            <w:r>
              <w:rPr>
                <w:b/>
              </w:rPr>
              <w:t>–</w:t>
            </w:r>
            <w:r>
              <w:t>1</w:t>
            </w:r>
            <w:r w:rsidRPr="00C20B19">
              <w:t>5</w:t>
            </w:r>
          </w:p>
        </w:tc>
        <w:tc>
          <w:tcPr>
            <w:tcW w:w="1890" w:type="dxa"/>
            <w:tcBorders>
              <w:bottom w:val="single" w:sz="4" w:space="0" w:color="auto"/>
            </w:tcBorders>
          </w:tcPr>
          <w:p w:rsidR="00346F80" w:rsidRPr="00807FB9" w:rsidRDefault="00346F80" w:rsidP="00346F80">
            <w:pPr>
              <w:pStyle w:val="TableTextCentered"/>
            </w:pPr>
            <w:r w:rsidRPr="00807FB9">
              <w:t>8,324</w:t>
            </w:r>
          </w:p>
        </w:tc>
        <w:tc>
          <w:tcPr>
            <w:tcW w:w="2070" w:type="dxa"/>
            <w:tcBorders>
              <w:bottom w:val="single" w:sz="4" w:space="0" w:color="auto"/>
            </w:tcBorders>
          </w:tcPr>
          <w:p w:rsidR="00346F80" w:rsidRPr="00807FB9" w:rsidRDefault="00346F80" w:rsidP="00346F80">
            <w:pPr>
              <w:pStyle w:val="TableTextCentered"/>
            </w:pPr>
            <w:r w:rsidRPr="00807FB9">
              <w:t>8,587</w:t>
            </w:r>
          </w:p>
        </w:tc>
        <w:tc>
          <w:tcPr>
            <w:tcW w:w="1800" w:type="dxa"/>
            <w:tcBorders>
              <w:bottom w:val="single" w:sz="4" w:space="0" w:color="auto"/>
            </w:tcBorders>
          </w:tcPr>
          <w:p w:rsidR="00346F80" w:rsidRPr="00CD70A0" w:rsidRDefault="00346F80" w:rsidP="00346F80">
            <w:pPr>
              <w:pStyle w:val="TableTextCentered"/>
            </w:pPr>
            <w:r w:rsidRPr="00807FB9">
              <w:t>-262</w:t>
            </w:r>
          </w:p>
        </w:tc>
        <w:tc>
          <w:tcPr>
            <w:tcW w:w="1795" w:type="dxa"/>
            <w:tcBorders>
              <w:bottom w:val="single" w:sz="4" w:space="0" w:color="auto"/>
            </w:tcBorders>
          </w:tcPr>
          <w:p w:rsidR="00346F80" w:rsidRPr="00807FB9" w:rsidRDefault="00346F80" w:rsidP="00346F80">
            <w:pPr>
              <w:pStyle w:val="TableTextCentered"/>
            </w:pPr>
            <w:r w:rsidRPr="00807FB9">
              <w:t>-3.06%</w:t>
            </w:r>
          </w:p>
        </w:tc>
      </w:tr>
      <w:tr w:rsidR="00346F80" w:rsidRPr="00CD70A0" w:rsidTr="004E50CD">
        <w:tc>
          <w:tcPr>
            <w:tcW w:w="1795" w:type="dxa"/>
            <w:tcBorders>
              <w:bottom w:val="single" w:sz="4" w:space="0" w:color="auto"/>
            </w:tcBorders>
          </w:tcPr>
          <w:p w:rsidR="00346F80" w:rsidRPr="00807FB9" w:rsidRDefault="00346F80" w:rsidP="00346F80">
            <w:pPr>
              <w:pStyle w:val="TableText"/>
              <w:jc w:val="center"/>
            </w:pPr>
            <w:r w:rsidRPr="00C20B19">
              <w:t>201</w:t>
            </w:r>
            <w:r>
              <w:t>5</w:t>
            </w:r>
            <w:r>
              <w:rPr>
                <w:b/>
              </w:rPr>
              <w:t>–</w:t>
            </w:r>
            <w:r>
              <w:t>1</w:t>
            </w:r>
            <w:r w:rsidRPr="00C20B19">
              <w:t>6</w:t>
            </w:r>
          </w:p>
        </w:tc>
        <w:tc>
          <w:tcPr>
            <w:tcW w:w="1890" w:type="dxa"/>
            <w:tcBorders>
              <w:bottom w:val="single" w:sz="4" w:space="0" w:color="auto"/>
            </w:tcBorders>
          </w:tcPr>
          <w:p w:rsidR="00346F80" w:rsidRPr="00807FB9" w:rsidRDefault="00346F80" w:rsidP="00346F80">
            <w:pPr>
              <w:pStyle w:val="TableTextCentered"/>
            </w:pPr>
            <w:r w:rsidRPr="00807FB9">
              <w:t>8,115</w:t>
            </w:r>
          </w:p>
        </w:tc>
        <w:tc>
          <w:tcPr>
            <w:tcW w:w="2070" w:type="dxa"/>
            <w:tcBorders>
              <w:bottom w:val="single" w:sz="4" w:space="0" w:color="auto"/>
            </w:tcBorders>
          </w:tcPr>
          <w:p w:rsidR="00346F80" w:rsidRPr="00807FB9" w:rsidRDefault="00346F80" w:rsidP="00346F80">
            <w:pPr>
              <w:pStyle w:val="TableTextCentered"/>
            </w:pPr>
            <w:r w:rsidRPr="00807FB9">
              <w:t>8,431</w:t>
            </w:r>
          </w:p>
        </w:tc>
        <w:tc>
          <w:tcPr>
            <w:tcW w:w="1800" w:type="dxa"/>
            <w:tcBorders>
              <w:bottom w:val="single" w:sz="4" w:space="0" w:color="auto"/>
            </w:tcBorders>
          </w:tcPr>
          <w:p w:rsidR="00346F80" w:rsidRPr="00CD70A0" w:rsidRDefault="00346F80" w:rsidP="00346F80">
            <w:pPr>
              <w:pStyle w:val="TableTextCentered"/>
            </w:pPr>
            <w:r w:rsidRPr="00807FB9">
              <w:t>-317</w:t>
            </w:r>
          </w:p>
        </w:tc>
        <w:tc>
          <w:tcPr>
            <w:tcW w:w="1795" w:type="dxa"/>
            <w:tcBorders>
              <w:bottom w:val="single" w:sz="4" w:space="0" w:color="auto"/>
            </w:tcBorders>
          </w:tcPr>
          <w:p w:rsidR="00346F80" w:rsidRPr="00807FB9" w:rsidRDefault="00346F80" w:rsidP="00346F80">
            <w:pPr>
              <w:pStyle w:val="TableTextCentered"/>
            </w:pPr>
            <w:r w:rsidRPr="00807FB9">
              <w:t>-3.76%</w:t>
            </w:r>
          </w:p>
        </w:tc>
      </w:tr>
      <w:tr w:rsidR="00346F80" w:rsidRPr="00CD70A0" w:rsidTr="004E50CD">
        <w:tc>
          <w:tcPr>
            <w:tcW w:w="1795" w:type="dxa"/>
            <w:tcBorders>
              <w:bottom w:val="single" w:sz="4" w:space="0" w:color="auto"/>
            </w:tcBorders>
          </w:tcPr>
          <w:p w:rsidR="00346F80" w:rsidRPr="00807FB9" w:rsidRDefault="00346F80" w:rsidP="00346F80">
            <w:pPr>
              <w:pStyle w:val="TableText"/>
              <w:jc w:val="center"/>
            </w:pPr>
            <w:r w:rsidRPr="00C20B19">
              <w:t>201</w:t>
            </w:r>
            <w:r>
              <w:t>6</w:t>
            </w:r>
            <w:r>
              <w:rPr>
                <w:b/>
              </w:rPr>
              <w:t>–</w:t>
            </w:r>
            <w:r>
              <w:t>1</w:t>
            </w:r>
            <w:r w:rsidRPr="00C20B19">
              <w:t>7</w:t>
            </w:r>
          </w:p>
        </w:tc>
        <w:tc>
          <w:tcPr>
            <w:tcW w:w="1890" w:type="dxa"/>
            <w:tcBorders>
              <w:bottom w:val="single" w:sz="4" w:space="0" w:color="auto"/>
            </w:tcBorders>
          </w:tcPr>
          <w:p w:rsidR="00346F80" w:rsidRPr="00807FB9" w:rsidRDefault="00346F80" w:rsidP="00346F80">
            <w:pPr>
              <w:pStyle w:val="TableTextCentered"/>
            </w:pPr>
            <w:r w:rsidRPr="00807FB9">
              <w:t>7,913</w:t>
            </w:r>
          </w:p>
        </w:tc>
        <w:tc>
          <w:tcPr>
            <w:tcW w:w="2070" w:type="dxa"/>
            <w:tcBorders>
              <w:bottom w:val="single" w:sz="4" w:space="0" w:color="auto"/>
            </w:tcBorders>
          </w:tcPr>
          <w:p w:rsidR="00346F80" w:rsidRPr="00807FB9" w:rsidRDefault="00346F80" w:rsidP="00346F80">
            <w:pPr>
              <w:pStyle w:val="TableTextCentered"/>
            </w:pPr>
            <w:r w:rsidRPr="00807FB9">
              <w:t>8,273</w:t>
            </w:r>
          </w:p>
        </w:tc>
        <w:tc>
          <w:tcPr>
            <w:tcW w:w="1800" w:type="dxa"/>
            <w:tcBorders>
              <w:bottom w:val="single" w:sz="4" w:space="0" w:color="auto"/>
            </w:tcBorders>
          </w:tcPr>
          <w:p w:rsidR="00346F80" w:rsidRPr="00CD70A0" w:rsidRDefault="00346F80" w:rsidP="00346F80">
            <w:pPr>
              <w:pStyle w:val="TableTextCentered"/>
            </w:pPr>
            <w:r w:rsidRPr="00807FB9">
              <w:t>-360</w:t>
            </w:r>
          </w:p>
        </w:tc>
        <w:tc>
          <w:tcPr>
            <w:tcW w:w="1795" w:type="dxa"/>
            <w:tcBorders>
              <w:bottom w:val="single" w:sz="4" w:space="0" w:color="auto"/>
            </w:tcBorders>
          </w:tcPr>
          <w:p w:rsidR="00346F80" w:rsidRPr="00807FB9" w:rsidRDefault="00346F80" w:rsidP="00346F80">
            <w:pPr>
              <w:pStyle w:val="TableTextCentered"/>
            </w:pPr>
            <w:r w:rsidRPr="00807FB9">
              <w:t>-4.35%</w:t>
            </w:r>
          </w:p>
        </w:tc>
      </w:tr>
      <w:tr w:rsidR="00346F80" w:rsidRPr="00CD70A0" w:rsidTr="004E50CD">
        <w:tc>
          <w:tcPr>
            <w:tcW w:w="1795" w:type="dxa"/>
            <w:tcBorders>
              <w:bottom w:val="single" w:sz="4" w:space="0" w:color="auto"/>
            </w:tcBorders>
          </w:tcPr>
          <w:p w:rsidR="00346F80" w:rsidRPr="00807FB9" w:rsidRDefault="00346F80" w:rsidP="00346F80">
            <w:pPr>
              <w:pStyle w:val="TableText"/>
              <w:jc w:val="center"/>
            </w:pPr>
            <w:r w:rsidRPr="00C20B19">
              <w:t>201</w:t>
            </w:r>
            <w:r>
              <w:t>7</w:t>
            </w:r>
            <w:r>
              <w:rPr>
                <w:b/>
              </w:rPr>
              <w:t>–</w:t>
            </w:r>
            <w:r>
              <w:t>1</w:t>
            </w:r>
            <w:r w:rsidRPr="00C20B19">
              <w:t>8</w:t>
            </w:r>
          </w:p>
        </w:tc>
        <w:tc>
          <w:tcPr>
            <w:tcW w:w="1890" w:type="dxa"/>
            <w:tcBorders>
              <w:bottom w:val="single" w:sz="4" w:space="0" w:color="auto"/>
            </w:tcBorders>
          </w:tcPr>
          <w:p w:rsidR="00346F80" w:rsidRPr="00807FB9" w:rsidRDefault="00346F80" w:rsidP="00346F80">
            <w:pPr>
              <w:pStyle w:val="TableTextCentered"/>
            </w:pPr>
            <w:r w:rsidRPr="00807FB9">
              <w:t>7,720</w:t>
            </w:r>
          </w:p>
        </w:tc>
        <w:tc>
          <w:tcPr>
            <w:tcW w:w="2070" w:type="dxa"/>
            <w:tcBorders>
              <w:bottom w:val="single" w:sz="4" w:space="0" w:color="auto"/>
            </w:tcBorders>
          </w:tcPr>
          <w:p w:rsidR="00346F80" w:rsidRPr="00807FB9" w:rsidRDefault="00346F80" w:rsidP="00346F80">
            <w:pPr>
              <w:pStyle w:val="TableTextCentered"/>
            </w:pPr>
            <w:r w:rsidRPr="00807FB9">
              <w:t>8,126</w:t>
            </w:r>
          </w:p>
        </w:tc>
        <w:tc>
          <w:tcPr>
            <w:tcW w:w="1800" w:type="dxa"/>
            <w:tcBorders>
              <w:bottom w:val="single" w:sz="4" w:space="0" w:color="auto"/>
            </w:tcBorders>
          </w:tcPr>
          <w:p w:rsidR="00346F80" w:rsidRPr="00CD70A0" w:rsidRDefault="00346F80" w:rsidP="00346F80">
            <w:pPr>
              <w:pStyle w:val="TableTextCentered"/>
            </w:pPr>
            <w:r w:rsidRPr="00807FB9">
              <w:t>-406</w:t>
            </w:r>
          </w:p>
        </w:tc>
        <w:tc>
          <w:tcPr>
            <w:tcW w:w="1795" w:type="dxa"/>
            <w:tcBorders>
              <w:bottom w:val="single" w:sz="4" w:space="0" w:color="auto"/>
            </w:tcBorders>
          </w:tcPr>
          <w:p w:rsidR="00346F80" w:rsidRPr="00807FB9" w:rsidRDefault="00346F80" w:rsidP="00346F80">
            <w:pPr>
              <w:pStyle w:val="TableTextCentered"/>
            </w:pPr>
            <w:r w:rsidRPr="00807FB9">
              <w:t>-5.00%</w:t>
            </w:r>
          </w:p>
        </w:tc>
      </w:tr>
      <w:tr w:rsidR="00346F80" w:rsidRPr="00CD70A0" w:rsidTr="004E50CD">
        <w:tc>
          <w:tcPr>
            <w:tcW w:w="1795" w:type="dxa"/>
            <w:tcBorders>
              <w:bottom w:val="single" w:sz="4" w:space="0" w:color="auto"/>
            </w:tcBorders>
          </w:tcPr>
          <w:p w:rsidR="00346F80" w:rsidRPr="00807FB9" w:rsidRDefault="00346F80" w:rsidP="00346F80">
            <w:pPr>
              <w:pStyle w:val="TableText"/>
              <w:jc w:val="center"/>
            </w:pPr>
            <w:r w:rsidRPr="00C20B19">
              <w:t>201</w:t>
            </w:r>
            <w:r>
              <w:t>8</w:t>
            </w:r>
            <w:r>
              <w:rPr>
                <w:b/>
              </w:rPr>
              <w:t>–</w:t>
            </w:r>
            <w:r>
              <w:t>1</w:t>
            </w:r>
            <w:r w:rsidRPr="00C20B19">
              <w:t>9</w:t>
            </w:r>
          </w:p>
        </w:tc>
        <w:tc>
          <w:tcPr>
            <w:tcW w:w="1890" w:type="dxa"/>
            <w:tcBorders>
              <w:bottom w:val="single" w:sz="4" w:space="0" w:color="auto"/>
            </w:tcBorders>
          </w:tcPr>
          <w:p w:rsidR="00346F80" w:rsidRPr="00807FB9" w:rsidRDefault="00346F80" w:rsidP="00346F80">
            <w:pPr>
              <w:pStyle w:val="TableTextCentered"/>
            </w:pPr>
            <w:r w:rsidRPr="00807FB9">
              <w:t>7,534</w:t>
            </w:r>
          </w:p>
        </w:tc>
        <w:tc>
          <w:tcPr>
            <w:tcW w:w="2070" w:type="dxa"/>
            <w:tcBorders>
              <w:bottom w:val="single" w:sz="4" w:space="0" w:color="auto"/>
            </w:tcBorders>
          </w:tcPr>
          <w:p w:rsidR="00346F80" w:rsidRPr="00807FB9" w:rsidRDefault="00346F80" w:rsidP="00346F80">
            <w:pPr>
              <w:pStyle w:val="TableTextCentered"/>
            </w:pPr>
            <w:r w:rsidRPr="00807FB9">
              <w:t>7,971</w:t>
            </w:r>
          </w:p>
        </w:tc>
        <w:tc>
          <w:tcPr>
            <w:tcW w:w="1800" w:type="dxa"/>
            <w:tcBorders>
              <w:bottom w:val="single" w:sz="4" w:space="0" w:color="auto"/>
            </w:tcBorders>
          </w:tcPr>
          <w:p w:rsidR="00346F80" w:rsidRPr="00CD70A0" w:rsidRDefault="00346F80" w:rsidP="00346F80">
            <w:pPr>
              <w:pStyle w:val="TableTextCentered"/>
            </w:pPr>
            <w:r w:rsidRPr="00807FB9">
              <w:t>-437</w:t>
            </w:r>
          </w:p>
        </w:tc>
        <w:tc>
          <w:tcPr>
            <w:tcW w:w="1795" w:type="dxa"/>
            <w:tcBorders>
              <w:bottom w:val="single" w:sz="4" w:space="0" w:color="auto"/>
            </w:tcBorders>
          </w:tcPr>
          <w:p w:rsidR="00346F80" w:rsidRPr="00807FB9" w:rsidRDefault="00346F80" w:rsidP="00346F80">
            <w:pPr>
              <w:pStyle w:val="TableTextCentered"/>
            </w:pPr>
            <w:r w:rsidRPr="00807FB9">
              <w:t>-5.48%</w:t>
            </w:r>
          </w:p>
        </w:tc>
      </w:tr>
      <w:tr w:rsidR="00346F80" w:rsidRPr="00CD70A0" w:rsidTr="004E50CD">
        <w:tc>
          <w:tcPr>
            <w:tcW w:w="1795" w:type="dxa"/>
            <w:tcBorders>
              <w:bottom w:val="single" w:sz="4" w:space="0" w:color="auto"/>
            </w:tcBorders>
          </w:tcPr>
          <w:p w:rsidR="00346F80" w:rsidRPr="00807FB9" w:rsidRDefault="00346F80" w:rsidP="00346F80">
            <w:pPr>
              <w:pStyle w:val="TableText"/>
              <w:jc w:val="center"/>
            </w:pPr>
            <w:r w:rsidRPr="00C20B19">
              <w:t>20</w:t>
            </w:r>
            <w:r>
              <w:t>19</w:t>
            </w:r>
            <w:r>
              <w:rPr>
                <w:b/>
              </w:rPr>
              <w:t>–</w:t>
            </w:r>
            <w:r w:rsidRPr="00C20B19">
              <w:t>20</w:t>
            </w:r>
          </w:p>
        </w:tc>
        <w:tc>
          <w:tcPr>
            <w:tcW w:w="1890" w:type="dxa"/>
            <w:tcBorders>
              <w:bottom w:val="single" w:sz="4" w:space="0" w:color="auto"/>
            </w:tcBorders>
          </w:tcPr>
          <w:p w:rsidR="00346F80" w:rsidRPr="00807FB9" w:rsidRDefault="00346F80" w:rsidP="00346F80">
            <w:pPr>
              <w:pStyle w:val="TableTextCentered"/>
            </w:pPr>
            <w:r w:rsidRPr="00807FB9">
              <w:t>7,355</w:t>
            </w:r>
          </w:p>
        </w:tc>
        <w:tc>
          <w:tcPr>
            <w:tcW w:w="2070" w:type="dxa"/>
            <w:tcBorders>
              <w:bottom w:val="single" w:sz="4" w:space="0" w:color="auto"/>
            </w:tcBorders>
          </w:tcPr>
          <w:p w:rsidR="00346F80" w:rsidRPr="00807FB9" w:rsidRDefault="00346F80" w:rsidP="00346F80">
            <w:pPr>
              <w:pStyle w:val="TableTextCentered"/>
            </w:pPr>
            <w:r w:rsidRPr="00807FB9">
              <w:t>7,823</w:t>
            </w:r>
          </w:p>
        </w:tc>
        <w:tc>
          <w:tcPr>
            <w:tcW w:w="1800" w:type="dxa"/>
            <w:tcBorders>
              <w:bottom w:val="single" w:sz="4" w:space="0" w:color="auto"/>
            </w:tcBorders>
          </w:tcPr>
          <w:p w:rsidR="00346F80" w:rsidRPr="00CD70A0" w:rsidRDefault="00346F80" w:rsidP="00346F80">
            <w:pPr>
              <w:pStyle w:val="TableTextCentered"/>
            </w:pPr>
            <w:r w:rsidRPr="00807FB9">
              <w:t>-468</w:t>
            </w:r>
          </w:p>
        </w:tc>
        <w:tc>
          <w:tcPr>
            <w:tcW w:w="1795" w:type="dxa"/>
            <w:tcBorders>
              <w:bottom w:val="single" w:sz="4" w:space="0" w:color="auto"/>
            </w:tcBorders>
          </w:tcPr>
          <w:p w:rsidR="00346F80" w:rsidRPr="00807FB9" w:rsidRDefault="00346F80" w:rsidP="00346F80">
            <w:pPr>
              <w:pStyle w:val="TableTextCentered"/>
            </w:pPr>
            <w:r w:rsidRPr="00807FB9">
              <w:t>-5.98%</w:t>
            </w:r>
          </w:p>
        </w:tc>
      </w:tr>
      <w:tr w:rsidR="00346F80" w:rsidRPr="00CD70A0" w:rsidTr="004E50CD">
        <w:tc>
          <w:tcPr>
            <w:tcW w:w="1795" w:type="dxa"/>
            <w:tcBorders>
              <w:bottom w:val="single" w:sz="4" w:space="0" w:color="auto"/>
            </w:tcBorders>
          </w:tcPr>
          <w:p w:rsidR="00346F80" w:rsidRPr="00807FB9" w:rsidRDefault="00346F80" w:rsidP="00346F80">
            <w:pPr>
              <w:pStyle w:val="TableText"/>
              <w:jc w:val="center"/>
            </w:pPr>
            <w:r w:rsidRPr="00C20B19">
              <w:t>202</w:t>
            </w:r>
            <w:r>
              <w:t>0</w:t>
            </w:r>
            <w:r>
              <w:rPr>
                <w:b/>
              </w:rPr>
              <w:t>–</w:t>
            </w:r>
            <w:r>
              <w:t>2</w:t>
            </w:r>
            <w:r w:rsidRPr="00C20B19">
              <w:t>1</w:t>
            </w:r>
          </w:p>
        </w:tc>
        <w:tc>
          <w:tcPr>
            <w:tcW w:w="1890" w:type="dxa"/>
            <w:tcBorders>
              <w:bottom w:val="single" w:sz="4" w:space="0" w:color="auto"/>
            </w:tcBorders>
          </w:tcPr>
          <w:p w:rsidR="00346F80" w:rsidRPr="00807FB9" w:rsidRDefault="00346F80" w:rsidP="00346F80">
            <w:pPr>
              <w:pStyle w:val="TableTextCentered"/>
            </w:pPr>
            <w:r w:rsidRPr="00807FB9">
              <w:t>7,183</w:t>
            </w:r>
          </w:p>
        </w:tc>
        <w:tc>
          <w:tcPr>
            <w:tcW w:w="2070" w:type="dxa"/>
            <w:tcBorders>
              <w:bottom w:val="single" w:sz="4" w:space="0" w:color="auto"/>
            </w:tcBorders>
          </w:tcPr>
          <w:p w:rsidR="00346F80" w:rsidRPr="00807FB9" w:rsidRDefault="00346F80" w:rsidP="00346F80">
            <w:pPr>
              <w:pStyle w:val="TableTextCentered"/>
            </w:pPr>
            <w:r w:rsidRPr="00807FB9">
              <w:t>7,682</w:t>
            </w:r>
          </w:p>
        </w:tc>
        <w:tc>
          <w:tcPr>
            <w:tcW w:w="1800" w:type="dxa"/>
            <w:tcBorders>
              <w:bottom w:val="single" w:sz="4" w:space="0" w:color="auto"/>
            </w:tcBorders>
          </w:tcPr>
          <w:p w:rsidR="00346F80" w:rsidRPr="00CD70A0" w:rsidRDefault="00346F80" w:rsidP="00346F80">
            <w:pPr>
              <w:pStyle w:val="TableTextCentered"/>
            </w:pPr>
            <w:r w:rsidRPr="00807FB9">
              <w:t>-499</w:t>
            </w:r>
          </w:p>
        </w:tc>
        <w:tc>
          <w:tcPr>
            <w:tcW w:w="1795" w:type="dxa"/>
            <w:tcBorders>
              <w:bottom w:val="single" w:sz="4" w:space="0" w:color="auto"/>
            </w:tcBorders>
          </w:tcPr>
          <w:p w:rsidR="00346F80" w:rsidRPr="00807FB9" w:rsidRDefault="00346F80" w:rsidP="00346F80">
            <w:pPr>
              <w:pStyle w:val="TableTextCentered"/>
            </w:pPr>
            <w:r w:rsidRPr="00807FB9">
              <w:t>-6.50%</w:t>
            </w:r>
          </w:p>
        </w:tc>
      </w:tr>
      <w:tr w:rsidR="00346F80" w:rsidRPr="00CD70A0" w:rsidTr="004E50CD">
        <w:tc>
          <w:tcPr>
            <w:tcW w:w="1795" w:type="dxa"/>
            <w:tcBorders>
              <w:bottom w:val="single" w:sz="4" w:space="0" w:color="auto"/>
            </w:tcBorders>
          </w:tcPr>
          <w:p w:rsidR="00346F80" w:rsidRPr="00807FB9" w:rsidRDefault="00346F80" w:rsidP="00346F80">
            <w:pPr>
              <w:pStyle w:val="TableText"/>
              <w:jc w:val="center"/>
            </w:pPr>
            <w:r w:rsidRPr="00C20B19">
              <w:t>202</w:t>
            </w:r>
            <w:r>
              <w:t>1</w:t>
            </w:r>
            <w:r>
              <w:rPr>
                <w:b/>
              </w:rPr>
              <w:t>–</w:t>
            </w:r>
            <w:r>
              <w:t>2</w:t>
            </w:r>
            <w:r w:rsidRPr="00C20B19">
              <w:t>2</w:t>
            </w:r>
          </w:p>
        </w:tc>
        <w:tc>
          <w:tcPr>
            <w:tcW w:w="1890" w:type="dxa"/>
            <w:tcBorders>
              <w:bottom w:val="single" w:sz="4" w:space="0" w:color="auto"/>
            </w:tcBorders>
          </w:tcPr>
          <w:p w:rsidR="00346F80" w:rsidRPr="00807FB9" w:rsidRDefault="00346F80" w:rsidP="00346F80">
            <w:pPr>
              <w:pStyle w:val="TableTextCentered"/>
            </w:pPr>
            <w:r w:rsidRPr="00807FB9">
              <w:t>7,018</w:t>
            </w:r>
          </w:p>
        </w:tc>
        <w:tc>
          <w:tcPr>
            <w:tcW w:w="2070" w:type="dxa"/>
            <w:tcBorders>
              <w:bottom w:val="single" w:sz="4" w:space="0" w:color="auto"/>
            </w:tcBorders>
          </w:tcPr>
          <w:p w:rsidR="00346F80" w:rsidRPr="00807FB9" w:rsidRDefault="00346F80" w:rsidP="00346F80">
            <w:pPr>
              <w:pStyle w:val="TableTextCentered"/>
            </w:pPr>
            <w:r w:rsidRPr="00807FB9">
              <w:t>7,538</w:t>
            </w:r>
          </w:p>
        </w:tc>
        <w:tc>
          <w:tcPr>
            <w:tcW w:w="1800" w:type="dxa"/>
            <w:tcBorders>
              <w:bottom w:val="single" w:sz="4" w:space="0" w:color="auto"/>
            </w:tcBorders>
          </w:tcPr>
          <w:p w:rsidR="00346F80" w:rsidRPr="00CD70A0" w:rsidRDefault="00346F80" w:rsidP="00346F80">
            <w:pPr>
              <w:pStyle w:val="TableTextCentered"/>
            </w:pPr>
            <w:r w:rsidRPr="00807FB9">
              <w:t>-520</w:t>
            </w:r>
          </w:p>
        </w:tc>
        <w:tc>
          <w:tcPr>
            <w:tcW w:w="1795" w:type="dxa"/>
            <w:tcBorders>
              <w:bottom w:val="single" w:sz="4" w:space="0" w:color="auto"/>
            </w:tcBorders>
          </w:tcPr>
          <w:p w:rsidR="00346F80" w:rsidRPr="00807FB9" w:rsidRDefault="00346F80" w:rsidP="00346F80">
            <w:pPr>
              <w:pStyle w:val="TableTextCentered"/>
            </w:pPr>
            <w:r w:rsidRPr="00807FB9">
              <w:t>-6.90%</w:t>
            </w:r>
          </w:p>
        </w:tc>
      </w:tr>
      <w:tr w:rsidR="00346F80" w:rsidRPr="00CD70A0" w:rsidTr="004E50CD">
        <w:tc>
          <w:tcPr>
            <w:tcW w:w="1795" w:type="dxa"/>
            <w:tcBorders>
              <w:bottom w:val="single" w:sz="4" w:space="0" w:color="auto"/>
            </w:tcBorders>
          </w:tcPr>
          <w:p w:rsidR="00346F80" w:rsidRPr="00807FB9" w:rsidRDefault="00346F80" w:rsidP="00346F80">
            <w:pPr>
              <w:pStyle w:val="TableText"/>
              <w:jc w:val="center"/>
            </w:pPr>
            <w:r w:rsidRPr="00C20B19">
              <w:t>202</w:t>
            </w:r>
            <w:r>
              <w:t>2</w:t>
            </w:r>
            <w:r>
              <w:rPr>
                <w:b/>
              </w:rPr>
              <w:t>–</w:t>
            </w:r>
            <w:r>
              <w:t>2</w:t>
            </w:r>
            <w:r w:rsidRPr="00C20B19">
              <w:t>3</w:t>
            </w:r>
          </w:p>
        </w:tc>
        <w:tc>
          <w:tcPr>
            <w:tcW w:w="1890" w:type="dxa"/>
            <w:tcBorders>
              <w:bottom w:val="single" w:sz="4" w:space="0" w:color="auto"/>
            </w:tcBorders>
          </w:tcPr>
          <w:p w:rsidR="00346F80" w:rsidRPr="00807FB9" w:rsidRDefault="00346F80" w:rsidP="00346F80">
            <w:pPr>
              <w:pStyle w:val="TableTextCentered"/>
            </w:pPr>
            <w:r w:rsidRPr="00807FB9">
              <w:t>6,858</w:t>
            </w:r>
          </w:p>
        </w:tc>
        <w:tc>
          <w:tcPr>
            <w:tcW w:w="2070" w:type="dxa"/>
            <w:tcBorders>
              <w:bottom w:val="single" w:sz="4" w:space="0" w:color="auto"/>
            </w:tcBorders>
          </w:tcPr>
          <w:p w:rsidR="00346F80" w:rsidRPr="00807FB9" w:rsidRDefault="00346F80" w:rsidP="00346F80">
            <w:pPr>
              <w:pStyle w:val="TableTextCentered"/>
            </w:pPr>
            <w:r w:rsidRPr="00807FB9">
              <w:t>7,395</w:t>
            </w:r>
          </w:p>
        </w:tc>
        <w:tc>
          <w:tcPr>
            <w:tcW w:w="1800" w:type="dxa"/>
            <w:tcBorders>
              <w:bottom w:val="single" w:sz="4" w:space="0" w:color="auto"/>
            </w:tcBorders>
          </w:tcPr>
          <w:p w:rsidR="00346F80" w:rsidRPr="00CD70A0" w:rsidRDefault="00346F80" w:rsidP="00346F80">
            <w:pPr>
              <w:pStyle w:val="TableTextCentered"/>
            </w:pPr>
            <w:r w:rsidRPr="00807FB9">
              <w:t>-536</w:t>
            </w:r>
          </w:p>
        </w:tc>
        <w:tc>
          <w:tcPr>
            <w:tcW w:w="1795" w:type="dxa"/>
            <w:tcBorders>
              <w:bottom w:val="single" w:sz="4" w:space="0" w:color="auto"/>
            </w:tcBorders>
          </w:tcPr>
          <w:p w:rsidR="00346F80" w:rsidRPr="00807FB9" w:rsidRDefault="00346F80" w:rsidP="00346F80">
            <w:pPr>
              <w:pStyle w:val="TableTextCentered"/>
            </w:pPr>
            <w:r w:rsidRPr="00807FB9">
              <w:t>-7.25%</w:t>
            </w:r>
          </w:p>
        </w:tc>
      </w:tr>
      <w:tr w:rsidR="00346F80" w:rsidRPr="00CD70A0" w:rsidTr="004E50CD">
        <w:tc>
          <w:tcPr>
            <w:tcW w:w="1795" w:type="dxa"/>
          </w:tcPr>
          <w:p w:rsidR="00346F80" w:rsidRPr="00807FB9" w:rsidRDefault="00346F80" w:rsidP="00346F80">
            <w:pPr>
              <w:pStyle w:val="TableText"/>
              <w:jc w:val="center"/>
            </w:pPr>
            <w:r w:rsidRPr="00C20B19">
              <w:t>202</w:t>
            </w:r>
            <w:r>
              <w:t>3</w:t>
            </w:r>
            <w:r>
              <w:rPr>
                <w:b/>
              </w:rPr>
              <w:t>–</w:t>
            </w:r>
            <w:r>
              <w:t>2</w:t>
            </w:r>
            <w:r w:rsidRPr="00C20B19">
              <w:t>4</w:t>
            </w:r>
          </w:p>
        </w:tc>
        <w:tc>
          <w:tcPr>
            <w:tcW w:w="1890" w:type="dxa"/>
          </w:tcPr>
          <w:p w:rsidR="00346F80" w:rsidRPr="00807FB9" w:rsidRDefault="00346F80" w:rsidP="00346F80">
            <w:pPr>
              <w:pStyle w:val="TableTextCentered"/>
            </w:pPr>
            <w:r w:rsidRPr="00807FB9">
              <w:t>6,705</w:t>
            </w:r>
          </w:p>
        </w:tc>
        <w:tc>
          <w:tcPr>
            <w:tcW w:w="2070" w:type="dxa"/>
          </w:tcPr>
          <w:p w:rsidR="00346F80" w:rsidRPr="00807FB9" w:rsidRDefault="00346F80" w:rsidP="00346F80">
            <w:pPr>
              <w:pStyle w:val="TableTextCentered"/>
            </w:pPr>
            <w:r w:rsidRPr="00807FB9">
              <w:t>7,254</w:t>
            </w:r>
          </w:p>
        </w:tc>
        <w:tc>
          <w:tcPr>
            <w:tcW w:w="1800" w:type="dxa"/>
          </w:tcPr>
          <w:p w:rsidR="00346F80" w:rsidRPr="00CD70A0" w:rsidRDefault="00346F80" w:rsidP="00346F80">
            <w:pPr>
              <w:pStyle w:val="TableTextCentered"/>
            </w:pPr>
            <w:r w:rsidRPr="00807FB9">
              <w:t>-549</w:t>
            </w:r>
          </w:p>
        </w:tc>
        <w:tc>
          <w:tcPr>
            <w:tcW w:w="1795" w:type="dxa"/>
          </w:tcPr>
          <w:p w:rsidR="00346F80" w:rsidRPr="00807FB9" w:rsidRDefault="00346F80" w:rsidP="00346F80">
            <w:pPr>
              <w:pStyle w:val="TableTextCentered"/>
            </w:pPr>
            <w:r w:rsidRPr="00807FB9">
              <w:t>-7.57%</w:t>
            </w:r>
          </w:p>
        </w:tc>
      </w:tr>
    </w:tbl>
    <w:p w:rsidR="00C157EC" w:rsidRPr="00CC4696" w:rsidRDefault="00C157EC" w:rsidP="0030701E">
      <w:pPr>
        <w:pStyle w:val="FigureTitle"/>
      </w:pPr>
      <w:proofErr w:type="gramStart"/>
      <w:r>
        <w:t>Figure 16.</w:t>
      </w:r>
      <w:proofErr w:type="gramEnd"/>
      <w:r>
        <w:t xml:space="preserve"> Historical and Projected Statewide Supply and Demand for Special</w:t>
      </w:r>
      <w:r w:rsidRPr="00F158FB">
        <w:t xml:space="preserve"> </w:t>
      </w:r>
      <w:r>
        <w:t>Education Teachers in Terms of FTEs, 2008–09</w:t>
      </w:r>
      <w:r w:rsidR="0092042A">
        <w:t xml:space="preserve"> Through </w:t>
      </w:r>
      <w:r>
        <w:t>2023–24</w:t>
      </w:r>
    </w:p>
    <w:p w:rsidR="00C157EC" w:rsidRDefault="00C157EC" w:rsidP="00A06F93">
      <w:pPr>
        <w:pStyle w:val="FigurePlacement"/>
      </w:pPr>
      <w:r w:rsidRPr="0059015E">
        <w:rPr>
          <w:noProof/>
          <w:lang w:eastAsia="zh-CN" w:bidi="km-KH"/>
        </w:rPr>
        <w:drawing>
          <wp:inline distT="0" distB="0" distL="0" distR="0">
            <wp:extent cx="5633299" cy="3657600"/>
            <wp:effectExtent l="19050" t="0" r="5501" b="0"/>
            <wp:docPr id="36" name="Picture 36" descr="There is an expected statewide shortage of 262 FTEs (3.06 percent) in 2014–15 that is projected to grow to 549 FTEs (7.57 percent) by 2023–24 (Table 9 and Figure 16). &#10;&#10;Figure 16. Historical and Projected Statewide Supply and Demand for Special Education Teachers in Terms of FTE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423" t="3044" r="2940" b="7143"/>
                    <a:stretch/>
                  </pic:blipFill>
                  <pic:spPr bwMode="auto">
                    <a:xfrm>
                      <a:off x="0" y="0"/>
                      <a:ext cx="5633299"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A06F93">
      <w:pPr>
        <w:pStyle w:val="BodyText"/>
      </w:pPr>
      <w:r>
        <w:t>Similarly, both the demand and supply of ELL teachers are projected to decline over the next 10 years, but at differing rates. Specifically, there is an expected shortage of 128 FTEs (8.68 percent) in 2014</w:t>
      </w:r>
      <w:r>
        <w:rPr>
          <w:b/>
        </w:rPr>
        <w:t>–</w:t>
      </w:r>
      <w:r>
        <w:t>15 that is projected to grow to 207 FTEs (15.54 percent) by 2023</w:t>
      </w:r>
      <w:r>
        <w:rPr>
          <w:b/>
        </w:rPr>
        <w:t>–</w:t>
      </w:r>
      <w:r>
        <w:t>24 (Table 10 and Figure 17).</w:t>
      </w:r>
    </w:p>
    <w:p w:rsidR="00C157EC" w:rsidRPr="00A06F93" w:rsidRDefault="00C157EC" w:rsidP="00A06F93">
      <w:pPr>
        <w:pStyle w:val="TableTitle"/>
      </w:pPr>
      <w:proofErr w:type="gramStart"/>
      <w:r>
        <w:t>Table 10</w:t>
      </w:r>
      <w:r w:rsidRPr="00CC4696">
        <w:t>.</w:t>
      </w:r>
      <w:proofErr w:type="gramEnd"/>
      <w:r w:rsidRPr="00CC4696">
        <w:t xml:space="preserve"> Projected </w:t>
      </w:r>
      <w:r>
        <w:t xml:space="preserve">Statewide </w:t>
      </w:r>
      <w:r w:rsidRPr="00CC4696">
        <w:t>Demand</w:t>
      </w:r>
      <w:r>
        <w:t xml:space="preserve"> and </w:t>
      </w:r>
      <w:r w:rsidRPr="00CC4696">
        <w:t xml:space="preserve">Supply </w:t>
      </w:r>
      <w:r>
        <w:t xml:space="preserve">of English Language Learner Education Teachers in Terms of FTEs </w:t>
      </w:r>
      <w:r w:rsidRPr="00CC4696">
        <w:t xml:space="preserve">and </w:t>
      </w:r>
      <w:r>
        <w:t xml:space="preserve">Absolute and </w:t>
      </w:r>
      <w:r w:rsidRPr="00CC4696">
        <w:t>Relative Differences</w:t>
      </w:r>
      <w:r>
        <w:t>, 2014–15</w:t>
      </w:r>
      <w:r w:rsidR="0092042A">
        <w:t xml:space="preserve"> </w:t>
      </w:r>
      <w:proofErr w:type="gramStart"/>
      <w:r w:rsidR="0092042A">
        <w:t>Through</w:t>
      </w:r>
      <w:proofErr w:type="gramEnd"/>
      <w:r w:rsidR="0092042A">
        <w:t xml:space="preserve"> </w:t>
      </w:r>
      <w:r w:rsidRPr="00CC4696">
        <w:t>2023</w:t>
      </w:r>
      <w:r>
        <w:t>–</w:t>
      </w:r>
      <w:r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1"/>
        <w:gridCol w:w="1939"/>
        <w:gridCol w:w="2123"/>
        <w:gridCol w:w="1846"/>
        <w:gridCol w:w="1841"/>
      </w:tblGrid>
      <w:tr w:rsidR="00346F80" w:rsidRPr="00143ED0" w:rsidTr="004E50CD">
        <w:trPr>
          <w:cnfStyle w:val="100000000000"/>
        </w:trPr>
        <w:tc>
          <w:tcPr>
            <w:tcW w:w="1795" w:type="dxa"/>
            <w:tcBorders>
              <w:bottom w:val="single" w:sz="4" w:space="0" w:color="auto"/>
            </w:tcBorders>
          </w:tcPr>
          <w:p w:rsidR="00346F80" w:rsidRPr="00807FB9" w:rsidRDefault="00346F80" w:rsidP="00346F80">
            <w:pPr>
              <w:pStyle w:val="TableText"/>
              <w:jc w:val="center"/>
            </w:pPr>
            <w:r>
              <w:t>Year</w:t>
            </w:r>
          </w:p>
        </w:tc>
        <w:tc>
          <w:tcPr>
            <w:tcW w:w="1890" w:type="dxa"/>
            <w:tcBorders>
              <w:bottom w:val="single" w:sz="4" w:space="0" w:color="auto"/>
            </w:tcBorders>
          </w:tcPr>
          <w:p w:rsidR="00346F80" w:rsidRPr="00807FB9" w:rsidRDefault="00346F80" w:rsidP="00346F80">
            <w:pPr>
              <w:pStyle w:val="TableTextCentered"/>
            </w:pPr>
            <w:r w:rsidRPr="00807FB9">
              <w:t>Projected Supply</w:t>
            </w:r>
          </w:p>
        </w:tc>
        <w:tc>
          <w:tcPr>
            <w:tcW w:w="2070" w:type="dxa"/>
            <w:tcBorders>
              <w:bottom w:val="single" w:sz="4" w:space="0" w:color="auto"/>
            </w:tcBorders>
          </w:tcPr>
          <w:p w:rsidR="00346F80" w:rsidRPr="00807FB9" w:rsidRDefault="00346F80" w:rsidP="00346F80">
            <w:pPr>
              <w:pStyle w:val="TableTextCentered"/>
            </w:pPr>
            <w:r w:rsidRPr="00807FB9">
              <w:t>Projected Demand</w:t>
            </w:r>
          </w:p>
        </w:tc>
        <w:tc>
          <w:tcPr>
            <w:tcW w:w="1800" w:type="dxa"/>
            <w:tcBorders>
              <w:bottom w:val="single" w:sz="4" w:space="0" w:color="auto"/>
            </w:tcBorders>
          </w:tcPr>
          <w:p w:rsidR="00346F80" w:rsidRPr="00143ED0" w:rsidRDefault="00346F80" w:rsidP="00346F80">
            <w:pPr>
              <w:pStyle w:val="TableTextCentered"/>
            </w:pPr>
            <w:r w:rsidRPr="00807FB9">
              <w:t xml:space="preserve">Absolute Difference </w:t>
            </w:r>
            <w:r>
              <w:t>B</w:t>
            </w:r>
            <w:r w:rsidRPr="00807FB9">
              <w:t>etween Supply and Demand</w:t>
            </w:r>
          </w:p>
        </w:tc>
        <w:tc>
          <w:tcPr>
            <w:tcW w:w="1795" w:type="dxa"/>
            <w:tcBorders>
              <w:bottom w:val="single" w:sz="4" w:space="0" w:color="auto"/>
            </w:tcBorders>
          </w:tcPr>
          <w:p w:rsidR="00346F80" w:rsidRPr="00807FB9" w:rsidRDefault="00346F80" w:rsidP="00346F80">
            <w:pPr>
              <w:pStyle w:val="TableTextCentered"/>
            </w:pPr>
            <w:r w:rsidRPr="00807FB9">
              <w:t xml:space="preserve">Relative Difference </w:t>
            </w:r>
            <w:r>
              <w:t>B</w:t>
            </w:r>
            <w:r w:rsidRPr="00807FB9">
              <w:t>etween Supply and Demand</w:t>
            </w:r>
          </w:p>
        </w:tc>
      </w:tr>
      <w:tr w:rsidR="00346F80" w:rsidRPr="00143ED0" w:rsidTr="004E50CD">
        <w:tc>
          <w:tcPr>
            <w:tcW w:w="1795" w:type="dxa"/>
            <w:tcBorders>
              <w:bottom w:val="single" w:sz="4" w:space="0" w:color="auto"/>
            </w:tcBorders>
          </w:tcPr>
          <w:p w:rsidR="00346F80" w:rsidRPr="00807FB9" w:rsidRDefault="00346F80" w:rsidP="00346F80">
            <w:pPr>
              <w:pStyle w:val="TableText"/>
              <w:jc w:val="center"/>
            </w:pPr>
            <w:r w:rsidRPr="00C20B19">
              <w:t>201</w:t>
            </w:r>
            <w:r>
              <w:t>4</w:t>
            </w:r>
            <w:r>
              <w:rPr>
                <w:b/>
              </w:rPr>
              <w:t>–</w:t>
            </w:r>
            <w:r>
              <w:t>1</w:t>
            </w:r>
            <w:r w:rsidRPr="00C20B19">
              <w:t>5</w:t>
            </w:r>
          </w:p>
        </w:tc>
        <w:tc>
          <w:tcPr>
            <w:tcW w:w="1890" w:type="dxa"/>
            <w:tcBorders>
              <w:bottom w:val="single" w:sz="4" w:space="0" w:color="auto"/>
            </w:tcBorders>
          </w:tcPr>
          <w:p w:rsidR="00346F80" w:rsidRPr="00807FB9" w:rsidRDefault="00346F80" w:rsidP="00346F80">
            <w:pPr>
              <w:pStyle w:val="TableTextCentered"/>
            </w:pPr>
            <w:r w:rsidRPr="00807FB9">
              <w:t>1,352</w:t>
            </w:r>
          </w:p>
        </w:tc>
        <w:tc>
          <w:tcPr>
            <w:tcW w:w="2070" w:type="dxa"/>
            <w:tcBorders>
              <w:bottom w:val="single" w:sz="4" w:space="0" w:color="auto"/>
            </w:tcBorders>
          </w:tcPr>
          <w:p w:rsidR="00346F80" w:rsidRPr="00807FB9" w:rsidRDefault="00346F80" w:rsidP="00346F80">
            <w:pPr>
              <w:pStyle w:val="TableTextCentered"/>
            </w:pPr>
            <w:r w:rsidRPr="00807FB9">
              <w:t>1,480</w:t>
            </w:r>
          </w:p>
        </w:tc>
        <w:tc>
          <w:tcPr>
            <w:tcW w:w="1800" w:type="dxa"/>
            <w:tcBorders>
              <w:bottom w:val="single" w:sz="4" w:space="0" w:color="auto"/>
            </w:tcBorders>
          </w:tcPr>
          <w:p w:rsidR="00346F80" w:rsidRPr="00143ED0" w:rsidRDefault="00346F80" w:rsidP="00346F80">
            <w:pPr>
              <w:pStyle w:val="TableTextCentered"/>
            </w:pPr>
            <w:r w:rsidRPr="00807FB9">
              <w:t>-128</w:t>
            </w:r>
          </w:p>
        </w:tc>
        <w:tc>
          <w:tcPr>
            <w:tcW w:w="1795" w:type="dxa"/>
            <w:tcBorders>
              <w:bottom w:val="single" w:sz="4" w:space="0" w:color="auto"/>
            </w:tcBorders>
          </w:tcPr>
          <w:p w:rsidR="00346F80" w:rsidRPr="00807FB9" w:rsidRDefault="00346F80" w:rsidP="00346F80">
            <w:pPr>
              <w:pStyle w:val="TableTextCentered"/>
            </w:pPr>
            <w:r w:rsidRPr="00807FB9">
              <w:t>-8.68%</w:t>
            </w:r>
          </w:p>
        </w:tc>
      </w:tr>
      <w:tr w:rsidR="00346F80" w:rsidRPr="00143ED0" w:rsidTr="004E50CD">
        <w:tc>
          <w:tcPr>
            <w:tcW w:w="1795" w:type="dxa"/>
            <w:tcBorders>
              <w:bottom w:val="single" w:sz="4" w:space="0" w:color="auto"/>
            </w:tcBorders>
          </w:tcPr>
          <w:p w:rsidR="00346F80" w:rsidRPr="00807FB9" w:rsidRDefault="00346F80" w:rsidP="00346F80">
            <w:pPr>
              <w:pStyle w:val="TableText"/>
              <w:jc w:val="center"/>
            </w:pPr>
            <w:r w:rsidRPr="00C20B19">
              <w:t>201</w:t>
            </w:r>
            <w:r>
              <w:t>5</w:t>
            </w:r>
            <w:r>
              <w:rPr>
                <w:b/>
              </w:rPr>
              <w:t>–</w:t>
            </w:r>
            <w:r>
              <w:t>1</w:t>
            </w:r>
            <w:r w:rsidRPr="00C20B19">
              <w:t>6</w:t>
            </w:r>
          </w:p>
        </w:tc>
        <w:tc>
          <w:tcPr>
            <w:tcW w:w="1890" w:type="dxa"/>
            <w:tcBorders>
              <w:bottom w:val="single" w:sz="4" w:space="0" w:color="auto"/>
            </w:tcBorders>
          </w:tcPr>
          <w:p w:rsidR="00346F80" w:rsidRPr="00807FB9" w:rsidRDefault="00346F80" w:rsidP="00346F80">
            <w:pPr>
              <w:pStyle w:val="TableTextCentered"/>
            </w:pPr>
            <w:r w:rsidRPr="00807FB9">
              <w:t>1,309</w:t>
            </w:r>
          </w:p>
        </w:tc>
        <w:tc>
          <w:tcPr>
            <w:tcW w:w="2070" w:type="dxa"/>
            <w:tcBorders>
              <w:bottom w:val="single" w:sz="4" w:space="0" w:color="auto"/>
            </w:tcBorders>
          </w:tcPr>
          <w:p w:rsidR="00346F80" w:rsidRPr="00807FB9" w:rsidRDefault="00346F80" w:rsidP="00346F80">
            <w:pPr>
              <w:pStyle w:val="TableTextCentered"/>
            </w:pPr>
            <w:r w:rsidRPr="00807FB9">
              <w:t>1,451</w:t>
            </w:r>
          </w:p>
        </w:tc>
        <w:tc>
          <w:tcPr>
            <w:tcW w:w="1800" w:type="dxa"/>
            <w:tcBorders>
              <w:bottom w:val="single" w:sz="4" w:space="0" w:color="auto"/>
            </w:tcBorders>
          </w:tcPr>
          <w:p w:rsidR="00346F80" w:rsidRPr="00143ED0" w:rsidRDefault="00346F80" w:rsidP="00346F80">
            <w:pPr>
              <w:pStyle w:val="TableTextCentered"/>
            </w:pPr>
            <w:r w:rsidRPr="00807FB9">
              <w:t>-142</w:t>
            </w:r>
          </w:p>
        </w:tc>
        <w:tc>
          <w:tcPr>
            <w:tcW w:w="1795" w:type="dxa"/>
            <w:tcBorders>
              <w:bottom w:val="single" w:sz="4" w:space="0" w:color="auto"/>
            </w:tcBorders>
          </w:tcPr>
          <w:p w:rsidR="00346F80" w:rsidRPr="00807FB9" w:rsidRDefault="00346F80" w:rsidP="00346F80">
            <w:pPr>
              <w:pStyle w:val="TableTextCentered"/>
            </w:pPr>
            <w:r w:rsidRPr="00807FB9">
              <w:t>-9.80%</w:t>
            </w:r>
          </w:p>
        </w:tc>
      </w:tr>
      <w:tr w:rsidR="00346F80" w:rsidRPr="00143ED0" w:rsidTr="004E50CD">
        <w:tc>
          <w:tcPr>
            <w:tcW w:w="1795" w:type="dxa"/>
            <w:tcBorders>
              <w:bottom w:val="single" w:sz="4" w:space="0" w:color="auto"/>
            </w:tcBorders>
          </w:tcPr>
          <w:p w:rsidR="00346F80" w:rsidRPr="00807FB9" w:rsidRDefault="00346F80" w:rsidP="00346F80">
            <w:pPr>
              <w:pStyle w:val="TableText"/>
              <w:jc w:val="center"/>
            </w:pPr>
            <w:r w:rsidRPr="00C20B19">
              <w:t>201</w:t>
            </w:r>
            <w:r>
              <w:t>6</w:t>
            </w:r>
            <w:r>
              <w:rPr>
                <w:b/>
              </w:rPr>
              <w:t>–</w:t>
            </w:r>
            <w:r>
              <w:t>1</w:t>
            </w:r>
            <w:r w:rsidRPr="00C20B19">
              <w:t>7</w:t>
            </w:r>
          </w:p>
        </w:tc>
        <w:tc>
          <w:tcPr>
            <w:tcW w:w="1890" w:type="dxa"/>
            <w:tcBorders>
              <w:bottom w:val="single" w:sz="4" w:space="0" w:color="auto"/>
            </w:tcBorders>
          </w:tcPr>
          <w:p w:rsidR="00346F80" w:rsidRPr="00807FB9" w:rsidRDefault="00346F80" w:rsidP="00346F80">
            <w:pPr>
              <w:pStyle w:val="TableTextCentered"/>
            </w:pPr>
            <w:r w:rsidRPr="00807FB9">
              <w:t>1,270</w:t>
            </w:r>
          </w:p>
        </w:tc>
        <w:tc>
          <w:tcPr>
            <w:tcW w:w="2070" w:type="dxa"/>
            <w:tcBorders>
              <w:bottom w:val="single" w:sz="4" w:space="0" w:color="auto"/>
            </w:tcBorders>
          </w:tcPr>
          <w:p w:rsidR="00346F80" w:rsidRPr="00807FB9" w:rsidRDefault="00346F80" w:rsidP="00346F80">
            <w:pPr>
              <w:pStyle w:val="TableTextCentered"/>
            </w:pPr>
            <w:r w:rsidRPr="00807FB9">
              <w:t>1,424</w:t>
            </w:r>
          </w:p>
        </w:tc>
        <w:tc>
          <w:tcPr>
            <w:tcW w:w="1800" w:type="dxa"/>
            <w:tcBorders>
              <w:bottom w:val="single" w:sz="4" w:space="0" w:color="auto"/>
            </w:tcBorders>
          </w:tcPr>
          <w:p w:rsidR="00346F80" w:rsidRPr="00143ED0" w:rsidRDefault="00346F80" w:rsidP="00346F80">
            <w:pPr>
              <w:pStyle w:val="TableTextCentered"/>
            </w:pPr>
            <w:r w:rsidRPr="00807FB9">
              <w:t>-154</w:t>
            </w:r>
          </w:p>
        </w:tc>
        <w:tc>
          <w:tcPr>
            <w:tcW w:w="1795" w:type="dxa"/>
            <w:tcBorders>
              <w:bottom w:val="single" w:sz="4" w:space="0" w:color="auto"/>
            </w:tcBorders>
          </w:tcPr>
          <w:p w:rsidR="00346F80" w:rsidRPr="00807FB9" w:rsidRDefault="00346F80" w:rsidP="00346F80">
            <w:pPr>
              <w:pStyle w:val="TableTextCentered"/>
            </w:pPr>
            <w:r w:rsidRPr="00807FB9">
              <w:t>-10.81%</w:t>
            </w:r>
          </w:p>
        </w:tc>
      </w:tr>
      <w:tr w:rsidR="00346F80" w:rsidRPr="00143ED0" w:rsidTr="004E50CD">
        <w:tc>
          <w:tcPr>
            <w:tcW w:w="1795" w:type="dxa"/>
            <w:tcBorders>
              <w:bottom w:val="single" w:sz="4" w:space="0" w:color="auto"/>
            </w:tcBorders>
          </w:tcPr>
          <w:p w:rsidR="00346F80" w:rsidRPr="00807FB9" w:rsidRDefault="00346F80" w:rsidP="00346F80">
            <w:pPr>
              <w:pStyle w:val="TableText"/>
              <w:jc w:val="center"/>
            </w:pPr>
            <w:r w:rsidRPr="00C20B19">
              <w:t>201</w:t>
            </w:r>
            <w:r>
              <w:t>7</w:t>
            </w:r>
            <w:r>
              <w:rPr>
                <w:b/>
              </w:rPr>
              <w:t>–</w:t>
            </w:r>
            <w:r>
              <w:t>1</w:t>
            </w:r>
            <w:r w:rsidRPr="00C20B19">
              <w:t>8</w:t>
            </w:r>
          </w:p>
        </w:tc>
        <w:tc>
          <w:tcPr>
            <w:tcW w:w="1890" w:type="dxa"/>
            <w:tcBorders>
              <w:bottom w:val="single" w:sz="4" w:space="0" w:color="auto"/>
            </w:tcBorders>
          </w:tcPr>
          <w:p w:rsidR="00346F80" w:rsidRPr="00807FB9" w:rsidRDefault="00346F80" w:rsidP="00346F80">
            <w:pPr>
              <w:pStyle w:val="TableTextCentered"/>
            </w:pPr>
            <w:r w:rsidRPr="00807FB9">
              <w:t>1,237</w:t>
            </w:r>
          </w:p>
        </w:tc>
        <w:tc>
          <w:tcPr>
            <w:tcW w:w="2070" w:type="dxa"/>
            <w:tcBorders>
              <w:bottom w:val="single" w:sz="4" w:space="0" w:color="auto"/>
            </w:tcBorders>
          </w:tcPr>
          <w:p w:rsidR="00346F80" w:rsidRPr="00807FB9" w:rsidRDefault="00346F80" w:rsidP="00346F80">
            <w:pPr>
              <w:pStyle w:val="TableTextCentered"/>
            </w:pPr>
            <w:r w:rsidRPr="00807FB9">
              <w:t>1,402</w:t>
            </w:r>
          </w:p>
        </w:tc>
        <w:tc>
          <w:tcPr>
            <w:tcW w:w="1800" w:type="dxa"/>
            <w:tcBorders>
              <w:bottom w:val="single" w:sz="4" w:space="0" w:color="auto"/>
            </w:tcBorders>
          </w:tcPr>
          <w:p w:rsidR="00346F80" w:rsidRPr="00143ED0" w:rsidRDefault="00346F80" w:rsidP="00346F80">
            <w:pPr>
              <w:pStyle w:val="TableTextCentered"/>
            </w:pPr>
            <w:r w:rsidRPr="00807FB9">
              <w:t>-166</w:t>
            </w:r>
          </w:p>
        </w:tc>
        <w:tc>
          <w:tcPr>
            <w:tcW w:w="1795" w:type="dxa"/>
            <w:tcBorders>
              <w:bottom w:val="single" w:sz="4" w:space="0" w:color="auto"/>
            </w:tcBorders>
          </w:tcPr>
          <w:p w:rsidR="00346F80" w:rsidRPr="00807FB9" w:rsidRDefault="00346F80" w:rsidP="00346F80">
            <w:pPr>
              <w:pStyle w:val="TableTextCentered"/>
            </w:pPr>
            <w:r w:rsidRPr="00807FB9">
              <w:t>-11.81%</w:t>
            </w:r>
          </w:p>
        </w:tc>
      </w:tr>
      <w:tr w:rsidR="00346F80" w:rsidRPr="00143ED0" w:rsidTr="004E50CD">
        <w:tc>
          <w:tcPr>
            <w:tcW w:w="1795" w:type="dxa"/>
            <w:tcBorders>
              <w:bottom w:val="single" w:sz="4" w:space="0" w:color="auto"/>
            </w:tcBorders>
          </w:tcPr>
          <w:p w:rsidR="00346F80" w:rsidRPr="00807FB9" w:rsidRDefault="00346F80" w:rsidP="00346F80">
            <w:pPr>
              <w:pStyle w:val="TableText"/>
              <w:jc w:val="center"/>
            </w:pPr>
            <w:r w:rsidRPr="00C20B19">
              <w:t>201</w:t>
            </w:r>
            <w:r>
              <w:t>8</w:t>
            </w:r>
            <w:r>
              <w:rPr>
                <w:b/>
              </w:rPr>
              <w:t>–</w:t>
            </w:r>
            <w:r>
              <w:t>1</w:t>
            </w:r>
            <w:r w:rsidRPr="00C20B19">
              <w:t>9</w:t>
            </w:r>
          </w:p>
        </w:tc>
        <w:tc>
          <w:tcPr>
            <w:tcW w:w="1890" w:type="dxa"/>
            <w:tcBorders>
              <w:bottom w:val="single" w:sz="4" w:space="0" w:color="auto"/>
            </w:tcBorders>
          </w:tcPr>
          <w:p w:rsidR="00346F80" w:rsidRPr="00807FB9" w:rsidRDefault="00346F80" w:rsidP="00346F80">
            <w:pPr>
              <w:pStyle w:val="TableTextCentered"/>
            </w:pPr>
            <w:r w:rsidRPr="00807FB9">
              <w:t>1,207</w:t>
            </w:r>
          </w:p>
        </w:tc>
        <w:tc>
          <w:tcPr>
            <w:tcW w:w="2070" w:type="dxa"/>
            <w:tcBorders>
              <w:bottom w:val="single" w:sz="4" w:space="0" w:color="auto"/>
            </w:tcBorders>
          </w:tcPr>
          <w:p w:rsidR="00346F80" w:rsidRPr="00807FB9" w:rsidRDefault="00346F80" w:rsidP="00346F80">
            <w:pPr>
              <w:pStyle w:val="TableTextCentered"/>
            </w:pPr>
            <w:r w:rsidRPr="00807FB9">
              <w:t>1,382</w:t>
            </w:r>
          </w:p>
        </w:tc>
        <w:tc>
          <w:tcPr>
            <w:tcW w:w="1800" w:type="dxa"/>
            <w:tcBorders>
              <w:bottom w:val="single" w:sz="4" w:space="0" w:color="auto"/>
            </w:tcBorders>
          </w:tcPr>
          <w:p w:rsidR="00346F80" w:rsidRPr="00143ED0" w:rsidRDefault="00346F80" w:rsidP="00346F80">
            <w:pPr>
              <w:pStyle w:val="TableTextCentered"/>
            </w:pPr>
            <w:r w:rsidRPr="00807FB9">
              <w:t>-174</w:t>
            </w:r>
          </w:p>
        </w:tc>
        <w:tc>
          <w:tcPr>
            <w:tcW w:w="1795" w:type="dxa"/>
            <w:tcBorders>
              <w:bottom w:val="single" w:sz="4" w:space="0" w:color="auto"/>
            </w:tcBorders>
          </w:tcPr>
          <w:p w:rsidR="00346F80" w:rsidRPr="00807FB9" w:rsidRDefault="00346F80" w:rsidP="00346F80">
            <w:pPr>
              <w:pStyle w:val="TableTextCentered"/>
            </w:pPr>
            <w:r w:rsidRPr="00807FB9">
              <w:t>-12.63%</w:t>
            </w:r>
          </w:p>
        </w:tc>
      </w:tr>
      <w:tr w:rsidR="00346F80" w:rsidRPr="00143ED0" w:rsidTr="004E50CD">
        <w:tc>
          <w:tcPr>
            <w:tcW w:w="1795" w:type="dxa"/>
            <w:tcBorders>
              <w:bottom w:val="single" w:sz="4" w:space="0" w:color="auto"/>
            </w:tcBorders>
          </w:tcPr>
          <w:p w:rsidR="00346F80" w:rsidRPr="00807FB9" w:rsidRDefault="00346F80" w:rsidP="00346F80">
            <w:pPr>
              <w:pStyle w:val="TableText"/>
              <w:jc w:val="center"/>
            </w:pPr>
            <w:r w:rsidRPr="00C20B19">
              <w:t>20</w:t>
            </w:r>
            <w:r>
              <w:t>19</w:t>
            </w:r>
            <w:r>
              <w:rPr>
                <w:b/>
              </w:rPr>
              <w:t>–</w:t>
            </w:r>
            <w:r w:rsidRPr="00C20B19">
              <w:t>20</w:t>
            </w:r>
          </w:p>
        </w:tc>
        <w:tc>
          <w:tcPr>
            <w:tcW w:w="1890" w:type="dxa"/>
            <w:tcBorders>
              <w:bottom w:val="single" w:sz="4" w:space="0" w:color="auto"/>
            </w:tcBorders>
          </w:tcPr>
          <w:p w:rsidR="00346F80" w:rsidRPr="00807FB9" w:rsidRDefault="00346F80" w:rsidP="00346F80">
            <w:pPr>
              <w:pStyle w:val="TableTextCentered"/>
            </w:pPr>
            <w:r w:rsidRPr="00807FB9">
              <w:t>1,182</w:t>
            </w:r>
          </w:p>
        </w:tc>
        <w:tc>
          <w:tcPr>
            <w:tcW w:w="2070" w:type="dxa"/>
            <w:tcBorders>
              <w:bottom w:val="single" w:sz="4" w:space="0" w:color="auto"/>
            </w:tcBorders>
          </w:tcPr>
          <w:p w:rsidR="00346F80" w:rsidRPr="00807FB9" w:rsidRDefault="00346F80" w:rsidP="00346F80">
            <w:pPr>
              <w:pStyle w:val="TableTextCentered"/>
            </w:pPr>
            <w:r w:rsidRPr="00807FB9">
              <w:t>1,365</w:t>
            </w:r>
          </w:p>
        </w:tc>
        <w:tc>
          <w:tcPr>
            <w:tcW w:w="1800" w:type="dxa"/>
            <w:tcBorders>
              <w:bottom w:val="single" w:sz="4" w:space="0" w:color="auto"/>
            </w:tcBorders>
          </w:tcPr>
          <w:p w:rsidR="00346F80" w:rsidRPr="00143ED0" w:rsidRDefault="00346F80" w:rsidP="00346F80">
            <w:pPr>
              <w:pStyle w:val="TableTextCentered"/>
            </w:pPr>
            <w:r w:rsidRPr="00807FB9">
              <w:t>-183</w:t>
            </w:r>
          </w:p>
        </w:tc>
        <w:tc>
          <w:tcPr>
            <w:tcW w:w="1795" w:type="dxa"/>
            <w:tcBorders>
              <w:bottom w:val="single" w:sz="4" w:space="0" w:color="auto"/>
            </w:tcBorders>
          </w:tcPr>
          <w:p w:rsidR="00346F80" w:rsidRPr="00807FB9" w:rsidRDefault="00346F80" w:rsidP="00346F80">
            <w:pPr>
              <w:pStyle w:val="TableTextCentered"/>
            </w:pPr>
            <w:r w:rsidRPr="00807FB9">
              <w:t>-13.38%</w:t>
            </w:r>
          </w:p>
        </w:tc>
      </w:tr>
      <w:tr w:rsidR="00346F80" w:rsidRPr="00143ED0" w:rsidTr="004E50CD">
        <w:tc>
          <w:tcPr>
            <w:tcW w:w="1795" w:type="dxa"/>
            <w:tcBorders>
              <w:bottom w:val="single" w:sz="4" w:space="0" w:color="auto"/>
            </w:tcBorders>
          </w:tcPr>
          <w:p w:rsidR="00346F80" w:rsidRPr="00807FB9" w:rsidRDefault="00346F80" w:rsidP="00346F80">
            <w:pPr>
              <w:pStyle w:val="TableText"/>
              <w:jc w:val="center"/>
            </w:pPr>
            <w:r w:rsidRPr="00C20B19">
              <w:t>202</w:t>
            </w:r>
            <w:r>
              <w:t>0</w:t>
            </w:r>
            <w:r>
              <w:rPr>
                <w:b/>
              </w:rPr>
              <w:t>–</w:t>
            </w:r>
            <w:r>
              <w:t>2</w:t>
            </w:r>
            <w:r w:rsidRPr="00C20B19">
              <w:t>1</w:t>
            </w:r>
          </w:p>
        </w:tc>
        <w:tc>
          <w:tcPr>
            <w:tcW w:w="1890" w:type="dxa"/>
            <w:tcBorders>
              <w:bottom w:val="single" w:sz="4" w:space="0" w:color="auto"/>
            </w:tcBorders>
          </w:tcPr>
          <w:p w:rsidR="00346F80" w:rsidRPr="00807FB9" w:rsidRDefault="00346F80" w:rsidP="00346F80">
            <w:pPr>
              <w:pStyle w:val="TableTextCentered"/>
            </w:pPr>
            <w:r w:rsidRPr="00807FB9">
              <w:t>1,162</w:t>
            </w:r>
          </w:p>
        </w:tc>
        <w:tc>
          <w:tcPr>
            <w:tcW w:w="2070" w:type="dxa"/>
            <w:tcBorders>
              <w:bottom w:val="single" w:sz="4" w:space="0" w:color="auto"/>
            </w:tcBorders>
          </w:tcPr>
          <w:p w:rsidR="00346F80" w:rsidRPr="00807FB9" w:rsidRDefault="00346F80" w:rsidP="00346F80">
            <w:pPr>
              <w:pStyle w:val="TableTextCentered"/>
            </w:pPr>
            <w:r w:rsidRPr="00807FB9">
              <w:t>1,353</w:t>
            </w:r>
          </w:p>
        </w:tc>
        <w:tc>
          <w:tcPr>
            <w:tcW w:w="1800" w:type="dxa"/>
            <w:tcBorders>
              <w:bottom w:val="single" w:sz="4" w:space="0" w:color="auto"/>
            </w:tcBorders>
          </w:tcPr>
          <w:p w:rsidR="00346F80" w:rsidRPr="00143ED0" w:rsidRDefault="00346F80" w:rsidP="00346F80">
            <w:pPr>
              <w:pStyle w:val="TableTextCentered"/>
            </w:pPr>
            <w:r w:rsidRPr="00807FB9">
              <w:t>-191</w:t>
            </w:r>
          </w:p>
        </w:tc>
        <w:tc>
          <w:tcPr>
            <w:tcW w:w="1795" w:type="dxa"/>
            <w:tcBorders>
              <w:bottom w:val="single" w:sz="4" w:space="0" w:color="auto"/>
            </w:tcBorders>
          </w:tcPr>
          <w:p w:rsidR="00346F80" w:rsidRPr="00807FB9" w:rsidRDefault="00346F80" w:rsidP="00346F80">
            <w:pPr>
              <w:pStyle w:val="TableTextCentered"/>
            </w:pPr>
            <w:r w:rsidRPr="00807FB9">
              <w:t>-14.14%</w:t>
            </w:r>
          </w:p>
        </w:tc>
      </w:tr>
      <w:tr w:rsidR="00346F80" w:rsidRPr="00143ED0" w:rsidTr="004E50CD">
        <w:tc>
          <w:tcPr>
            <w:tcW w:w="1795" w:type="dxa"/>
            <w:tcBorders>
              <w:bottom w:val="single" w:sz="4" w:space="0" w:color="auto"/>
            </w:tcBorders>
          </w:tcPr>
          <w:p w:rsidR="00346F80" w:rsidRPr="00807FB9" w:rsidRDefault="00346F80" w:rsidP="00346F80">
            <w:pPr>
              <w:pStyle w:val="TableText"/>
              <w:jc w:val="center"/>
            </w:pPr>
            <w:r w:rsidRPr="00C20B19">
              <w:t>202</w:t>
            </w:r>
            <w:r>
              <w:t>1</w:t>
            </w:r>
            <w:r>
              <w:rPr>
                <w:b/>
              </w:rPr>
              <w:t>–</w:t>
            </w:r>
            <w:r>
              <w:t>2</w:t>
            </w:r>
            <w:r w:rsidRPr="00C20B19">
              <w:t>2</w:t>
            </w:r>
          </w:p>
        </w:tc>
        <w:tc>
          <w:tcPr>
            <w:tcW w:w="1890" w:type="dxa"/>
            <w:tcBorders>
              <w:bottom w:val="single" w:sz="4" w:space="0" w:color="auto"/>
            </w:tcBorders>
          </w:tcPr>
          <w:p w:rsidR="00346F80" w:rsidRPr="00807FB9" w:rsidRDefault="00346F80" w:rsidP="00346F80">
            <w:pPr>
              <w:pStyle w:val="TableTextCentered"/>
            </w:pPr>
            <w:r w:rsidRPr="00807FB9">
              <w:t>1,145</w:t>
            </w:r>
          </w:p>
        </w:tc>
        <w:tc>
          <w:tcPr>
            <w:tcW w:w="2070" w:type="dxa"/>
            <w:tcBorders>
              <w:bottom w:val="single" w:sz="4" w:space="0" w:color="auto"/>
            </w:tcBorders>
          </w:tcPr>
          <w:p w:rsidR="00346F80" w:rsidRPr="00807FB9" w:rsidRDefault="00346F80" w:rsidP="00346F80">
            <w:pPr>
              <w:pStyle w:val="TableTextCentered"/>
            </w:pPr>
            <w:r w:rsidRPr="00807FB9">
              <w:t>1,342</w:t>
            </w:r>
          </w:p>
        </w:tc>
        <w:tc>
          <w:tcPr>
            <w:tcW w:w="1800" w:type="dxa"/>
            <w:tcBorders>
              <w:bottom w:val="single" w:sz="4" w:space="0" w:color="auto"/>
            </w:tcBorders>
          </w:tcPr>
          <w:p w:rsidR="00346F80" w:rsidRPr="00143ED0" w:rsidRDefault="00346F80" w:rsidP="00346F80">
            <w:pPr>
              <w:pStyle w:val="TableTextCentered"/>
            </w:pPr>
            <w:r w:rsidRPr="00807FB9">
              <w:t>-198</w:t>
            </w:r>
          </w:p>
        </w:tc>
        <w:tc>
          <w:tcPr>
            <w:tcW w:w="1795" w:type="dxa"/>
            <w:tcBorders>
              <w:bottom w:val="single" w:sz="4" w:space="0" w:color="auto"/>
            </w:tcBorders>
          </w:tcPr>
          <w:p w:rsidR="00346F80" w:rsidRPr="00807FB9" w:rsidRDefault="00346F80" w:rsidP="00346F80">
            <w:pPr>
              <w:pStyle w:val="TableTextCentered"/>
            </w:pPr>
            <w:r w:rsidRPr="00807FB9">
              <w:t>-14.72%</w:t>
            </w:r>
          </w:p>
        </w:tc>
      </w:tr>
      <w:tr w:rsidR="00346F80" w:rsidRPr="00143ED0" w:rsidTr="004E50CD">
        <w:tc>
          <w:tcPr>
            <w:tcW w:w="1795" w:type="dxa"/>
            <w:tcBorders>
              <w:bottom w:val="single" w:sz="4" w:space="0" w:color="auto"/>
            </w:tcBorders>
          </w:tcPr>
          <w:p w:rsidR="00346F80" w:rsidRPr="00807FB9" w:rsidRDefault="00346F80" w:rsidP="00346F80">
            <w:pPr>
              <w:pStyle w:val="TableText"/>
              <w:jc w:val="center"/>
            </w:pPr>
            <w:r w:rsidRPr="00C20B19">
              <w:t>202</w:t>
            </w:r>
            <w:r>
              <w:t>2</w:t>
            </w:r>
            <w:r>
              <w:rPr>
                <w:b/>
              </w:rPr>
              <w:t>–</w:t>
            </w:r>
            <w:r>
              <w:t>2</w:t>
            </w:r>
            <w:r w:rsidRPr="00C20B19">
              <w:t>3</w:t>
            </w:r>
          </w:p>
        </w:tc>
        <w:tc>
          <w:tcPr>
            <w:tcW w:w="1890" w:type="dxa"/>
            <w:tcBorders>
              <w:bottom w:val="single" w:sz="4" w:space="0" w:color="auto"/>
            </w:tcBorders>
          </w:tcPr>
          <w:p w:rsidR="00346F80" w:rsidRPr="00807FB9" w:rsidRDefault="00346F80" w:rsidP="00346F80">
            <w:pPr>
              <w:pStyle w:val="TableTextCentered"/>
            </w:pPr>
            <w:r w:rsidRPr="00807FB9">
              <w:t>1,132</w:t>
            </w:r>
          </w:p>
        </w:tc>
        <w:tc>
          <w:tcPr>
            <w:tcW w:w="2070" w:type="dxa"/>
            <w:tcBorders>
              <w:bottom w:val="single" w:sz="4" w:space="0" w:color="auto"/>
            </w:tcBorders>
          </w:tcPr>
          <w:p w:rsidR="00346F80" w:rsidRPr="00807FB9" w:rsidRDefault="00346F80" w:rsidP="00346F80">
            <w:pPr>
              <w:pStyle w:val="TableTextCentered"/>
            </w:pPr>
            <w:r w:rsidRPr="00807FB9">
              <w:t>1,335</w:t>
            </w:r>
          </w:p>
        </w:tc>
        <w:tc>
          <w:tcPr>
            <w:tcW w:w="1800" w:type="dxa"/>
            <w:tcBorders>
              <w:bottom w:val="single" w:sz="4" w:space="0" w:color="auto"/>
            </w:tcBorders>
          </w:tcPr>
          <w:p w:rsidR="00346F80" w:rsidRPr="00143ED0" w:rsidRDefault="00346F80" w:rsidP="00346F80">
            <w:pPr>
              <w:pStyle w:val="TableTextCentered"/>
            </w:pPr>
            <w:r w:rsidRPr="00807FB9">
              <w:t>-203</w:t>
            </w:r>
          </w:p>
        </w:tc>
        <w:tc>
          <w:tcPr>
            <w:tcW w:w="1795" w:type="dxa"/>
            <w:tcBorders>
              <w:bottom w:val="single" w:sz="4" w:space="0" w:color="auto"/>
            </w:tcBorders>
          </w:tcPr>
          <w:p w:rsidR="00346F80" w:rsidRPr="00807FB9" w:rsidRDefault="00346F80" w:rsidP="00346F80">
            <w:pPr>
              <w:pStyle w:val="TableTextCentered"/>
            </w:pPr>
            <w:r w:rsidRPr="00807FB9">
              <w:t>-15.20%</w:t>
            </w:r>
          </w:p>
        </w:tc>
      </w:tr>
      <w:tr w:rsidR="00346F80" w:rsidRPr="00143ED0" w:rsidTr="004E50CD">
        <w:tc>
          <w:tcPr>
            <w:tcW w:w="1795" w:type="dxa"/>
          </w:tcPr>
          <w:p w:rsidR="00346F80" w:rsidRPr="00807FB9" w:rsidRDefault="00346F80" w:rsidP="00346F80">
            <w:pPr>
              <w:pStyle w:val="TableText"/>
              <w:jc w:val="center"/>
            </w:pPr>
            <w:r w:rsidRPr="00C20B19">
              <w:t>202</w:t>
            </w:r>
            <w:r>
              <w:t>3</w:t>
            </w:r>
            <w:r>
              <w:rPr>
                <w:b/>
              </w:rPr>
              <w:t>–</w:t>
            </w:r>
            <w:r>
              <w:t>2</w:t>
            </w:r>
            <w:r w:rsidRPr="00C20B19">
              <w:t>4</w:t>
            </w:r>
          </w:p>
        </w:tc>
        <w:tc>
          <w:tcPr>
            <w:tcW w:w="1890" w:type="dxa"/>
          </w:tcPr>
          <w:p w:rsidR="00346F80" w:rsidRPr="00807FB9" w:rsidRDefault="00346F80" w:rsidP="00346F80">
            <w:pPr>
              <w:pStyle w:val="TableTextCentered"/>
            </w:pPr>
            <w:r w:rsidRPr="00807FB9">
              <w:t>1,123</w:t>
            </w:r>
          </w:p>
        </w:tc>
        <w:tc>
          <w:tcPr>
            <w:tcW w:w="2070" w:type="dxa"/>
          </w:tcPr>
          <w:p w:rsidR="00346F80" w:rsidRPr="00807FB9" w:rsidRDefault="00346F80" w:rsidP="00346F80">
            <w:pPr>
              <w:pStyle w:val="TableTextCentered"/>
            </w:pPr>
            <w:r w:rsidRPr="00807FB9">
              <w:t>1,329</w:t>
            </w:r>
          </w:p>
        </w:tc>
        <w:tc>
          <w:tcPr>
            <w:tcW w:w="1800" w:type="dxa"/>
          </w:tcPr>
          <w:p w:rsidR="00346F80" w:rsidRPr="00143ED0" w:rsidRDefault="00346F80" w:rsidP="00346F80">
            <w:pPr>
              <w:pStyle w:val="TableTextCentered"/>
            </w:pPr>
            <w:r w:rsidRPr="00807FB9">
              <w:t>-207</w:t>
            </w:r>
          </w:p>
        </w:tc>
        <w:tc>
          <w:tcPr>
            <w:tcW w:w="1795" w:type="dxa"/>
          </w:tcPr>
          <w:p w:rsidR="00346F80" w:rsidRPr="00807FB9" w:rsidRDefault="00346F80" w:rsidP="00346F80">
            <w:pPr>
              <w:pStyle w:val="TableTextCentered"/>
            </w:pPr>
            <w:r w:rsidRPr="00807FB9">
              <w:t>-15.54%</w:t>
            </w:r>
          </w:p>
        </w:tc>
      </w:tr>
    </w:tbl>
    <w:p w:rsidR="00C157EC" w:rsidRPr="00CC4696" w:rsidRDefault="00C157EC" w:rsidP="00A06F93">
      <w:pPr>
        <w:pStyle w:val="FigureTitle"/>
      </w:pPr>
      <w:proofErr w:type="gramStart"/>
      <w:r>
        <w:t>Figure 17.</w:t>
      </w:r>
      <w:proofErr w:type="gramEnd"/>
      <w:r>
        <w:t xml:space="preserve"> Historical and Projected Statewide Supply and Demand for English Language Learner Education Teachers in Terms of FTEs, 2008–09</w:t>
      </w:r>
      <w:r w:rsidR="0092042A">
        <w:t xml:space="preserve"> </w:t>
      </w:r>
      <w:proofErr w:type="gramStart"/>
      <w:r w:rsidR="0092042A">
        <w:t>Through</w:t>
      </w:r>
      <w:proofErr w:type="gramEnd"/>
      <w:r w:rsidR="0092042A">
        <w:t xml:space="preserve"> </w:t>
      </w:r>
      <w:r>
        <w:t>2023–24</w:t>
      </w:r>
    </w:p>
    <w:p w:rsidR="00C157EC" w:rsidRDefault="00C157EC" w:rsidP="00A06F93">
      <w:pPr>
        <w:pStyle w:val="FigurePlacement"/>
      </w:pPr>
      <w:r w:rsidRPr="0059015E">
        <w:rPr>
          <w:noProof/>
          <w:lang w:eastAsia="zh-CN" w:bidi="km-KH"/>
        </w:rPr>
        <w:drawing>
          <wp:inline distT="0" distB="0" distL="0" distR="0">
            <wp:extent cx="5638800" cy="3655060"/>
            <wp:effectExtent l="19050" t="0" r="0" b="0"/>
            <wp:docPr id="34" name="Picture 34" descr="Similarly, both the demand and supply of ELL teachers are projected to decline over the next 10 years, but at differing rates. Specifically, there is an expected shortage of 128 FTEs (8.68 percent) in 2014–15 that is projected to grow to 207 FTEs (15.54 percent) by 2023–24 (Table 10 and Figure 17).&#10;&#10;Figure 17. Historical and Projected Statewide Supply and Demand for English Language Learner Education Teachers in Terms of FTE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86" t="3403" r="3039" b="6802"/>
                    <a:stretch/>
                  </pic:blipFill>
                  <pic:spPr bwMode="auto">
                    <a:xfrm>
                      <a:off x="0" y="0"/>
                      <a:ext cx="5641858" cy="365704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A06F93">
      <w:pPr>
        <w:pStyle w:val="BodyText"/>
      </w:pPr>
      <w:r>
        <w:t xml:space="preserve">These shortages may suggest that statewide support to recruit and retain SPED and ELL teachers is needed. </w:t>
      </w:r>
      <w:r w:rsidR="00FE1460">
        <w:t xml:space="preserve">This finding </w:t>
      </w:r>
      <w:r w:rsidR="00E54C22">
        <w:t xml:space="preserve">for SPED teachers </w:t>
      </w:r>
      <w:r w:rsidR="00FE1460">
        <w:t xml:space="preserve">is in line with findings in previous workforce reports conducted in Massachusetts (ESE 2011; 2013). </w:t>
      </w:r>
      <w:r>
        <w:t xml:space="preserve">However, both of these program areas experienced quite a bit of volatility in the past six years, and these projections are by design based on an average trend and will not project similar shocks. Therefore, if the volatility seen in historical years can be expected in future years, there are limits to what inferences can be drawn from these projections. Shocks in future years could also affect the accuracy of results for </w:t>
      </w:r>
      <w:proofErr w:type="spellStart"/>
      <w:r>
        <w:t>GenED</w:t>
      </w:r>
      <w:proofErr w:type="spellEnd"/>
      <w:r>
        <w:t xml:space="preserve"> and CTE teachers. Moreover, the projections presented here also represent an aggregation of projections at the district level, and so, although statewide there is a net shortage, there may be variation in the needs of individual districts. </w:t>
      </w:r>
    </w:p>
    <w:p w:rsidR="00C157EC" w:rsidRDefault="00C157EC" w:rsidP="00A06F93">
      <w:pPr>
        <w:pStyle w:val="BodyText"/>
      </w:pPr>
      <w:r>
        <w:t xml:space="preserve">To the extent that policymakers intend to pursue strategies for recruiting teachers in particular program areas, they may want to further investigate the root cause of the observed shocks in SPED and ELL historical data. In addition, they may want to engage with districts to better understand whether experiences are aligned with statewide trends. In particular, districts that tend to serve a larger population of SPED and ELL students typically also serve large populations of low-income students. These districts may face much greater shortages than is </w:t>
      </w:r>
      <w:proofErr w:type="spellStart"/>
      <w:r>
        <w:t>discernable</w:t>
      </w:r>
      <w:proofErr w:type="spellEnd"/>
      <w:r>
        <w:t xml:space="preserve"> from aggregate trends. </w:t>
      </w:r>
    </w:p>
    <w:p w:rsidR="00C157EC" w:rsidRPr="00C30DD9" w:rsidRDefault="00C157EC" w:rsidP="00A06F93">
      <w:pPr>
        <w:pStyle w:val="Heading4"/>
      </w:pPr>
      <w:bookmarkStart w:id="85" w:name="_Toc435784252"/>
      <w:r>
        <w:t>Validity of Results</w:t>
      </w:r>
      <w:bookmarkEnd w:id="85"/>
    </w:p>
    <w:p w:rsidR="00C157EC" w:rsidRDefault="00C157EC" w:rsidP="00C157EC">
      <w:pPr>
        <w:pStyle w:val="Heading5"/>
      </w:pPr>
      <w:r w:rsidRPr="002028DD">
        <w:t>Demand Projections</w:t>
      </w:r>
    </w:p>
    <w:p w:rsidR="00C157EC" w:rsidRDefault="00C157EC" w:rsidP="00A06F93">
      <w:pPr>
        <w:pStyle w:val="BodyText"/>
      </w:pPr>
      <w:r>
        <w:t>The AIR research team conducted a number of tests to determine the validity of the estimated demand and supply projections by program area. Specifically, the team considered the average percent errors (APEs) and mean absolute percent errors (MAPEs) for both demand and supply projections based on a comparison of actual and projected values obtained with historical data, as well as the 95 percent confidence intervals around the predicted proportions that drive the demand projections, and the 95 percent confidence intervals around the predicted supply projections for districts on average.</w:t>
      </w:r>
    </w:p>
    <w:p w:rsidR="00C157EC" w:rsidRDefault="00C157EC" w:rsidP="00C157EC">
      <w:pPr>
        <w:pStyle w:val="Heading5"/>
      </w:pPr>
      <w:r>
        <w:t>Average Percent Errors (APEs) and Absolute Percent Errors (MAPEs)</w:t>
      </w:r>
    </w:p>
    <w:p w:rsidR="00C157EC" w:rsidRDefault="00C157EC" w:rsidP="00A06F93">
      <w:pPr>
        <w:pStyle w:val="BodyText"/>
      </w:pPr>
      <w:r>
        <w:t xml:space="preserve">When the AIR team compared projected to actual demand estimates in the historical data, it was found that </w:t>
      </w:r>
      <w:proofErr w:type="spellStart"/>
      <w:r>
        <w:t>GenED</w:t>
      </w:r>
      <w:proofErr w:type="spellEnd"/>
      <w:r>
        <w:t xml:space="preserve"> projections had the lowest bias as measured by APEs and general error as measured by MAPEs, , at 0.1 and 0.5 percent, respectively. ELL projections had the largest APE and MAPE at 4.6 and 7.8 percent, respectively. Given that the MAPE was above 7.5 percent, these projections should be interpreted with caution.</w:t>
      </w:r>
      <w:r w:rsidR="00F82300" w:rsidDel="00F82300">
        <w:rPr>
          <w:rStyle w:val="FootnoteReference"/>
        </w:rPr>
        <w:t xml:space="preserve"> </w:t>
      </w:r>
      <w:r>
        <w:t xml:space="preserve"> In terms of bias, </w:t>
      </w:r>
      <w:proofErr w:type="spellStart"/>
      <w:r>
        <w:t>GenED</w:t>
      </w:r>
      <w:proofErr w:type="spellEnd"/>
      <w:r>
        <w:t>, CTE, and ELL projections appear to be over</w:t>
      </w:r>
      <w:r w:rsidR="00545090">
        <w:t>-</w:t>
      </w:r>
      <w:r>
        <w:t>predicting demand, on average, while SPED projections appear to be under</w:t>
      </w:r>
      <w:r w:rsidR="00545090">
        <w:t>-</w:t>
      </w:r>
      <w:r>
        <w:t>predicting demand. This could have implications for the identified shortages and surpluses. On the one hand, if demand is over</w:t>
      </w:r>
      <w:r w:rsidR="00545090">
        <w:t>-</w:t>
      </w:r>
      <w:r>
        <w:t>predicted, then it is possible to infer shortages may be smaller and surpluses larger. On the other hand, because SPED demand is under</w:t>
      </w:r>
      <w:r w:rsidR="00545090">
        <w:t>-</w:t>
      </w:r>
      <w:r>
        <w:t>predicted, on average, it is possible to infer that the expected shortages may, in fact, be larger than reported.</w:t>
      </w:r>
    </w:p>
    <w:p w:rsidR="00C157EC" w:rsidRDefault="00C157EC" w:rsidP="00C157EC">
      <w:pPr>
        <w:pStyle w:val="Heading5"/>
      </w:pPr>
      <w:r>
        <w:t>Confidence Intervals</w:t>
      </w:r>
    </w:p>
    <w:p w:rsidR="00C157EC" w:rsidRDefault="00C157EC" w:rsidP="00A06F93">
      <w:pPr>
        <w:pStyle w:val="BodyText"/>
      </w:pPr>
      <w:r>
        <w:t>Similar to the findings for the aggregate supply projections, confidence intervals around the demand proportion projections by program area grew substantially from 2014–15 to 2023–24. Given the large growth in intervals over time, the AIR research team suggests that the earlier years of projections should be relied on more heavily in any discussions of policy implications. Moreover, in the first projected year, all intervals are generally modest in size, with only ELL teachers rising above +/- 10 percent. However, by the final projected year the intervals are quite large for both CTE and ELL teachers. This further supports the notion that over time one should be less confident in the projections, especially for CTE and ELL teachers.</w:t>
      </w:r>
    </w:p>
    <w:p w:rsidR="00C157EC" w:rsidRDefault="00C157EC" w:rsidP="00C157EC">
      <w:pPr>
        <w:pStyle w:val="Heading5"/>
      </w:pPr>
      <w:r>
        <w:t xml:space="preserve">Supply Projections </w:t>
      </w:r>
    </w:p>
    <w:p w:rsidR="00C157EC" w:rsidRDefault="00C157EC" w:rsidP="00A06F93">
      <w:pPr>
        <w:pStyle w:val="BodyText"/>
      </w:pPr>
      <w:r>
        <w:t>The AIR research team next calculated the APEs and MAPEs by program area by using predicted and actual supply in historical years. In addition, the AIR team evaluated the 95 percent confidence intervals around district average program area supply estimates.</w:t>
      </w:r>
    </w:p>
    <w:p w:rsidR="00C157EC" w:rsidRDefault="00C157EC" w:rsidP="00C157EC">
      <w:pPr>
        <w:pStyle w:val="Heading5"/>
      </w:pPr>
      <w:r>
        <w:t>Average Percent Errors (APEs) and Absolute Percent Errors (MAPEs)</w:t>
      </w:r>
    </w:p>
    <w:p w:rsidR="00C157EC" w:rsidRDefault="00C157EC" w:rsidP="00C157EC">
      <w:pPr>
        <w:pStyle w:val="BodyText"/>
      </w:pPr>
      <w:r>
        <w:t xml:space="preserve">When the AIR research team compared projected and actual demand estimates in historical years, it was found that, as was the case with the proportion projections, </w:t>
      </w:r>
      <w:proofErr w:type="spellStart"/>
      <w:r>
        <w:t>GenED</w:t>
      </w:r>
      <w:proofErr w:type="spellEnd"/>
      <w:r>
        <w:t xml:space="preserve"> projections have the lowest APE and MAPE, at less than 0.1 percent and 0.4 percent respectively, and ELL projections have the largest, 1.3 and 8.4 percent, respectively. Given that the MAPE for ELL is above 7.5 percent, these projections should be interpreted with caution. In terms of bias, all program area supply projections appear to be over</w:t>
      </w:r>
      <w:r w:rsidR="00F82300">
        <w:t>-</w:t>
      </w:r>
      <w:r>
        <w:t xml:space="preserve">predicting, on average, based on the direction of the APEs (all positive). This could have implications for the identified shortages and surpluses. However, since, in general, demand projections also have an upward </w:t>
      </w:r>
      <w:proofErr w:type="gramStart"/>
      <w:r>
        <w:t>bias,</w:t>
      </w:r>
      <w:proofErr w:type="gramEnd"/>
      <w:r>
        <w:t xml:space="preserve"> the impact of the bias on the calculated supply demand differences (surplus/shortage) may be negligible. For example, if CTE teacher demand tended to over</w:t>
      </w:r>
      <w:r w:rsidR="00F82300">
        <w:t>-</w:t>
      </w:r>
      <w:r>
        <w:t>predict by 0.6 percent, on average, and supply tended to over</w:t>
      </w:r>
      <w:r w:rsidR="00F82300">
        <w:t>-</w:t>
      </w:r>
      <w:r>
        <w:t>predict by 0.5 percent, on average, than, although both may be higher than reported, the difference between the two would be largely unchanged. The exception to this are the SPED projections, which exhibit a downward bias for demand and an upward bias for supply, suggesting that the projected shortages may actually be larger than reported.</w:t>
      </w:r>
    </w:p>
    <w:p w:rsidR="00C157EC" w:rsidRDefault="00C157EC" w:rsidP="00C157EC">
      <w:pPr>
        <w:pStyle w:val="Heading5"/>
      </w:pPr>
      <w:r>
        <w:t>Confidence Intervals</w:t>
      </w:r>
    </w:p>
    <w:p w:rsidR="00C157EC" w:rsidRDefault="00C157EC" w:rsidP="00A06F93">
      <w:pPr>
        <w:pStyle w:val="BodyText"/>
      </w:pPr>
      <w:r>
        <w:t>As expected, the confidence intervals around the average supply estimates also grow consistently over the projected years. Specifically, it was found that intervals around the CTE supply estimates had the largest growth, nearly quadrupling over the projected years. On the other hand, the SPED and ELL confidence intervals grew least, although still substantially, almost doubling over projected years. Given the growth in intervals over time, the AIR research team suggests that the earlier years of projections be relied on more heavily in any discussions of policy implications. Moreover, when considering the relative size of the intervals, SPED, CTE, and ELL projections all have very large intervals in the final projected year, indicating less certainty in projected supply of teachers in these program areas.</w:t>
      </w:r>
      <w:r>
        <w:rPr>
          <w:rStyle w:val="FootnoteReference"/>
        </w:rPr>
        <w:footnoteReference w:id="21"/>
      </w:r>
    </w:p>
    <w:p w:rsidR="00C157EC" w:rsidRDefault="00C157EC" w:rsidP="00A06F93">
      <w:pPr>
        <w:pStyle w:val="Heading3"/>
        <w:pageBreakBefore/>
      </w:pPr>
      <w:bookmarkStart w:id="86" w:name="_Toc435784253"/>
      <w:bookmarkStart w:id="87" w:name="_Toc436724294"/>
      <w:bookmarkStart w:id="88" w:name="_Toc437284993"/>
      <w:r>
        <w:t xml:space="preserve">Research Question 4: </w:t>
      </w:r>
      <w:r w:rsidRPr="00336754">
        <w:t xml:space="preserve">Detailed </w:t>
      </w:r>
      <w:r>
        <w:t xml:space="preserve">Supply and Demand </w:t>
      </w:r>
      <w:r w:rsidRPr="00336754">
        <w:t xml:space="preserve">Projections by </w:t>
      </w:r>
      <w:r>
        <w:t>Race and Age</w:t>
      </w:r>
      <w:bookmarkEnd w:id="86"/>
      <w:bookmarkEnd w:id="87"/>
      <w:bookmarkEnd w:id="88"/>
    </w:p>
    <w:p w:rsidR="00C157EC" w:rsidRPr="00A06F93" w:rsidRDefault="00C157EC" w:rsidP="00A06F93">
      <w:pPr>
        <w:pStyle w:val="BodyText"/>
        <w:rPr>
          <w:i/>
        </w:rPr>
      </w:pPr>
      <w:r w:rsidRPr="00A06F93">
        <w:rPr>
          <w:i/>
        </w:rPr>
        <w:t>What are the supply and demand projections of teachers in Massachusetts for the next 10 years by demographic group?</w:t>
      </w:r>
    </w:p>
    <w:p w:rsidR="00C157EC" w:rsidRDefault="00C157EC" w:rsidP="00A06F93">
      <w:pPr>
        <w:pStyle w:val="BodyText"/>
      </w:pPr>
      <w:proofErr w:type="gramStart"/>
      <w:r>
        <w:t>The AIR research team first estimated projected demand for teachers in a variety of racial and ethnic categories.</w:t>
      </w:r>
      <w:proofErr w:type="gramEnd"/>
      <w:r>
        <w:t xml:space="preserve"> </w:t>
      </w:r>
      <w:proofErr w:type="gramStart"/>
      <w:r>
        <w:t>This section reports on key findings from these analyses, including estimated proportions of minority (i.e., non-White) teachers, and projected future trends in demand for minority (i.e., non-White) and White teachers.</w:t>
      </w:r>
      <w:proofErr w:type="gramEnd"/>
      <w:r>
        <w:t xml:space="preserve"> </w:t>
      </w:r>
    </w:p>
    <w:p w:rsidR="00C157EC" w:rsidRDefault="00C157EC" w:rsidP="00A06F93">
      <w:pPr>
        <w:pStyle w:val="BodyText"/>
      </w:pPr>
      <w:r>
        <w:t>The AIR team next estimated projected supply for teachers by race, including projections of all supply components by race.</w:t>
      </w:r>
      <w:r>
        <w:rPr>
          <w:rStyle w:val="FootnoteReference"/>
        </w:rPr>
        <w:footnoteReference w:id="22"/>
      </w:r>
      <w:r>
        <w:t xml:space="preserve"> This section reports key findings from these analyses, including a summary of projected trends in supply by race. In addition, this section reports on the comparison of demand and supply by race, including expected surpluses and shortages for minority and White teachers.</w:t>
      </w:r>
    </w:p>
    <w:p w:rsidR="00C157EC" w:rsidRDefault="00C157EC" w:rsidP="00A06F93">
      <w:pPr>
        <w:pStyle w:val="BodyText"/>
      </w:pPr>
      <w:r>
        <w:t>For the second part of this research question, the AIR research team estimated demand projections by age groups split into seven categories,</w:t>
      </w:r>
      <w:r>
        <w:rPr>
          <w:rStyle w:val="FootnoteReference"/>
        </w:rPr>
        <w:footnoteReference w:id="23"/>
      </w:r>
      <w:r>
        <w:t xml:space="preserve"> and key findings from those analyses are presented here by age category. In addition, projected supply for teachers by age was estimated, including projections of all supply components by age. These supply projections also are summarized in this section. In addition, this section reports on the comparison of demand and supply by age, including expected surpluses and shortages for teachers in each age category.</w:t>
      </w:r>
    </w:p>
    <w:p w:rsidR="00C157EC" w:rsidRPr="00616075" w:rsidRDefault="00C157EC" w:rsidP="00A06F93">
      <w:pPr>
        <w:pStyle w:val="BodyText"/>
      </w:pPr>
      <w:r>
        <w:t>Finally, this section reports on the validity of these results based on a comparison of actual and projected values derived from historical data, and presents the 95 percent confidence intervals surrounding the regression-based estimates.</w:t>
      </w:r>
      <w:r>
        <w:rPr>
          <w:rStyle w:val="FootnoteReference"/>
        </w:rPr>
        <w:footnoteReference w:id="24"/>
      </w:r>
    </w:p>
    <w:p w:rsidR="00C157EC" w:rsidRDefault="00C157EC" w:rsidP="00A06F93">
      <w:pPr>
        <w:pStyle w:val="Heading4"/>
      </w:pPr>
      <w:bookmarkStart w:id="89" w:name="_Toc435784254"/>
      <w:r>
        <w:t>Research Question 4a: Demand and Supply Projections by Race</w:t>
      </w:r>
      <w:bookmarkEnd w:id="89"/>
    </w:p>
    <w:p w:rsidR="00C157EC" w:rsidRDefault="00C157EC" w:rsidP="00C157EC">
      <w:pPr>
        <w:pStyle w:val="Heading5"/>
      </w:pPr>
      <w:r>
        <w:t>Demand Projections by Race</w:t>
      </w:r>
    </w:p>
    <w:p w:rsidR="00C157EC" w:rsidRDefault="00C157EC" w:rsidP="00A06F93">
      <w:pPr>
        <w:pStyle w:val="BodyText"/>
      </w:pPr>
      <w:r>
        <w:t>The AIR research team first estimated demand projections by the race of the teacher. As outlined in the Data and Methods section, in order to do this, regression models were used to predict proportions of teachers</w:t>
      </w:r>
      <w:r>
        <w:rPr>
          <w:rStyle w:val="FootnoteReference"/>
        </w:rPr>
        <w:footnoteReference w:id="25"/>
      </w:r>
      <w:r>
        <w:t xml:space="preserve"> by race, and these proportions were applied to the demand estimates in Research Question 1. Projections were initially tested in each of the race categories, but it was found that projections for the individual categories were not reliable. The research team determined that projecting a combined minority category instead was more appropriate. This lack of reliability may be due in part to the fact that all minorities made up only </w:t>
      </w:r>
      <w:r w:rsidRPr="00192393">
        <w:t>2.8</w:t>
      </w:r>
      <w:r>
        <w:t xml:space="preserve"> percent of all teachers in Massachusetts, on average, over the past six years. </w:t>
      </w:r>
    </w:p>
    <w:p w:rsidR="00C157EC" w:rsidRDefault="00C157EC" w:rsidP="00A06F93">
      <w:pPr>
        <w:pStyle w:val="BodyText"/>
      </w:pPr>
      <w:r>
        <w:t>As can be seen in Table 11, the share of teachers who are minority is expected to increase over time to approximately 3.3 percent of the active teaching workforce by 2023–24. This is met by an expected complementary decline in White teachers.</w:t>
      </w:r>
    </w:p>
    <w:p w:rsidR="00C157EC" w:rsidRPr="00A06F93" w:rsidRDefault="00C157EC" w:rsidP="00A06F93">
      <w:pPr>
        <w:pStyle w:val="TableTitle"/>
      </w:pPr>
      <w:proofErr w:type="gramStart"/>
      <w:r>
        <w:t>Table 11</w:t>
      </w:r>
      <w:r w:rsidRPr="000331C5">
        <w:t>.</w:t>
      </w:r>
      <w:proofErr w:type="gramEnd"/>
      <w:r>
        <w:t xml:space="preserve"> Projected Percent of Minority and White Teachers,</w:t>
      </w:r>
      <w:r w:rsidRPr="002B58FC">
        <w:t xml:space="preserve"> </w:t>
      </w:r>
      <w:r>
        <w:t>2014</w:t>
      </w:r>
      <w:r w:rsidRPr="002B58FC">
        <w:t>–</w:t>
      </w:r>
      <w:r>
        <w:t>15</w:t>
      </w:r>
      <w:r w:rsidR="0092042A">
        <w:t xml:space="preserve"> </w:t>
      </w:r>
      <w:proofErr w:type="gramStart"/>
      <w:r w:rsidR="0092042A">
        <w:t>Through</w:t>
      </w:r>
      <w:proofErr w:type="gramEnd"/>
      <w:r w:rsidR="0092042A">
        <w:t xml:space="preserve"> </w:t>
      </w:r>
      <w:r>
        <w:t>2023</w:t>
      </w:r>
      <w:r w:rsidRPr="002B58FC">
        <w:t>–</w:t>
      </w:r>
      <w:r>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2"/>
        <w:gridCol w:w="3876"/>
        <w:gridCol w:w="3872"/>
      </w:tblGrid>
      <w:tr w:rsidR="00A06F93" w:rsidRPr="000808C6" w:rsidTr="00511F2C">
        <w:trPr>
          <w:cnfStyle w:val="100000000000"/>
          <w:trHeight w:val="935"/>
        </w:trPr>
        <w:tc>
          <w:tcPr>
            <w:tcW w:w="960" w:type="pct"/>
            <w:tcBorders>
              <w:bottom w:val="single" w:sz="4" w:space="0" w:color="auto"/>
            </w:tcBorders>
          </w:tcPr>
          <w:p w:rsidR="00A06F93" w:rsidRPr="00807FB9" w:rsidRDefault="00A06F93" w:rsidP="00BD18E1">
            <w:pPr>
              <w:pStyle w:val="TableText"/>
              <w:jc w:val="center"/>
            </w:pPr>
            <w:r w:rsidRPr="00807FB9">
              <w:t>Year</w:t>
            </w:r>
          </w:p>
        </w:tc>
        <w:tc>
          <w:tcPr>
            <w:tcW w:w="2021" w:type="pct"/>
            <w:tcBorders>
              <w:bottom w:val="single" w:sz="4" w:space="0" w:color="auto"/>
            </w:tcBorders>
          </w:tcPr>
          <w:p w:rsidR="00A06F93" w:rsidRPr="00807FB9" w:rsidRDefault="00A06F93" w:rsidP="00A06F93">
            <w:pPr>
              <w:pStyle w:val="TableTextCentered"/>
            </w:pPr>
            <w:r>
              <w:t>P</w:t>
            </w:r>
            <w:r w:rsidRPr="00807FB9">
              <w:t xml:space="preserve">ercent </w:t>
            </w:r>
            <w:r>
              <w:t>M</w:t>
            </w:r>
            <w:r w:rsidRPr="00807FB9">
              <w:t xml:space="preserve">inority </w:t>
            </w:r>
            <w:r>
              <w:t>T</w:t>
            </w:r>
            <w:r w:rsidRPr="00807FB9">
              <w:t>eachers</w:t>
            </w:r>
          </w:p>
        </w:tc>
        <w:tc>
          <w:tcPr>
            <w:tcW w:w="2019" w:type="pct"/>
            <w:tcBorders>
              <w:bottom w:val="single" w:sz="4" w:space="0" w:color="auto"/>
            </w:tcBorders>
          </w:tcPr>
          <w:p w:rsidR="00A06F93" w:rsidRPr="00807FB9" w:rsidRDefault="00A06F93" w:rsidP="00A06F93">
            <w:pPr>
              <w:pStyle w:val="TableTextCentered"/>
            </w:pPr>
            <w:r>
              <w:t>P</w:t>
            </w:r>
            <w:r w:rsidRPr="00807FB9">
              <w:t xml:space="preserve">ercent </w:t>
            </w:r>
            <w:r>
              <w:t>W</w:t>
            </w:r>
            <w:r w:rsidRPr="00807FB9">
              <w:t xml:space="preserve">hite </w:t>
            </w:r>
            <w:r>
              <w:t>T</w:t>
            </w:r>
            <w:r w:rsidRPr="00807FB9">
              <w:t>eachers</w:t>
            </w:r>
          </w:p>
        </w:tc>
      </w:tr>
      <w:tr w:rsidR="00A06F93" w:rsidRPr="000808C6" w:rsidTr="00511F2C">
        <w:tc>
          <w:tcPr>
            <w:tcW w:w="960" w:type="pct"/>
            <w:tcBorders>
              <w:bottom w:val="single" w:sz="4" w:space="0" w:color="auto"/>
            </w:tcBorders>
          </w:tcPr>
          <w:p w:rsidR="00A06F93" w:rsidRPr="00807FB9" w:rsidRDefault="00A06F93" w:rsidP="00BD18E1">
            <w:pPr>
              <w:pStyle w:val="TableText"/>
              <w:jc w:val="center"/>
            </w:pPr>
            <w:r w:rsidRPr="00807FB9">
              <w:t>20</w:t>
            </w:r>
            <w:r>
              <w:t>14–</w:t>
            </w:r>
            <w:r w:rsidRPr="00807FB9">
              <w:t>15</w:t>
            </w:r>
          </w:p>
        </w:tc>
        <w:tc>
          <w:tcPr>
            <w:tcW w:w="2021" w:type="pct"/>
            <w:tcBorders>
              <w:bottom w:val="single" w:sz="4" w:space="0" w:color="auto"/>
            </w:tcBorders>
          </w:tcPr>
          <w:p w:rsidR="00A06F93" w:rsidRPr="00807FB9" w:rsidRDefault="00A06F93" w:rsidP="00A06F93">
            <w:pPr>
              <w:pStyle w:val="TableTextCentered"/>
            </w:pPr>
            <w:r w:rsidRPr="00807FB9">
              <w:t>2.92%</w:t>
            </w:r>
          </w:p>
        </w:tc>
        <w:tc>
          <w:tcPr>
            <w:tcW w:w="2019" w:type="pct"/>
            <w:tcBorders>
              <w:bottom w:val="single" w:sz="4" w:space="0" w:color="auto"/>
            </w:tcBorders>
          </w:tcPr>
          <w:p w:rsidR="00A06F93" w:rsidRPr="00807FB9" w:rsidRDefault="00A06F93" w:rsidP="00A06F93">
            <w:pPr>
              <w:pStyle w:val="TableTextCentered"/>
            </w:pPr>
            <w:r w:rsidRPr="00807FB9">
              <w:t>97.08%</w:t>
            </w:r>
          </w:p>
        </w:tc>
      </w:tr>
      <w:tr w:rsidR="00A06F93" w:rsidRPr="000808C6" w:rsidTr="00511F2C">
        <w:tc>
          <w:tcPr>
            <w:tcW w:w="960" w:type="pct"/>
            <w:tcBorders>
              <w:bottom w:val="single" w:sz="4" w:space="0" w:color="auto"/>
            </w:tcBorders>
          </w:tcPr>
          <w:p w:rsidR="00A06F93" w:rsidRPr="00807FB9" w:rsidRDefault="00A06F93" w:rsidP="00BD18E1">
            <w:pPr>
              <w:pStyle w:val="TableText"/>
              <w:jc w:val="center"/>
            </w:pPr>
            <w:r w:rsidRPr="00807FB9">
              <w:t>20</w:t>
            </w:r>
            <w:r>
              <w:t>15–</w:t>
            </w:r>
            <w:r w:rsidRPr="00807FB9">
              <w:t>16</w:t>
            </w:r>
          </w:p>
        </w:tc>
        <w:tc>
          <w:tcPr>
            <w:tcW w:w="2021" w:type="pct"/>
            <w:tcBorders>
              <w:bottom w:val="single" w:sz="4" w:space="0" w:color="auto"/>
            </w:tcBorders>
          </w:tcPr>
          <w:p w:rsidR="00A06F93" w:rsidRPr="00807FB9" w:rsidRDefault="00A06F93" w:rsidP="00A06F93">
            <w:pPr>
              <w:pStyle w:val="TableTextCentered"/>
            </w:pPr>
            <w:r w:rsidRPr="00807FB9">
              <w:t>2.96%</w:t>
            </w:r>
          </w:p>
        </w:tc>
        <w:tc>
          <w:tcPr>
            <w:tcW w:w="2019" w:type="pct"/>
            <w:tcBorders>
              <w:bottom w:val="single" w:sz="4" w:space="0" w:color="auto"/>
            </w:tcBorders>
          </w:tcPr>
          <w:p w:rsidR="00A06F93" w:rsidRPr="00807FB9" w:rsidRDefault="00A06F93" w:rsidP="00A06F93">
            <w:pPr>
              <w:pStyle w:val="TableTextCentered"/>
            </w:pPr>
            <w:r w:rsidRPr="00807FB9">
              <w:t>97.04%</w:t>
            </w:r>
          </w:p>
        </w:tc>
      </w:tr>
      <w:tr w:rsidR="00A06F93" w:rsidRPr="000808C6" w:rsidTr="00511F2C">
        <w:tc>
          <w:tcPr>
            <w:tcW w:w="960" w:type="pct"/>
            <w:tcBorders>
              <w:bottom w:val="single" w:sz="4" w:space="0" w:color="auto"/>
            </w:tcBorders>
          </w:tcPr>
          <w:p w:rsidR="00A06F93" w:rsidRPr="00807FB9" w:rsidRDefault="00A06F93" w:rsidP="00BD18E1">
            <w:pPr>
              <w:pStyle w:val="TableText"/>
              <w:jc w:val="center"/>
            </w:pPr>
            <w:r w:rsidRPr="00807FB9">
              <w:t>20</w:t>
            </w:r>
            <w:r>
              <w:t>16–</w:t>
            </w:r>
            <w:r w:rsidRPr="00807FB9">
              <w:t>17</w:t>
            </w:r>
          </w:p>
        </w:tc>
        <w:tc>
          <w:tcPr>
            <w:tcW w:w="2021" w:type="pct"/>
            <w:tcBorders>
              <w:bottom w:val="single" w:sz="4" w:space="0" w:color="auto"/>
            </w:tcBorders>
          </w:tcPr>
          <w:p w:rsidR="00A06F93" w:rsidRPr="00807FB9" w:rsidRDefault="00A06F93" w:rsidP="00A06F93">
            <w:pPr>
              <w:pStyle w:val="TableTextCentered"/>
            </w:pPr>
            <w:r w:rsidRPr="00807FB9">
              <w:t>3.01%</w:t>
            </w:r>
          </w:p>
        </w:tc>
        <w:tc>
          <w:tcPr>
            <w:tcW w:w="2019" w:type="pct"/>
            <w:tcBorders>
              <w:bottom w:val="single" w:sz="4" w:space="0" w:color="auto"/>
            </w:tcBorders>
          </w:tcPr>
          <w:p w:rsidR="00A06F93" w:rsidRPr="00807FB9" w:rsidRDefault="00A06F93" w:rsidP="00A06F93">
            <w:pPr>
              <w:pStyle w:val="TableTextCentered"/>
            </w:pPr>
            <w:r w:rsidRPr="00807FB9">
              <w:t>96.99%</w:t>
            </w:r>
          </w:p>
        </w:tc>
      </w:tr>
      <w:tr w:rsidR="00A06F93" w:rsidRPr="000808C6" w:rsidTr="00511F2C">
        <w:tc>
          <w:tcPr>
            <w:tcW w:w="960" w:type="pct"/>
            <w:tcBorders>
              <w:bottom w:val="single" w:sz="4" w:space="0" w:color="auto"/>
            </w:tcBorders>
          </w:tcPr>
          <w:p w:rsidR="00A06F93" w:rsidRPr="00807FB9" w:rsidRDefault="00A06F93" w:rsidP="00BD18E1">
            <w:pPr>
              <w:pStyle w:val="TableText"/>
              <w:jc w:val="center"/>
            </w:pPr>
            <w:r w:rsidRPr="00807FB9">
              <w:t>20</w:t>
            </w:r>
            <w:r>
              <w:t>17–</w:t>
            </w:r>
            <w:r w:rsidRPr="00807FB9">
              <w:t>18</w:t>
            </w:r>
          </w:p>
        </w:tc>
        <w:tc>
          <w:tcPr>
            <w:tcW w:w="2021" w:type="pct"/>
            <w:tcBorders>
              <w:bottom w:val="single" w:sz="4" w:space="0" w:color="auto"/>
            </w:tcBorders>
          </w:tcPr>
          <w:p w:rsidR="00A06F93" w:rsidRPr="00807FB9" w:rsidRDefault="00A06F93" w:rsidP="00A06F93">
            <w:pPr>
              <w:pStyle w:val="TableTextCentered"/>
            </w:pPr>
            <w:r w:rsidRPr="00807FB9">
              <w:t>3.05%</w:t>
            </w:r>
          </w:p>
        </w:tc>
        <w:tc>
          <w:tcPr>
            <w:tcW w:w="2019" w:type="pct"/>
            <w:tcBorders>
              <w:bottom w:val="single" w:sz="4" w:space="0" w:color="auto"/>
            </w:tcBorders>
          </w:tcPr>
          <w:p w:rsidR="00A06F93" w:rsidRPr="00807FB9" w:rsidRDefault="00A06F93" w:rsidP="00A06F93">
            <w:pPr>
              <w:pStyle w:val="TableTextCentered"/>
            </w:pPr>
            <w:r w:rsidRPr="00807FB9">
              <w:t>96.95%</w:t>
            </w:r>
          </w:p>
        </w:tc>
      </w:tr>
      <w:tr w:rsidR="00A06F93" w:rsidRPr="000808C6" w:rsidTr="00511F2C">
        <w:tc>
          <w:tcPr>
            <w:tcW w:w="960" w:type="pct"/>
            <w:tcBorders>
              <w:bottom w:val="single" w:sz="4" w:space="0" w:color="auto"/>
            </w:tcBorders>
          </w:tcPr>
          <w:p w:rsidR="00A06F93" w:rsidRPr="00807FB9" w:rsidRDefault="00A06F93" w:rsidP="00BD18E1">
            <w:pPr>
              <w:pStyle w:val="TableText"/>
              <w:jc w:val="center"/>
            </w:pPr>
            <w:r w:rsidRPr="00807FB9">
              <w:t>20</w:t>
            </w:r>
            <w:r>
              <w:t>18–</w:t>
            </w:r>
            <w:r w:rsidRPr="00807FB9">
              <w:t>19</w:t>
            </w:r>
          </w:p>
        </w:tc>
        <w:tc>
          <w:tcPr>
            <w:tcW w:w="2021" w:type="pct"/>
            <w:tcBorders>
              <w:bottom w:val="single" w:sz="4" w:space="0" w:color="auto"/>
            </w:tcBorders>
          </w:tcPr>
          <w:p w:rsidR="00A06F93" w:rsidRPr="00807FB9" w:rsidRDefault="00A06F93" w:rsidP="00A06F93">
            <w:pPr>
              <w:pStyle w:val="TableTextCentered"/>
            </w:pPr>
            <w:r w:rsidRPr="00807FB9">
              <w:t>3.09%</w:t>
            </w:r>
          </w:p>
        </w:tc>
        <w:tc>
          <w:tcPr>
            <w:tcW w:w="2019" w:type="pct"/>
            <w:tcBorders>
              <w:bottom w:val="single" w:sz="4" w:space="0" w:color="auto"/>
            </w:tcBorders>
          </w:tcPr>
          <w:p w:rsidR="00A06F93" w:rsidRPr="00807FB9" w:rsidRDefault="00A06F93" w:rsidP="00A06F93">
            <w:pPr>
              <w:pStyle w:val="TableTextCentered"/>
            </w:pPr>
            <w:r w:rsidRPr="00807FB9">
              <w:t>96.91%</w:t>
            </w:r>
          </w:p>
        </w:tc>
      </w:tr>
      <w:tr w:rsidR="00A06F93" w:rsidRPr="000808C6" w:rsidTr="00511F2C">
        <w:tc>
          <w:tcPr>
            <w:tcW w:w="960" w:type="pct"/>
            <w:tcBorders>
              <w:bottom w:val="single" w:sz="4" w:space="0" w:color="auto"/>
            </w:tcBorders>
          </w:tcPr>
          <w:p w:rsidR="00A06F93" w:rsidRPr="00807FB9" w:rsidRDefault="00A06F93" w:rsidP="00BD18E1">
            <w:pPr>
              <w:pStyle w:val="TableText"/>
              <w:jc w:val="center"/>
            </w:pPr>
            <w:r w:rsidRPr="00807FB9">
              <w:t>20</w:t>
            </w:r>
            <w:r>
              <w:t>19–</w:t>
            </w:r>
            <w:r w:rsidRPr="00807FB9">
              <w:t>20</w:t>
            </w:r>
          </w:p>
        </w:tc>
        <w:tc>
          <w:tcPr>
            <w:tcW w:w="2021" w:type="pct"/>
            <w:tcBorders>
              <w:bottom w:val="single" w:sz="4" w:space="0" w:color="auto"/>
            </w:tcBorders>
          </w:tcPr>
          <w:p w:rsidR="00A06F93" w:rsidRPr="00807FB9" w:rsidRDefault="00A06F93" w:rsidP="00A06F93">
            <w:pPr>
              <w:pStyle w:val="TableTextCentered"/>
            </w:pPr>
            <w:r w:rsidRPr="00807FB9">
              <w:t>3.14%</w:t>
            </w:r>
          </w:p>
        </w:tc>
        <w:tc>
          <w:tcPr>
            <w:tcW w:w="2019" w:type="pct"/>
            <w:tcBorders>
              <w:bottom w:val="single" w:sz="4" w:space="0" w:color="auto"/>
            </w:tcBorders>
          </w:tcPr>
          <w:p w:rsidR="00A06F93" w:rsidRPr="00807FB9" w:rsidRDefault="00A06F93" w:rsidP="00A06F93">
            <w:pPr>
              <w:pStyle w:val="TableTextCentered"/>
            </w:pPr>
            <w:r w:rsidRPr="00807FB9">
              <w:t>96.86%</w:t>
            </w:r>
          </w:p>
        </w:tc>
      </w:tr>
      <w:tr w:rsidR="00A06F93" w:rsidRPr="000808C6" w:rsidTr="00511F2C">
        <w:tc>
          <w:tcPr>
            <w:tcW w:w="960" w:type="pct"/>
            <w:tcBorders>
              <w:bottom w:val="single" w:sz="4" w:space="0" w:color="auto"/>
            </w:tcBorders>
          </w:tcPr>
          <w:p w:rsidR="00A06F93" w:rsidRPr="00807FB9" w:rsidRDefault="00A06F93" w:rsidP="00BD18E1">
            <w:pPr>
              <w:pStyle w:val="TableText"/>
              <w:jc w:val="center"/>
            </w:pPr>
            <w:r w:rsidRPr="00807FB9">
              <w:t>20</w:t>
            </w:r>
            <w:r>
              <w:t>20–</w:t>
            </w:r>
            <w:r w:rsidRPr="00807FB9">
              <w:t>21</w:t>
            </w:r>
          </w:p>
        </w:tc>
        <w:tc>
          <w:tcPr>
            <w:tcW w:w="2021" w:type="pct"/>
            <w:tcBorders>
              <w:bottom w:val="single" w:sz="4" w:space="0" w:color="auto"/>
            </w:tcBorders>
          </w:tcPr>
          <w:p w:rsidR="00A06F93" w:rsidRPr="00807FB9" w:rsidRDefault="00A06F93" w:rsidP="00A06F93">
            <w:pPr>
              <w:pStyle w:val="TableTextCentered"/>
            </w:pPr>
            <w:r w:rsidRPr="00807FB9">
              <w:t>3.18%</w:t>
            </w:r>
          </w:p>
        </w:tc>
        <w:tc>
          <w:tcPr>
            <w:tcW w:w="2019" w:type="pct"/>
            <w:tcBorders>
              <w:bottom w:val="single" w:sz="4" w:space="0" w:color="auto"/>
            </w:tcBorders>
          </w:tcPr>
          <w:p w:rsidR="00A06F93" w:rsidRPr="00807FB9" w:rsidRDefault="00A06F93" w:rsidP="00A06F93">
            <w:pPr>
              <w:pStyle w:val="TableTextCentered"/>
            </w:pPr>
            <w:r w:rsidRPr="00807FB9">
              <w:t>96.82%</w:t>
            </w:r>
          </w:p>
        </w:tc>
      </w:tr>
      <w:tr w:rsidR="00A06F93" w:rsidRPr="000808C6" w:rsidTr="00511F2C">
        <w:tc>
          <w:tcPr>
            <w:tcW w:w="960" w:type="pct"/>
            <w:tcBorders>
              <w:bottom w:val="single" w:sz="4" w:space="0" w:color="auto"/>
            </w:tcBorders>
          </w:tcPr>
          <w:p w:rsidR="00A06F93" w:rsidRPr="00807FB9" w:rsidRDefault="00A06F93" w:rsidP="00BD18E1">
            <w:pPr>
              <w:pStyle w:val="TableText"/>
              <w:jc w:val="center"/>
            </w:pPr>
            <w:r w:rsidRPr="00807FB9">
              <w:t>20</w:t>
            </w:r>
            <w:r>
              <w:t>21–</w:t>
            </w:r>
            <w:r w:rsidRPr="00807FB9">
              <w:t>22</w:t>
            </w:r>
          </w:p>
        </w:tc>
        <w:tc>
          <w:tcPr>
            <w:tcW w:w="2021" w:type="pct"/>
            <w:tcBorders>
              <w:bottom w:val="single" w:sz="4" w:space="0" w:color="auto"/>
            </w:tcBorders>
          </w:tcPr>
          <w:p w:rsidR="00A06F93" w:rsidRPr="00807FB9" w:rsidRDefault="00A06F93" w:rsidP="00A06F93">
            <w:pPr>
              <w:pStyle w:val="TableTextCentered"/>
            </w:pPr>
            <w:r w:rsidRPr="00807FB9">
              <w:t>3.23%</w:t>
            </w:r>
          </w:p>
        </w:tc>
        <w:tc>
          <w:tcPr>
            <w:tcW w:w="2019" w:type="pct"/>
            <w:tcBorders>
              <w:bottom w:val="single" w:sz="4" w:space="0" w:color="auto"/>
            </w:tcBorders>
          </w:tcPr>
          <w:p w:rsidR="00A06F93" w:rsidRPr="00807FB9" w:rsidRDefault="00A06F93" w:rsidP="00A06F93">
            <w:pPr>
              <w:pStyle w:val="TableTextCentered"/>
            </w:pPr>
            <w:r w:rsidRPr="00807FB9">
              <w:t>96.77%</w:t>
            </w:r>
          </w:p>
        </w:tc>
      </w:tr>
      <w:tr w:rsidR="00A06F93" w:rsidRPr="000808C6" w:rsidTr="00511F2C">
        <w:tc>
          <w:tcPr>
            <w:tcW w:w="960" w:type="pct"/>
            <w:tcBorders>
              <w:bottom w:val="single" w:sz="4" w:space="0" w:color="auto"/>
            </w:tcBorders>
          </w:tcPr>
          <w:p w:rsidR="00A06F93" w:rsidRPr="00807FB9" w:rsidRDefault="00A06F93" w:rsidP="00BD18E1">
            <w:pPr>
              <w:pStyle w:val="TableText"/>
              <w:jc w:val="center"/>
            </w:pPr>
            <w:r w:rsidRPr="00807FB9">
              <w:t>20</w:t>
            </w:r>
            <w:r>
              <w:t>22–</w:t>
            </w:r>
            <w:r w:rsidRPr="00807FB9">
              <w:t>23</w:t>
            </w:r>
          </w:p>
        </w:tc>
        <w:tc>
          <w:tcPr>
            <w:tcW w:w="2021" w:type="pct"/>
            <w:tcBorders>
              <w:bottom w:val="single" w:sz="4" w:space="0" w:color="auto"/>
            </w:tcBorders>
          </w:tcPr>
          <w:p w:rsidR="00A06F93" w:rsidRPr="00807FB9" w:rsidRDefault="00A06F93" w:rsidP="00A06F93">
            <w:pPr>
              <w:pStyle w:val="TableTextCentered"/>
            </w:pPr>
            <w:r w:rsidRPr="00807FB9">
              <w:t>3.28%</w:t>
            </w:r>
          </w:p>
        </w:tc>
        <w:tc>
          <w:tcPr>
            <w:tcW w:w="2019" w:type="pct"/>
            <w:tcBorders>
              <w:bottom w:val="single" w:sz="4" w:space="0" w:color="auto"/>
            </w:tcBorders>
          </w:tcPr>
          <w:p w:rsidR="00A06F93" w:rsidRPr="00807FB9" w:rsidRDefault="00A06F93" w:rsidP="00A06F93">
            <w:pPr>
              <w:pStyle w:val="TableTextCentered"/>
            </w:pPr>
            <w:r w:rsidRPr="00807FB9">
              <w:t>96.72%</w:t>
            </w:r>
          </w:p>
        </w:tc>
      </w:tr>
      <w:tr w:rsidR="00A06F93" w:rsidRPr="000808C6" w:rsidTr="00511F2C">
        <w:tc>
          <w:tcPr>
            <w:tcW w:w="960" w:type="pct"/>
          </w:tcPr>
          <w:p w:rsidR="00A06F93" w:rsidRPr="00807FB9" w:rsidRDefault="00A06F93" w:rsidP="00BD18E1">
            <w:pPr>
              <w:pStyle w:val="TableText"/>
              <w:jc w:val="center"/>
            </w:pPr>
            <w:r w:rsidRPr="00807FB9">
              <w:t>20</w:t>
            </w:r>
            <w:r>
              <w:t>23–</w:t>
            </w:r>
            <w:r w:rsidRPr="00807FB9">
              <w:t>24</w:t>
            </w:r>
          </w:p>
        </w:tc>
        <w:tc>
          <w:tcPr>
            <w:tcW w:w="2021" w:type="pct"/>
          </w:tcPr>
          <w:p w:rsidR="00A06F93" w:rsidRPr="00807FB9" w:rsidRDefault="00A06F93" w:rsidP="00A06F93">
            <w:pPr>
              <w:pStyle w:val="TableTextCentered"/>
            </w:pPr>
            <w:r w:rsidRPr="00807FB9">
              <w:t>3.33%</w:t>
            </w:r>
          </w:p>
        </w:tc>
        <w:tc>
          <w:tcPr>
            <w:tcW w:w="2019" w:type="pct"/>
          </w:tcPr>
          <w:p w:rsidR="00A06F93" w:rsidRPr="00807FB9" w:rsidRDefault="00A06F93" w:rsidP="00A06F93">
            <w:pPr>
              <w:pStyle w:val="TableTextCentered"/>
            </w:pPr>
            <w:r w:rsidRPr="00807FB9">
              <w:t>96.67%</w:t>
            </w:r>
          </w:p>
        </w:tc>
      </w:tr>
    </w:tbl>
    <w:p w:rsidR="00C157EC" w:rsidRDefault="00C157EC" w:rsidP="00A06F93">
      <w:pPr>
        <w:pStyle w:val="BodyText"/>
      </w:pPr>
      <w:r>
        <w:t>As expected, and as seen in Table 12, this increase in the share of minority teachers over time amounts to an increase in demand of 0.90 percent per year, or 9.34 percent in total between 2013–14 and 2023–24. This results in an absolute expected increase of 405 minority teachers over a period in which it is projected that numbers of teachers overall will decrease. During the same time period, the demand for White teachers is expected to decline by more than 4,200.</w:t>
      </w:r>
    </w:p>
    <w:p w:rsidR="00C157EC" w:rsidRDefault="00C157EC" w:rsidP="00A06F93">
      <w:pPr>
        <w:pStyle w:val="TableTitle"/>
      </w:pPr>
      <w:proofErr w:type="gramStart"/>
      <w:r>
        <w:t>Table 12</w:t>
      </w:r>
      <w:r w:rsidRPr="000331C5">
        <w:t>.</w:t>
      </w:r>
      <w:proofErr w:type="gramEnd"/>
      <w:r>
        <w:t xml:space="preserve"> </w:t>
      </w:r>
      <w:r w:rsidRPr="002B58FC">
        <w:t xml:space="preserve">Projected Percent </w:t>
      </w:r>
      <w:r>
        <w:t xml:space="preserve">and Absolute </w:t>
      </w:r>
      <w:r w:rsidRPr="002B58FC">
        <w:t xml:space="preserve">Changes in Statewide </w:t>
      </w:r>
      <w:r>
        <w:t xml:space="preserve">Demand by Teacher Race, </w:t>
      </w:r>
      <w:r w:rsidR="00787BB7">
        <w:t xml:space="preserve">   </w:t>
      </w:r>
      <w:r>
        <w:t>2014</w:t>
      </w:r>
      <w:r w:rsidRPr="002B58FC">
        <w:t>–</w:t>
      </w:r>
      <w:r>
        <w:t>15</w:t>
      </w:r>
      <w:r w:rsidR="0092042A">
        <w:t xml:space="preserve"> </w:t>
      </w:r>
      <w:proofErr w:type="gramStart"/>
      <w:r w:rsidR="0092042A">
        <w:t>Through</w:t>
      </w:r>
      <w:proofErr w:type="gramEnd"/>
      <w:r w:rsidR="0092042A">
        <w:t xml:space="preserve"> </w:t>
      </w:r>
      <w:r>
        <w:t>2023</w:t>
      </w:r>
      <w:r w:rsidRPr="002B58FC">
        <w:t>–</w:t>
      </w:r>
      <w:r>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1"/>
        <w:gridCol w:w="2677"/>
        <w:gridCol w:w="1939"/>
        <w:gridCol w:w="1933"/>
      </w:tblGrid>
      <w:tr w:rsidR="00A06F93" w:rsidTr="00854E4E">
        <w:trPr>
          <w:cnfStyle w:val="100000000000"/>
        </w:trPr>
        <w:tc>
          <w:tcPr>
            <w:tcW w:w="2965" w:type="dxa"/>
            <w:tcBorders>
              <w:bottom w:val="single" w:sz="4" w:space="0" w:color="auto"/>
            </w:tcBorders>
          </w:tcPr>
          <w:p w:rsidR="00C157EC" w:rsidRPr="00807FB9" w:rsidRDefault="00C157EC" w:rsidP="00BD18E1">
            <w:pPr>
              <w:pStyle w:val="TableText"/>
              <w:jc w:val="center"/>
            </w:pPr>
            <w:r>
              <w:t>Race</w:t>
            </w:r>
          </w:p>
        </w:tc>
        <w:tc>
          <w:tcPr>
            <w:tcW w:w="2610" w:type="dxa"/>
            <w:tcBorders>
              <w:bottom w:val="single" w:sz="4" w:space="0" w:color="auto"/>
            </w:tcBorders>
          </w:tcPr>
          <w:p w:rsidR="00C157EC" w:rsidRPr="00807FB9" w:rsidRDefault="00C157EC" w:rsidP="00854E4E">
            <w:pPr>
              <w:pStyle w:val="TableTextCentered"/>
            </w:pPr>
            <w:r>
              <w:t>A</w:t>
            </w:r>
            <w:r w:rsidRPr="008A3727">
              <w:t xml:space="preserve">verage </w:t>
            </w:r>
            <w:r>
              <w:t>Annual Percent</w:t>
            </w:r>
            <w:r w:rsidRPr="008A3727">
              <w:t xml:space="preserve"> </w:t>
            </w:r>
            <w:r>
              <w:t>C</w:t>
            </w:r>
            <w:r w:rsidRPr="008A3727">
              <w:t>hange 201</w:t>
            </w:r>
            <w:r>
              <w:t>3–</w:t>
            </w:r>
            <w:r w:rsidRPr="008A3727">
              <w:t>1</w:t>
            </w:r>
            <w:r>
              <w:t>4</w:t>
            </w:r>
            <w:r w:rsidRPr="008A3727">
              <w:t xml:space="preserve"> </w:t>
            </w:r>
            <w:r w:rsidR="00854E4E">
              <w:t>Through</w:t>
            </w:r>
            <w:r w:rsidR="00BD18E1">
              <w:t xml:space="preserve"> </w:t>
            </w:r>
            <w:r w:rsidRPr="008A3727">
              <w:t>2023</w:t>
            </w:r>
            <w:r>
              <w:t>–</w:t>
            </w:r>
            <w:r w:rsidRPr="008A3727">
              <w:t>24</w:t>
            </w:r>
          </w:p>
        </w:tc>
        <w:tc>
          <w:tcPr>
            <w:tcW w:w="1890" w:type="dxa"/>
            <w:tcBorders>
              <w:bottom w:val="single" w:sz="4" w:space="0" w:color="auto"/>
            </w:tcBorders>
          </w:tcPr>
          <w:p w:rsidR="00C157EC" w:rsidRPr="00807FB9" w:rsidRDefault="00C157EC" w:rsidP="00854E4E">
            <w:pPr>
              <w:pStyle w:val="TableTextCentered"/>
            </w:pPr>
            <w:r>
              <w:t>O</w:t>
            </w:r>
            <w:r w:rsidRPr="008A3727">
              <w:t xml:space="preserve">verall </w:t>
            </w:r>
            <w:r>
              <w:t>Percent</w:t>
            </w:r>
            <w:r w:rsidRPr="008A3727">
              <w:t xml:space="preserve"> </w:t>
            </w:r>
            <w:r>
              <w:t>C</w:t>
            </w:r>
            <w:r w:rsidRPr="008A3727">
              <w:t>hange 201</w:t>
            </w:r>
            <w:r>
              <w:t>3–</w:t>
            </w:r>
            <w:r w:rsidRPr="008A3727">
              <w:t>1</w:t>
            </w:r>
            <w:r>
              <w:t>4</w:t>
            </w:r>
            <w:r w:rsidRPr="008A3727">
              <w:t xml:space="preserve"> </w:t>
            </w:r>
            <w:r w:rsidR="00854E4E">
              <w:t>Through</w:t>
            </w:r>
            <w:r w:rsidRPr="008A3727">
              <w:t xml:space="preserve"> 2023</w:t>
            </w:r>
            <w:r>
              <w:t>–</w:t>
            </w:r>
            <w:r w:rsidRPr="008A3727">
              <w:t>24</w:t>
            </w:r>
          </w:p>
        </w:tc>
        <w:tc>
          <w:tcPr>
            <w:tcW w:w="1885" w:type="dxa"/>
            <w:tcBorders>
              <w:bottom w:val="single" w:sz="4" w:space="0" w:color="auto"/>
            </w:tcBorders>
          </w:tcPr>
          <w:p w:rsidR="00C157EC" w:rsidRPr="00807FB9" w:rsidRDefault="00C157EC" w:rsidP="00854E4E">
            <w:pPr>
              <w:pStyle w:val="TableTextCentered"/>
            </w:pPr>
            <w:r>
              <w:t>O</w:t>
            </w:r>
            <w:r w:rsidRPr="008A3727">
              <w:t xml:space="preserve">verall </w:t>
            </w:r>
            <w:r>
              <w:t>A</w:t>
            </w:r>
            <w:r w:rsidRPr="008A3727">
              <w:t xml:space="preserve">bsolute </w:t>
            </w:r>
            <w:r>
              <w:t>C</w:t>
            </w:r>
            <w:r w:rsidRPr="008A3727">
              <w:t>hange</w:t>
            </w:r>
            <w:r>
              <w:t xml:space="preserve"> </w:t>
            </w:r>
            <w:r w:rsidRPr="00C20B19">
              <w:t>201</w:t>
            </w:r>
            <w:r>
              <w:t>3–</w:t>
            </w:r>
            <w:r w:rsidRPr="00C20B19">
              <w:t>1</w:t>
            </w:r>
            <w:r>
              <w:t>4</w:t>
            </w:r>
            <w:r w:rsidR="00BD18E1">
              <w:t xml:space="preserve"> </w:t>
            </w:r>
            <w:r w:rsidR="00854E4E">
              <w:t>Through</w:t>
            </w:r>
            <w:r>
              <w:t xml:space="preserve"> </w:t>
            </w:r>
            <w:r w:rsidRPr="00C20B19">
              <w:t>2023</w:t>
            </w:r>
            <w:r>
              <w:t>–</w:t>
            </w:r>
            <w:r w:rsidRPr="00C20B19">
              <w:t>24</w:t>
            </w:r>
          </w:p>
        </w:tc>
      </w:tr>
      <w:tr w:rsidR="00A06F93" w:rsidTr="00854E4E">
        <w:tc>
          <w:tcPr>
            <w:tcW w:w="2965" w:type="dxa"/>
            <w:tcBorders>
              <w:bottom w:val="single" w:sz="4" w:space="0" w:color="auto"/>
            </w:tcBorders>
          </w:tcPr>
          <w:p w:rsidR="00C157EC" w:rsidRPr="00807FB9" w:rsidRDefault="00C157EC" w:rsidP="00BD18E1">
            <w:pPr>
              <w:pStyle w:val="TableText"/>
              <w:jc w:val="center"/>
            </w:pPr>
            <w:r w:rsidRPr="00807FB9">
              <w:t>All Minority</w:t>
            </w:r>
          </w:p>
        </w:tc>
        <w:tc>
          <w:tcPr>
            <w:tcW w:w="2610" w:type="dxa"/>
            <w:tcBorders>
              <w:bottom w:val="single" w:sz="4" w:space="0" w:color="auto"/>
            </w:tcBorders>
          </w:tcPr>
          <w:p w:rsidR="00C157EC" w:rsidRPr="00807FB9" w:rsidRDefault="00C157EC" w:rsidP="00A06F93">
            <w:pPr>
              <w:pStyle w:val="TableTextCentered"/>
            </w:pPr>
            <w:r w:rsidRPr="00807FB9">
              <w:t>0.90%</w:t>
            </w:r>
          </w:p>
        </w:tc>
        <w:tc>
          <w:tcPr>
            <w:tcW w:w="1890" w:type="dxa"/>
            <w:tcBorders>
              <w:bottom w:val="single" w:sz="4" w:space="0" w:color="auto"/>
            </w:tcBorders>
          </w:tcPr>
          <w:p w:rsidR="00C157EC" w:rsidRPr="00807FB9" w:rsidRDefault="00C157EC" w:rsidP="00A06F93">
            <w:pPr>
              <w:pStyle w:val="TableTextCentered"/>
            </w:pPr>
            <w:r w:rsidRPr="00807FB9">
              <w:t>9.34%</w:t>
            </w:r>
          </w:p>
        </w:tc>
        <w:tc>
          <w:tcPr>
            <w:tcW w:w="1885" w:type="dxa"/>
            <w:tcBorders>
              <w:bottom w:val="single" w:sz="4" w:space="0" w:color="auto"/>
            </w:tcBorders>
          </w:tcPr>
          <w:p w:rsidR="00C157EC" w:rsidRPr="00807FB9" w:rsidRDefault="00C157EC" w:rsidP="00A06F93">
            <w:pPr>
              <w:pStyle w:val="TableTextCentered"/>
            </w:pPr>
            <w:r w:rsidRPr="00807FB9">
              <w:t>405</w:t>
            </w:r>
          </w:p>
        </w:tc>
      </w:tr>
      <w:tr w:rsidR="00C157EC" w:rsidTr="00854E4E">
        <w:tc>
          <w:tcPr>
            <w:tcW w:w="2965" w:type="dxa"/>
          </w:tcPr>
          <w:p w:rsidR="00C157EC" w:rsidRPr="00807FB9" w:rsidRDefault="00C157EC" w:rsidP="00BD18E1">
            <w:pPr>
              <w:pStyle w:val="TableText"/>
              <w:jc w:val="center"/>
            </w:pPr>
            <w:r w:rsidRPr="00807FB9">
              <w:t>White</w:t>
            </w:r>
          </w:p>
        </w:tc>
        <w:tc>
          <w:tcPr>
            <w:tcW w:w="2610" w:type="dxa"/>
          </w:tcPr>
          <w:p w:rsidR="00C157EC" w:rsidRPr="00807FB9" w:rsidRDefault="00C157EC" w:rsidP="00A06F93">
            <w:pPr>
              <w:pStyle w:val="TableTextCentered"/>
            </w:pPr>
            <w:r w:rsidRPr="00807FB9">
              <w:t>-0.70%</w:t>
            </w:r>
          </w:p>
        </w:tc>
        <w:tc>
          <w:tcPr>
            <w:tcW w:w="1890" w:type="dxa"/>
          </w:tcPr>
          <w:p w:rsidR="00C157EC" w:rsidRPr="00807FB9" w:rsidRDefault="00C157EC" w:rsidP="00A06F93">
            <w:pPr>
              <w:pStyle w:val="TableTextCentered"/>
            </w:pPr>
            <w:r w:rsidRPr="00807FB9">
              <w:t>-6.81%</w:t>
            </w:r>
          </w:p>
        </w:tc>
        <w:tc>
          <w:tcPr>
            <w:tcW w:w="1885" w:type="dxa"/>
          </w:tcPr>
          <w:p w:rsidR="00C157EC" w:rsidRPr="00807FB9" w:rsidRDefault="00C157EC" w:rsidP="00A06F93">
            <w:pPr>
              <w:pStyle w:val="TableTextCentered"/>
            </w:pPr>
            <w:r w:rsidRPr="00807FB9">
              <w:t>-4,250</w:t>
            </w:r>
          </w:p>
        </w:tc>
      </w:tr>
    </w:tbl>
    <w:p w:rsidR="00C157EC" w:rsidRDefault="00C157EC" w:rsidP="00A06F93">
      <w:pPr>
        <w:pStyle w:val="BodyText"/>
      </w:pPr>
      <w:r>
        <w:t>The projected growth in demand in Table 12 assumes that the share of teachers who are of a minority race is a reasonable proxy of demand for these teachers. This assumption is supported by the fact that the expected increase in demand is consistent with statewide initiatives to increase the number of minority teachers (ESE, 2014). The results in Table 12 would seem to suggest that these efforts are seeing some success, at least in the aggregate. However, the historical trends on which these projections are based may also, in part, reflect shifts in the demographics of the teacher workforce that are driven by the racial makeup of both those leaving and entering the active pool of teachers. Policymakers may want to investigate population data and teacher mobility further to better understand the observed changing demographics.</w:t>
      </w:r>
    </w:p>
    <w:p w:rsidR="00C157EC" w:rsidRPr="00E26AE5" w:rsidRDefault="00C157EC" w:rsidP="00E26AE5">
      <w:pPr>
        <w:pStyle w:val="Heading5"/>
      </w:pPr>
      <w:r w:rsidRPr="00E26AE5">
        <w:t>Supply Projections by Race</w:t>
      </w:r>
    </w:p>
    <w:p w:rsidR="00C157EC" w:rsidRDefault="00C157EC" w:rsidP="00E26AE5">
      <w:pPr>
        <w:pStyle w:val="BodyText"/>
      </w:pPr>
      <w:r>
        <w:t>In contrast to the demand results by race, supply by race is expected to decrease over time for both minority and White teachers. As can be seen in Table 13, the supply of minority teachers is expected to decline an average of 0.0</w:t>
      </w:r>
      <w:r w:rsidR="008C31A1">
        <w:t>5</w:t>
      </w:r>
      <w:r>
        <w:t xml:space="preserve"> percent per year between 2013–14 and 2023–24, and 0.</w:t>
      </w:r>
      <w:r w:rsidR="008C31A1">
        <w:t>48</w:t>
      </w:r>
      <w:r>
        <w:t xml:space="preserve"> percent in total (equal to 2</w:t>
      </w:r>
      <w:r w:rsidR="008C31A1">
        <w:t>1</w:t>
      </w:r>
      <w:r>
        <w:t xml:space="preserve"> minority teachers) over the same time period. White teachers, however, are expected to decrease at a faster rate than minority teachers, declining by 3,31</w:t>
      </w:r>
      <w:r w:rsidR="008C31A1">
        <w:t>5</w:t>
      </w:r>
      <w:r>
        <w:t xml:space="preserve"> teachers (5.3</w:t>
      </w:r>
      <w:r w:rsidR="008C31A1">
        <w:t>1</w:t>
      </w:r>
      <w:r>
        <w:t xml:space="preserve"> percent) over the time period. Th</w:t>
      </w:r>
      <w:r w:rsidR="00A06063">
        <w:t>e</w:t>
      </w:r>
      <w:r>
        <w:t xml:space="preserve"> </w:t>
      </w:r>
      <w:r w:rsidR="00A06063">
        <w:t xml:space="preserve">expected </w:t>
      </w:r>
      <w:r>
        <w:t>result i</w:t>
      </w:r>
      <w:r w:rsidR="00A06063">
        <w:t>s</w:t>
      </w:r>
      <w:r>
        <w:t xml:space="preserve"> an increase of the share of minority teachers over time, which is consistent with the estimated proportions used to calculate projected demand.</w:t>
      </w:r>
    </w:p>
    <w:p w:rsidR="00C157EC" w:rsidRDefault="00C157EC" w:rsidP="00E26AE5">
      <w:pPr>
        <w:pStyle w:val="TableTitle"/>
      </w:pPr>
      <w:proofErr w:type="gramStart"/>
      <w:r>
        <w:t>Table 13</w:t>
      </w:r>
      <w:r w:rsidRPr="000331C5">
        <w:t>.</w:t>
      </w:r>
      <w:proofErr w:type="gramEnd"/>
      <w:r>
        <w:t xml:space="preserve"> </w:t>
      </w:r>
      <w:r w:rsidRPr="002B58FC">
        <w:t xml:space="preserve">Projected Percent </w:t>
      </w:r>
      <w:r>
        <w:t xml:space="preserve">and Absolute </w:t>
      </w:r>
      <w:r w:rsidRPr="002B58FC">
        <w:t xml:space="preserve">Changes in Statewide </w:t>
      </w:r>
      <w:r>
        <w:t>Supply by Teacher Race, 2013–14</w:t>
      </w:r>
      <w:r w:rsidR="0092042A">
        <w:t xml:space="preserve"> </w:t>
      </w:r>
      <w:proofErr w:type="gramStart"/>
      <w:r w:rsidR="0092042A">
        <w:t>Through</w:t>
      </w:r>
      <w:proofErr w:type="gramEnd"/>
      <w:r w:rsidR="0092042A">
        <w:t xml:space="preserve"> </w:t>
      </w:r>
      <w:r>
        <w:t>2023–24</w:t>
      </w:r>
    </w:p>
    <w:tbl>
      <w:tblPr>
        <w:tblStyle w:val="AIRBlueTable"/>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1"/>
        <w:gridCol w:w="2677"/>
        <w:gridCol w:w="1931"/>
        <w:gridCol w:w="1933"/>
      </w:tblGrid>
      <w:tr w:rsidR="00BD18E1" w:rsidTr="00854E4E">
        <w:trPr>
          <w:cnfStyle w:val="100000000000"/>
        </w:trPr>
        <w:tc>
          <w:tcPr>
            <w:tcW w:w="2965" w:type="dxa"/>
            <w:tcBorders>
              <w:bottom w:val="single" w:sz="4" w:space="0" w:color="auto"/>
            </w:tcBorders>
          </w:tcPr>
          <w:p w:rsidR="00BD18E1" w:rsidRPr="00807FB9" w:rsidRDefault="00BD18E1" w:rsidP="00BD18E1">
            <w:pPr>
              <w:pStyle w:val="TableText"/>
              <w:jc w:val="center"/>
            </w:pPr>
            <w:r>
              <w:t>Race</w:t>
            </w:r>
          </w:p>
        </w:tc>
        <w:tc>
          <w:tcPr>
            <w:tcW w:w="2610" w:type="dxa"/>
            <w:tcBorders>
              <w:bottom w:val="single" w:sz="4" w:space="0" w:color="auto"/>
            </w:tcBorders>
          </w:tcPr>
          <w:p w:rsidR="00BD18E1" w:rsidRPr="00807FB9" w:rsidRDefault="00BD18E1" w:rsidP="00854E4E">
            <w:pPr>
              <w:pStyle w:val="TableTextCentered"/>
              <w:rPr>
                <w:szCs w:val="24"/>
              </w:rPr>
            </w:pPr>
            <w:r>
              <w:t>A</w:t>
            </w:r>
            <w:r w:rsidRPr="008A3727">
              <w:t xml:space="preserve">verage </w:t>
            </w:r>
            <w:r>
              <w:t>Annual Percent</w:t>
            </w:r>
            <w:r w:rsidRPr="008A3727">
              <w:t xml:space="preserve"> </w:t>
            </w:r>
            <w:r>
              <w:t>C</w:t>
            </w:r>
            <w:r w:rsidRPr="008A3727">
              <w:t>hange 201</w:t>
            </w:r>
            <w:r>
              <w:t>3–</w:t>
            </w:r>
            <w:r w:rsidRPr="008A3727">
              <w:t>1</w:t>
            </w:r>
            <w:r>
              <w:t>4</w:t>
            </w:r>
            <w:r w:rsidRPr="008A3727">
              <w:t xml:space="preserve"> </w:t>
            </w:r>
            <w:r w:rsidR="00854E4E">
              <w:t>Through</w:t>
            </w:r>
            <w:r>
              <w:t xml:space="preserve"> </w:t>
            </w:r>
            <w:r w:rsidRPr="008A3727">
              <w:t>2023</w:t>
            </w:r>
            <w:r>
              <w:t>–</w:t>
            </w:r>
            <w:r w:rsidRPr="008A3727">
              <w:t>24</w:t>
            </w:r>
          </w:p>
        </w:tc>
        <w:tc>
          <w:tcPr>
            <w:tcW w:w="1883" w:type="dxa"/>
            <w:tcBorders>
              <w:bottom w:val="single" w:sz="4" w:space="0" w:color="auto"/>
            </w:tcBorders>
          </w:tcPr>
          <w:p w:rsidR="00BD18E1" w:rsidRPr="00807FB9" w:rsidRDefault="00BD18E1" w:rsidP="00854E4E">
            <w:pPr>
              <w:pStyle w:val="TableTextCentered"/>
              <w:rPr>
                <w:szCs w:val="24"/>
              </w:rPr>
            </w:pPr>
            <w:r>
              <w:t>O</w:t>
            </w:r>
            <w:r w:rsidRPr="008A3727">
              <w:t xml:space="preserve">verall </w:t>
            </w:r>
            <w:r>
              <w:t>Percent</w:t>
            </w:r>
            <w:r w:rsidRPr="008A3727">
              <w:t xml:space="preserve"> </w:t>
            </w:r>
            <w:r>
              <w:t>C</w:t>
            </w:r>
            <w:r w:rsidRPr="008A3727">
              <w:t>hange 201</w:t>
            </w:r>
            <w:r>
              <w:t>3–</w:t>
            </w:r>
            <w:r w:rsidRPr="008A3727">
              <w:t>1</w:t>
            </w:r>
            <w:r>
              <w:t>4</w:t>
            </w:r>
            <w:r w:rsidRPr="008A3727">
              <w:t xml:space="preserve"> </w:t>
            </w:r>
            <w:r w:rsidR="00854E4E">
              <w:t>Through</w:t>
            </w:r>
            <w:r w:rsidRPr="008A3727">
              <w:t xml:space="preserve"> 2023</w:t>
            </w:r>
            <w:r>
              <w:t>–</w:t>
            </w:r>
            <w:r w:rsidRPr="008A3727">
              <w:t>24</w:t>
            </w:r>
          </w:p>
        </w:tc>
        <w:tc>
          <w:tcPr>
            <w:tcW w:w="1885" w:type="dxa"/>
            <w:tcBorders>
              <w:bottom w:val="single" w:sz="4" w:space="0" w:color="auto"/>
            </w:tcBorders>
          </w:tcPr>
          <w:p w:rsidR="00BD18E1" w:rsidRPr="00807FB9" w:rsidRDefault="00BD18E1" w:rsidP="00854E4E">
            <w:pPr>
              <w:pStyle w:val="TableTextCentered"/>
              <w:rPr>
                <w:szCs w:val="24"/>
              </w:rPr>
            </w:pPr>
            <w:r>
              <w:t>O</w:t>
            </w:r>
            <w:r w:rsidRPr="008A3727">
              <w:t xml:space="preserve">verall </w:t>
            </w:r>
            <w:r>
              <w:t>A</w:t>
            </w:r>
            <w:r w:rsidRPr="008A3727">
              <w:t xml:space="preserve">bsolute </w:t>
            </w:r>
            <w:r>
              <w:t>C</w:t>
            </w:r>
            <w:r w:rsidRPr="008A3727">
              <w:t>hange</w:t>
            </w:r>
            <w:r>
              <w:t xml:space="preserve"> </w:t>
            </w:r>
            <w:r w:rsidRPr="00C20B19">
              <w:t>201</w:t>
            </w:r>
            <w:r>
              <w:t>3–</w:t>
            </w:r>
            <w:r w:rsidRPr="00C20B19">
              <w:t>1</w:t>
            </w:r>
            <w:r>
              <w:t xml:space="preserve">4 </w:t>
            </w:r>
            <w:r w:rsidR="00854E4E">
              <w:t>Through</w:t>
            </w:r>
            <w:r>
              <w:t xml:space="preserve"> </w:t>
            </w:r>
            <w:r w:rsidRPr="00C20B19">
              <w:t>2023</w:t>
            </w:r>
            <w:r>
              <w:t>–</w:t>
            </w:r>
            <w:r w:rsidRPr="00C20B19">
              <w:t>24</w:t>
            </w:r>
          </w:p>
        </w:tc>
      </w:tr>
      <w:tr w:rsidR="00E26AE5" w:rsidTr="00854E4E">
        <w:tc>
          <w:tcPr>
            <w:tcW w:w="2965" w:type="dxa"/>
            <w:tcBorders>
              <w:bottom w:val="single" w:sz="4" w:space="0" w:color="auto"/>
            </w:tcBorders>
          </w:tcPr>
          <w:p w:rsidR="00C157EC" w:rsidRPr="00807FB9" w:rsidRDefault="00C157EC" w:rsidP="00BD18E1">
            <w:pPr>
              <w:pStyle w:val="TableText"/>
              <w:jc w:val="center"/>
            </w:pPr>
            <w:r w:rsidRPr="00807FB9">
              <w:t>All Minority</w:t>
            </w:r>
          </w:p>
        </w:tc>
        <w:tc>
          <w:tcPr>
            <w:tcW w:w="2610" w:type="dxa"/>
            <w:tcBorders>
              <w:bottom w:val="single" w:sz="4" w:space="0" w:color="auto"/>
            </w:tcBorders>
          </w:tcPr>
          <w:p w:rsidR="00C157EC" w:rsidRPr="00807FB9" w:rsidRDefault="00C157EC" w:rsidP="00E26AE5">
            <w:pPr>
              <w:pStyle w:val="TableTextCentered"/>
            </w:pPr>
            <w:r w:rsidRPr="00807FB9">
              <w:t>-0.0</w:t>
            </w:r>
            <w:r w:rsidR="00DE748D">
              <w:t>5</w:t>
            </w:r>
            <w:r w:rsidRPr="00807FB9">
              <w:t>%</w:t>
            </w:r>
          </w:p>
        </w:tc>
        <w:tc>
          <w:tcPr>
            <w:tcW w:w="1883" w:type="dxa"/>
            <w:tcBorders>
              <w:bottom w:val="single" w:sz="4" w:space="0" w:color="auto"/>
            </w:tcBorders>
          </w:tcPr>
          <w:p w:rsidR="00C157EC" w:rsidRPr="00807FB9" w:rsidRDefault="00C157EC" w:rsidP="00E26AE5">
            <w:pPr>
              <w:pStyle w:val="TableTextCentered"/>
            </w:pPr>
            <w:r w:rsidRPr="00807FB9">
              <w:t>-0.</w:t>
            </w:r>
            <w:r w:rsidR="00DE748D">
              <w:t>48</w:t>
            </w:r>
            <w:r w:rsidRPr="00807FB9">
              <w:t>%</w:t>
            </w:r>
          </w:p>
        </w:tc>
        <w:tc>
          <w:tcPr>
            <w:tcW w:w="1885" w:type="dxa"/>
            <w:tcBorders>
              <w:bottom w:val="single" w:sz="4" w:space="0" w:color="auto"/>
            </w:tcBorders>
          </w:tcPr>
          <w:p w:rsidR="00C157EC" w:rsidRPr="00807FB9" w:rsidRDefault="00C157EC" w:rsidP="00E26AE5">
            <w:pPr>
              <w:pStyle w:val="TableTextCentered"/>
            </w:pPr>
            <w:r w:rsidRPr="00807FB9">
              <w:t>-2</w:t>
            </w:r>
            <w:r w:rsidR="00DE748D">
              <w:t>1</w:t>
            </w:r>
          </w:p>
        </w:tc>
      </w:tr>
      <w:tr w:rsidR="00C157EC" w:rsidTr="00854E4E">
        <w:tc>
          <w:tcPr>
            <w:tcW w:w="2965" w:type="dxa"/>
          </w:tcPr>
          <w:p w:rsidR="00C157EC" w:rsidRPr="00807FB9" w:rsidRDefault="00C157EC" w:rsidP="00BD18E1">
            <w:pPr>
              <w:pStyle w:val="TableText"/>
              <w:jc w:val="center"/>
            </w:pPr>
            <w:r w:rsidRPr="00807FB9">
              <w:t>White</w:t>
            </w:r>
          </w:p>
        </w:tc>
        <w:tc>
          <w:tcPr>
            <w:tcW w:w="2610" w:type="dxa"/>
          </w:tcPr>
          <w:p w:rsidR="00C157EC" w:rsidRPr="00807FB9" w:rsidRDefault="00C157EC" w:rsidP="00E26AE5">
            <w:pPr>
              <w:pStyle w:val="TableTextCentered"/>
            </w:pPr>
            <w:r w:rsidRPr="00807FB9">
              <w:t>-0.54%</w:t>
            </w:r>
          </w:p>
        </w:tc>
        <w:tc>
          <w:tcPr>
            <w:tcW w:w="1883" w:type="dxa"/>
          </w:tcPr>
          <w:p w:rsidR="00C157EC" w:rsidRPr="00807FB9" w:rsidRDefault="00C157EC" w:rsidP="00E26AE5">
            <w:pPr>
              <w:pStyle w:val="TableTextCentered"/>
            </w:pPr>
            <w:r w:rsidRPr="00807FB9">
              <w:t>-5.3</w:t>
            </w:r>
            <w:r w:rsidR="00DE748D">
              <w:t>1</w:t>
            </w:r>
            <w:r w:rsidRPr="00807FB9">
              <w:t>%</w:t>
            </w:r>
          </w:p>
        </w:tc>
        <w:tc>
          <w:tcPr>
            <w:tcW w:w="1885" w:type="dxa"/>
          </w:tcPr>
          <w:p w:rsidR="00C157EC" w:rsidRPr="00807FB9" w:rsidRDefault="00C157EC" w:rsidP="00E26AE5">
            <w:pPr>
              <w:pStyle w:val="TableTextCentered"/>
            </w:pPr>
            <w:r w:rsidRPr="00807FB9">
              <w:t>-3,31</w:t>
            </w:r>
            <w:r w:rsidR="00DE748D">
              <w:t>5</w:t>
            </w:r>
          </w:p>
        </w:tc>
      </w:tr>
    </w:tbl>
    <w:p w:rsidR="00C157EC" w:rsidRDefault="00C157EC" w:rsidP="00C157EC">
      <w:pPr>
        <w:pStyle w:val="Heading4"/>
      </w:pPr>
      <w:bookmarkStart w:id="90" w:name="_Toc435784255"/>
      <w:r>
        <w:t>Comparing Supply and Demand Projections by Race</w:t>
      </w:r>
      <w:bookmarkEnd w:id="90"/>
    </w:p>
    <w:p w:rsidR="00C157EC" w:rsidRDefault="00C157EC" w:rsidP="00E26AE5">
      <w:pPr>
        <w:pStyle w:val="BodyText"/>
      </w:pPr>
      <w:r>
        <w:t>In an effort to determine if there are expected shortages or surpluses in minority or White teachers in future years, supply and demand projections for each were compared. It is expected there will be a surplus of White teachers and a shortage of minority teachers (Table 14 and Figure 18)</w:t>
      </w:r>
      <w:r w:rsidR="004457B7">
        <w:t>.</w:t>
      </w:r>
    </w:p>
    <w:p w:rsidR="00C157EC" w:rsidRDefault="00C157EC" w:rsidP="00E26AE5">
      <w:pPr>
        <w:pStyle w:val="BodyText"/>
      </w:pPr>
      <w:r>
        <w:t xml:space="preserve">Specifically, for White teachers, the projections indicate a shortage of </w:t>
      </w:r>
      <w:r w:rsidR="00DE748D">
        <w:t>496</w:t>
      </w:r>
      <w:r>
        <w:t xml:space="preserve"> teachers (-0.</w:t>
      </w:r>
      <w:r w:rsidR="00DE748D">
        <w:t>80</w:t>
      </w:r>
      <w:r>
        <w:t xml:space="preserve"> percent) in the first projected year, which is expected to shrink over the following two years. This is expected to change to a surplus in later projected years, where supply will increasingly exceed demand from </w:t>
      </w:r>
      <w:r w:rsidR="0054568E">
        <w:t xml:space="preserve">a surplus of </w:t>
      </w:r>
      <w:r w:rsidR="00DE748D">
        <w:t>30</w:t>
      </w:r>
      <w:r>
        <w:t xml:space="preserve"> (0.0</w:t>
      </w:r>
      <w:r w:rsidR="00DE748D">
        <w:t>5</w:t>
      </w:r>
      <w:r>
        <w:t xml:space="preserve"> percent) teachers in 201</w:t>
      </w:r>
      <w:r w:rsidR="00DE748D">
        <w:t>8</w:t>
      </w:r>
      <w:r w:rsidRPr="00A034DC">
        <w:t>–</w:t>
      </w:r>
      <w:r>
        <w:t>1</w:t>
      </w:r>
      <w:r w:rsidR="00DE748D">
        <w:t>9</w:t>
      </w:r>
      <w:r>
        <w:t xml:space="preserve"> to </w:t>
      </w:r>
      <w:r w:rsidR="00DE748D">
        <w:t>934</w:t>
      </w:r>
      <w:r>
        <w:t xml:space="preserve"> (1.</w:t>
      </w:r>
      <w:r w:rsidR="00DE748D">
        <w:t>61</w:t>
      </w:r>
      <w:r>
        <w:t xml:space="preserve"> percent) in 2023</w:t>
      </w:r>
      <w:r w:rsidRPr="00A034DC">
        <w:t>–</w:t>
      </w:r>
      <w:r>
        <w:t>24.</w:t>
      </w:r>
    </w:p>
    <w:p w:rsidR="00C157EC" w:rsidRDefault="00C157EC" w:rsidP="00E26AE5">
      <w:pPr>
        <w:pStyle w:val="TableTitle"/>
        <w:pageBreakBefore/>
      </w:pPr>
      <w:proofErr w:type="gramStart"/>
      <w:r>
        <w:t>Table 14</w:t>
      </w:r>
      <w:r w:rsidRPr="00CC4696">
        <w:t>.</w:t>
      </w:r>
      <w:proofErr w:type="gramEnd"/>
      <w:r w:rsidRPr="00CC4696">
        <w:t xml:space="preserve"> Projected </w:t>
      </w:r>
      <w:r>
        <w:t xml:space="preserve">Statewide </w:t>
      </w:r>
      <w:r w:rsidRPr="00CC4696">
        <w:t>Demand</w:t>
      </w:r>
      <w:r>
        <w:t xml:space="preserve"> and </w:t>
      </w:r>
      <w:r w:rsidRPr="00CC4696">
        <w:t xml:space="preserve">Supply </w:t>
      </w:r>
      <w:r>
        <w:t>of White Teachers in Terms of FTEs and</w:t>
      </w:r>
      <w:r w:rsidRPr="00CC4696">
        <w:t xml:space="preserve"> Absolute </w:t>
      </w:r>
      <w:r>
        <w:t xml:space="preserve">and Relative </w:t>
      </w:r>
      <w:r w:rsidRPr="00CC4696">
        <w:t>Differences</w:t>
      </w:r>
      <w:r>
        <w:t>,</w:t>
      </w:r>
      <w:r w:rsidRPr="00CC4696">
        <w:t xml:space="preserve"> </w:t>
      </w:r>
      <w:r>
        <w:t>2014–15</w:t>
      </w:r>
      <w:r w:rsidR="0092042A">
        <w:t xml:space="preserve"> </w:t>
      </w:r>
      <w:proofErr w:type="gramStart"/>
      <w:r w:rsidR="0092042A">
        <w:t>Through</w:t>
      </w:r>
      <w:proofErr w:type="gramEnd"/>
      <w:r w:rsidR="0092042A">
        <w:t xml:space="preserve"> </w:t>
      </w:r>
      <w:r w:rsidRPr="00CC4696">
        <w:t>2023</w:t>
      </w:r>
      <w:r>
        <w:t>–</w:t>
      </w:r>
      <w:r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2"/>
        <w:gridCol w:w="1939"/>
        <w:gridCol w:w="2123"/>
        <w:gridCol w:w="1847"/>
        <w:gridCol w:w="1839"/>
      </w:tblGrid>
      <w:tr w:rsidR="00E26AE5" w:rsidTr="004E50CD">
        <w:trPr>
          <w:cnfStyle w:val="100000000000"/>
        </w:trPr>
        <w:tc>
          <w:tcPr>
            <w:tcW w:w="960" w:type="pct"/>
            <w:tcBorders>
              <w:bottom w:val="single" w:sz="4" w:space="0" w:color="auto"/>
            </w:tcBorders>
          </w:tcPr>
          <w:p w:rsidR="00C157EC" w:rsidRPr="00807FB9" w:rsidRDefault="00C157EC" w:rsidP="00BD18E1">
            <w:pPr>
              <w:pStyle w:val="TableText"/>
              <w:jc w:val="center"/>
            </w:pPr>
            <w:r>
              <w:t>Year</w:t>
            </w:r>
          </w:p>
        </w:tc>
        <w:tc>
          <w:tcPr>
            <w:tcW w:w="1011" w:type="pct"/>
            <w:tcBorders>
              <w:bottom w:val="single" w:sz="4" w:space="0" w:color="auto"/>
            </w:tcBorders>
          </w:tcPr>
          <w:p w:rsidR="00C157EC" w:rsidRPr="005C7312" w:rsidRDefault="00C157EC" w:rsidP="00E26AE5">
            <w:pPr>
              <w:pStyle w:val="TableTextCentered"/>
            </w:pPr>
            <w:r w:rsidRPr="008A3727">
              <w:t>Projected Supply</w:t>
            </w:r>
          </w:p>
        </w:tc>
        <w:tc>
          <w:tcPr>
            <w:tcW w:w="1107" w:type="pct"/>
            <w:tcBorders>
              <w:bottom w:val="single" w:sz="4" w:space="0" w:color="auto"/>
            </w:tcBorders>
          </w:tcPr>
          <w:p w:rsidR="00C157EC" w:rsidRPr="00807FB9" w:rsidRDefault="00C157EC" w:rsidP="00E26AE5">
            <w:pPr>
              <w:pStyle w:val="TableTextCentered"/>
            </w:pPr>
            <w:r w:rsidRPr="008A3727">
              <w:t>Projected Demand</w:t>
            </w:r>
          </w:p>
        </w:tc>
        <w:tc>
          <w:tcPr>
            <w:tcW w:w="963" w:type="pct"/>
            <w:tcBorders>
              <w:bottom w:val="single" w:sz="4" w:space="0" w:color="auto"/>
            </w:tcBorders>
          </w:tcPr>
          <w:p w:rsidR="00C157EC" w:rsidRPr="005C7312" w:rsidRDefault="00C157EC" w:rsidP="00E26AE5">
            <w:pPr>
              <w:pStyle w:val="TableTextCentered"/>
            </w:pPr>
            <w:r w:rsidRPr="008A3727">
              <w:t xml:space="preserve">Absolute Difference </w:t>
            </w:r>
            <w:r>
              <w:t>B</w:t>
            </w:r>
            <w:r w:rsidRPr="008A3727">
              <w:t>etween Supply and Demand</w:t>
            </w:r>
          </w:p>
        </w:tc>
        <w:tc>
          <w:tcPr>
            <w:tcW w:w="959" w:type="pct"/>
            <w:tcBorders>
              <w:bottom w:val="single" w:sz="4" w:space="0" w:color="auto"/>
            </w:tcBorders>
          </w:tcPr>
          <w:p w:rsidR="00C157EC" w:rsidRPr="00807FB9" w:rsidRDefault="00C157EC" w:rsidP="00E26AE5">
            <w:pPr>
              <w:pStyle w:val="TableTextCentered"/>
            </w:pPr>
            <w:r w:rsidRPr="008A3727">
              <w:t xml:space="preserve">Relative Difference </w:t>
            </w:r>
            <w:r>
              <w:t>B</w:t>
            </w:r>
            <w:r w:rsidRPr="008A3727">
              <w:t>etween Supply and Demand</w:t>
            </w:r>
          </w:p>
        </w:tc>
      </w:tr>
      <w:tr w:rsidR="00DE748D" w:rsidTr="00085539">
        <w:tc>
          <w:tcPr>
            <w:tcW w:w="960" w:type="pct"/>
            <w:tcBorders>
              <w:bottom w:val="single" w:sz="4" w:space="0" w:color="auto"/>
            </w:tcBorders>
          </w:tcPr>
          <w:p w:rsidR="00DE748D" w:rsidRPr="00807FB9" w:rsidRDefault="00DE748D" w:rsidP="00DE748D">
            <w:pPr>
              <w:pStyle w:val="TableText"/>
              <w:jc w:val="center"/>
            </w:pPr>
            <w:r w:rsidRPr="00807FB9">
              <w:t>201</w:t>
            </w:r>
            <w:r>
              <w:t>4–1</w:t>
            </w:r>
            <w:r w:rsidRPr="00807FB9">
              <w:t>5</w:t>
            </w:r>
          </w:p>
        </w:tc>
        <w:tc>
          <w:tcPr>
            <w:tcW w:w="1011"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61</w:t>
            </w:r>
            <w:r>
              <w:rPr>
                <w:rFonts w:cstheme="majorHAnsi"/>
                <w:color w:val="000000"/>
              </w:rPr>
              <w:t>,</w:t>
            </w:r>
            <w:r w:rsidRPr="00085539">
              <w:rPr>
                <w:rFonts w:cstheme="majorHAnsi"/>
                <w:color w:val="000000"/>
              </w:rPr>
              <w:t>219</w:t>
            </w:r>
          </w:p>
        </w:tc>
        <w:tc>
          <w:tcPr>
            <w:tcW w:w="1107" w:type="pct"/>
            <w:tcBorders>
              <w:bottom w:val="single" w:sz="4" w:space="0" w:color="auto"/>
            </w:tcBorders>
          </w:tcPr>
          <w:p w:rsidR="00DE748D" w:rsidRPr="00807FB9" w:rsidRDefault="00DE748D" w:rsidP="00DE748D">
            <w:pPr>
              <w:pStyle w:val="TableTextCentered"/>
            </w:pPr>
            <w:r w:rsidRPr="00807FB9">
              <w:t>61,715</w:t>
            </w:r>
          </w:p>
        </w:tc>
        <w:tc>
          <w:tcPr>
            <w:tcW w:w="963"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-496</w:t>
            </w:r>
          </w:p>
        </w:tc>
        <w:tc>
          <w:tcPr>
            <w:tcW w:w="959"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-0.80%</w:t>
            </w:r>
          </w:p>
        </w:tc>
      </w:tr>
      <w:tr w:rsidR="00DE748D" w:rsidTr="00085539">
        <w:tc>
          <w:tcPr>
            <w:tcW w:w="960" w:type="pct"/>
            <w:tcBorders>
              <w:bottom w:val="single" w:sz="4" w:space="0" w:color="auto"/>
            </w:tcBorders>
          </w:tcPr>
          <w:p w:rsidR="00DE748D" w:rsidRPr="00807FB9" w:rsidRDefault="00DE748D" w:rsidP="00DE748D">
            <w:pPr>
              <w:pStyle w:val="TableText"/>
              <w:jc w:val="center"/>
            </w:pPr>
            <w:r w:rsidRPr="00807FB9">
              <w:t>201</w:t>
            </w:r>
            <w:r>
              <w:t>5–1</w:t>
            </w:r>
            <w:r w:rsidRPr="00807FB9">
              <w:t>6</w:t>
            </w:r>
          </w:p>
        </w:tc>
        <w:tc>
          <w:tcPr>
            <w:tcW w:w="1011"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60</w:t>
            </w:r>
            <w:r>
              <w:rPr>
                <w:rFonts w:cstheme="majorHAnsi"/>
                <w:color w:val="000000"/>
              </w:rPr>
              <w:t>,</w:t>
            </w:r>
            <w:r w:rsidRPr="00085539">
              <w:rPr>
                <w:rFonts w:cstheme="majorHAnsi"/>
                <w:color w:val="000000"/>
              </w:rPr>
              <w:t>975</w:t>
            </w:r>
          </w:p>
        </w:tc>
        <w:tc>
          <w:tcPr>
            <w:tcW w:w="1107" w:type="pct"/>
            <w:tcBorders>
              <w:bottom w:val="single" w:sz="4" w:space="0" w:color="auto"/>
            </w:tcBorders>
          </w:tcPr>
          <w:p w:rsidR="00DE748D" w:rsidRPr="00807FB9" w:rsidRDefault="00DE748D" w:rsidP="00DE748D">
            <w:pPr>
              <w:pStyle w:val="TableTextCentered"/>
            </w:pPr>
            <w:r w:rsidRPr="00807FB9">
              <w:t>61,376</w:t>
            </w:r>
          </w:p>
        </w:tc>
        <w:tc>
          <w:tcPr>
            <w:tcW w:w="963"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-401</w:t>
            </w:r>
          </w:p>
        </w:tc>
        <w:tc>
          <w:tcPr>
            <w:tcW w:w="959"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-0.65%</w:t>
            </w:r>
          </w:p>
        </w:tc>
      </w:tr>
      <w:tr w:rsidR="00DE748D" w:rsidTr="00085539">
        <w:tc>
          <w:tcPr>
            <w:tcW w:w="960" w:type="pct"/>
            <w:tcBorders>
              <w:bottom w:val="single" w:sz="4" w:space="0" w:color="auto"/>
            </w:tcBorders>
          </w:tcPr>
          <w:p w:rsidR="00DE748D" w:rsidRPr="00807FB9" w:rsidRDefault="00DE748D" w:rsidP="00DE748D">
            <w:pPr>
              <w:pStyle w:val="TableText"/>
              <w:jc w:val="center"/>
            </w:pPr>
            <w:r w:rsidRPr="00807FB9">
              <w:t>201</w:t>
            </w:r>
            <w:r>
              <w:t>6–1</w:t>
            </w:r>
            <w:r w:rsidRPr="00807FB9">
              <w:t>7</w:t>
            </w:r>
          </w:p>
        </w:tc>
        <w:tc>
          <w:tcPr>
            <w:tcW w:w="1011"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60</w:t>
            </w:r>
            <w:r>
              <w:rPr>
                <w:rFonts w:cstheme="majorHAnsi"/>
                <w:color w:val="000000"/>
              </w:rPr>
              <w:t>,</w:t>
            </w:r>
            <w:r w:rsidRPr="00085539">
              <w:rPr>
                <w:rFonts w:cstheme="majorHAnsi"/>
                <w:color w:val="000000"/>
              </w:rPr>
              <w:t>732</w:t>
            </w:r>
          </w:p>
        </w:tc>
        <w:tc>
          <w:tcPr>
            <w:tcW w:w="1107" w:type="pct"/>
            <w:tcBorders>
              <w:bottom w:val="single" w:sz="4" w:space="0" w:color="auto"/>
            </w:tcBorders>
          </w:tcPr>
          <w:p w:rsidR="00DE748D" w:rsidRPr="00807FB9" w:rsidRDefault="00DE748D" w:rsidP="00DE748D">
            <w:pPr>
              <w:pStyle w:val="TableTextCentered"/>
            </w:pPr>
            <w:r w:rsidRPr="00807FB9">
              <w:t>60,981</w:t>
            </w:r>
          </w:p>
        </w:tc>
        <w:tc>
          <w:tcPr>
            <w:tcW w:w="963"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-249</w:t>
            </w:r>
          </w:p>
        </w:tc>
        <w:tc>
          <w:tcPr>
            <w:tcW w:w="959"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-0.41%</w:t>
            </w:r>
          </w:p>
        </w:tc>
      </w:tr>
      <w:tr w:rsidR="00DE748D" w:rsidTr="00085539">
        <w:tc>
          <w:tcPr>
            <w:tcW w:w="960" w:type="pct"/>
            <w:tcBorders>
              <w:bottom w:val="single" w:sz="4" w:space="0" w:color="auto"/>
            </w:tcBorders>
          </w:tcPr>
          <w:p w:rsidR="00DE748D" w:rsidRPr="00807FB9" w:rsidRDefault="00DE748D" w:rsidP="00DE748D">
            <w:pPr>
              <w:pStyle w:val="TableText"/>
              <w:jc w:val="center"/>
            </w:pPr>
            <w:r w:rsidRPr="00807FB9">
              <w:t>201</w:t>
            </w:r>
            <w:r>
              <w:t>7–1</w:t>
            </w:r>
            <w:r w:rsidRPr="00807FB9">
              <w:t>8</w:t>
            </w:r>
          </w:p>
        </w:tc>
        <w:tc>
          <w:tcPr>
            <w:tcW w:w="1011"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60</w:t>
            </w:r>
            <w:r>
              <w:rPr>
                <w:rFonts w:cstheme="majorHAnsi"/>
                <w:color w:val="000000"/>
              </w:rPr>
              <w:t>,</w:t>
            </w:r>
            <w:r w:rsidRPr="00085539">
              <w:rPr>
                <w:rFonts w:cstheme="majorHAnsi"/>
                <w:color w:val="000000"/>
              </w:rPr>
              <w:t>492</w:t>
            </w:r>
          </w:p>
        </w:tc>
        <w:tc>
          <w:tcPr>
            <w:tcW w:w="1107" w:type="pct"/>
            <w:tcBorders>
              <w:bottom w:val="single" w:sz="4" w:space="0" w:color="auto"/>
            </w:tcBorders>
          </w:tcPr>
          <w:p w:rsidR="00DE748D" w:rsidRPr="00807FB9" w:rsidRDefault="00DE748D" w:rsidP="00DE748D">
            <w:pPr>
              <w:pStyle w:val="TableTextCentered"/>
            </w:pPr>
            <w:r w:rsidRPr="00807FB9">
              <w:t>60,648</w:t>
            </w:r>
          </w:p>
        </w:tc>
        <w:tc>
          <w:tcPr>
            <w:tcW w:w="963"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-156</w:t>
            </w:r>
          </w:p>
        </w:tc>
        <w:tc>
          <w:tcPr>
            <w:tcW w:w="959"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-0.26%</w:t>
            </w:r>
          </w:p>
        </w:tc>
      </w:tr>
      <w:tr w:rsidR="00DE748D" w:rsidTr="00085539">
        <w:tc>
          <w:tcPr>
            <w:tcW w:w="960" w:type="pct"/>
            <w:tcBorders>
              <w:bottom w:val="single" w:sz="4" w:space="0" w:color="auto"/>
            </w:tcBorders>
          </w:tcPr>
          <w:p w:rsidR="00DE748D" w:rsidRPr="00807FB9" w:rsidRDefault="00DE748D" w:rsidP="00DE748D">
            <w:pPr>
              <w:pStyle w:val="TableText"/>
              <w:jc w:val="center"/>
            </w:pPr>
            <w:r w:rsidRPr="00807FB9">
              <w:t>201</w:t>
            </w:r>
            <w:r>
              <w:t>8–1</w:t>
            </w:r>
            <w:r w:rsidRPr="00807FB9">
              <w:t>9</w:t>
            </w:r>
          </w:p>
        </w:tc>
        <w:tc>
          <w:tcPr>
            <w:tcW w:w="1011"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60</w:t>
            </w:r>
            <w:r>
              <w:rPr>
                <w:rFonts w:cstheme="majorHAnsi"/>
                <w:color w:val="000000"/>
              </w:rPr>
              <w:t>,</w:t>
            </w:r>
            <w:r w:rsidRPr="00085539">
              <w:rPr>
                <w:rFonts w:cstheme="majorHAnsi"/>
                <w:color w:val="000000"/>
              </w:rPr>
              <w:t>254</w:t>
            </w:r>
          </w:p>
        </w:tc>
        <w:tc>
          <w:tcPr>
            <w:tcW w:w="1107" w:type="pct"/>
            <w:tcBorders>
              <w:bottom w:val="single" w:sz="4" w:space="0" w:color="auto"/>
            </w:tcBorders>
          </w:tcPr>
          <w:p w:rsidR="00DE748D" w:rsidRPr="00807FB9" w:rsidRDefault="00DE748D" w:rsidP="00DE748D">
            <w:pPr>
              <w:pStyle w:val="TableTextCentered"/>
            </w:pPr>
            <w:r w:rsidRPr="00807FB9">
              <w:t>60,224</w:t>
            </w:r>
          </w:p>
        </w:tc>
        <w:tc>
          <w:tcPr>
            <w:tcW w:w="963"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30</w:t>
            </w:r>
          </w:p>
        </w:tc>
        <w:tc>
          <w:tcPr>
            <w:tcW w:w="959"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0.05%</w:t>
            </w:r>
          </w:p>
        </w:tc>
      </w:tr>
      <w:tr w:rsidR="00DE748D" w:rsidTr="00085539">
        <w:tc>
          <w:tcPr>
            <w:tcW w:w="960" w:type="pct"/>
            <w:tcBorders>
              <w:bottom w:val="single" w:sz="4" w:space="0" w:color="auto"/>
            </w:tcBorders>
          </w:tcPr>
          <w:p w:rsidR="00DE748D" w:rsidRPr="00807FB9" w:rsidRDefault="00DE748D" w:rsidP="00DE748D">
            <w:pPr>
              <w:pStyle w:val="TableText"/>
              <w:jc w:val="center"/>
            </w:pPr>
            <w:r w:rsidRPr="00807FB9">
              <w:t>20</w:t>
            </w:r>
            <w:r>
              <w:t>19–</w:t>
            </w:r>
            <w:r w:rsidRPr="00807FB9">
              <w:t>20</w:t>
            </w:r>
          </w:p>
        </w:tc>
        <w:tc>
          <w:tcPr>
            <w:tcW w:w="1011"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60</w:t>
            </w:r>
            <w:r>
              <w:rPr>
                <w:rFonts w:cstheme="majorHAnsi"/>
                <w:color w:val="000000"/>
              </w:rPr>
              <w:t>,</w:t>
            </w:r>
            <w:r w:rsidRPr="00085539">
              <w:rPr>
                <w:rFonts w:cstheme="majorHAnsi"/>
                <w:color w:val="000000"/>
              </w:rPr>
              <w:t>017</w:t>
            </w:r>
          </w:p>
        </w:tc>
        <w:tc>
          <w:tcPr>
            <w:tcW w:w="1107" w:type="pct"/>
            <w:tcBorders>
              <w:bottom w:val="single" w:sz="4" w:space="0" w:color="auto"/>
            </w:tcBorders>
          </w:tcPr>
          <w:p w:rsidR="00DE748D" w:rsidRPr="00807FB9" w:rsidRDefault="00DE748D" w:rsidP="00DE748D">
            <w:pPr>
              <w:pStyle w:val="TableTextCentered"/>
            </w:pPr>
            <w:r w:rsidRPr="00807FB9">
              <w:t>59,838</w:t>
            </w:r>
          </w:p>
        </w:tc>
        <w:tc>
          <w:tcPr>
            <w:tcW w:w="963"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179</w:t>
            </w:r>
          </w:p>
        </w:tc>
        <w:tc>
          <w:tcPr>
            <w:tcW w:w="959"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0.30%</w:t>
            </w:r>
          </w:p>
        </w:tc>
      </w:tr>
      <w:tr w:rsidR="00DE748D" w:rsidTr="00085539">
        <w:tc>
          <w:tcPr>
            <w:tcW w:w="960" w:type="pct"/>
            <w:tcBorders>
              <w:bottom w:val="single" w:sz="4" w:space="0" w:color="auto"/>
            </w:tcBorders>
          </w:tcPr>
          <w:p w:rsidR="00DE748D" w:rsidRPr="00807FB9" w:rsidRDefault="00DE748D" w:rsidP="00DE748D">
            <w:pPr>
              <w:pStyle w:val="TableText"/>
              <w:jc w:val="center"/>
            </w:pPr>
            <w:r w:rsidRPr="00807FB9">
              <w:t>202</w:t>
            </w:r>
            <w:r>
              <w:t>0–2</w:t>
            </w:r>
            <w:r w:rsidRPr="00807FB9">
              <w:t>1</w:t>
            </w:r>
          </w:p>
        </w:tc>
        <w:tc>
          <w:tcPr>
            <w:tcW w:w="1011"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59</w:t>
            </w:r>
            <w:r>
              <w:rPr>
                <w:rFonts w:cstheme="majorHAnsi"/>
                <w:color w:val="000000"/>
              </w:rPr>
              <w:t>,</w:t>
            </w:r>
            <w:r w:rsidRPr="00085539">
              <w:rPr>
                <w:rFonts w:cstheme="majorHAnsi"/>
                <w:color w:val="000000"/>
              </w:rPr>
              <w:t>783</w:t>
            </w:r>
          </w:p>
        </w:tc>
        <w:tc>
          <w:tcPr>
            <w:tcW w:w="1107" w:type="pct"/>
            <w:tcBorders>
              <w:bottom w:val="single" w:sz="4" w:space="0" w:color="auto"/>
            </w:tcBorders>
          </w:tcPr>
          <w:p w:rsidR="00DE748D" w:rsidRPr="00807FB9" w:rsidRDefault="00DE748D" w:rsidP="00DE748D">
            <w:pPr>
              <w:pStyle w:val="TableTextCentered"/>
            </w:pPr>
            <w:r w:rsidRPr="00807FB9">
              <w:t>59,465</w:t>
            </w:r>
          </w:p>
        </w:tc>
        <w:tc>
          <w:tcPr>
            <w:tcW w:w="963"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318</w:t>
            </w:r>
          </w:p>
        </w:tc>
        <w:tc>
          <w:tcPr>
            <w:tcW w:w="959"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0.53%</w:t>
            </w:r>
          </w:p>
        </w:tc>
      </w:tr>
      <w:tr w:rsidR="00DE748D" w:rsidTr="00085539">
        <w:tc>
          <w:tcPr>
            <w:tcW w:w="960" w:type="pct"/>
            <w:tcBorders>
              <w:bottom w:val="single" w:sz="4" w:space="0" w:color="auto"/>
            </w:tcBorders>
          </w:tcPr>
          <w:p w:rsidR="00DE748D" w:rsidRPr="00807FB9" w:rsidRDefault="00DE748D" w:rsidP="00DE748D">
            <w:pPr>
              <w:pStyle w:val="TableText"/>
              <w:jc w:val="center"/>
            </w:pPr>
            <w:r w:rsidRPr="00807FB9">
              <w:t>202</w:t>
            </w:r>
            <w:r>
              <w:t>1–2</w:t>
            </w:r>
            <w:r w:rsidRPr="00807FB9">
              <w:t>2</w:t>
            </w:r>
          </w:p>
        </w:tc>
        <w:tc>
          <w:tcPr>
            <w:tcW w:w="1011"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59</w:t>
            </w:r>
            <w:r>
              <w:rPr>
                <w:rFonts w:cstheme="majorHAnsi"/>
                <w:color w:val="000000"/>
              </w:rPr>
              <w:t>,</w:t>
            </w:r>
            <w:r w:rsidRPr="00085539">
              <w:rPr>
                <w:rFonts w:cstheme="majorHAnsi"/>
                <w:color w:val="000000"/>
              </w:rPr>
              <w:t>551</w:t>
            </w:r>
          </w:p>
        </w:tc>
        <w:tc>
          <w:tcPr>
            <w:tcW w:w="1107" w:type="pct"/>
            <w:tcBorders>
              <w:bottom w:val="single" w:sz="4" w:space="0" w:color="auto"/>
            </w:tcBorders>
          </w:tcPr>
          <w:p w:rsidR="00DE748D" w:rsidRPr="00807FB9" w:rsidRDefault="00DE748D" w:rsidP="00DE748D">
            <w:pPr>
              <w:pStyle w:val="TableTextCentered"/>
            </w:pPr>
            <w:r w:rsidRPr="00807FB9">
              <w:t>59,041</w:t>
            </w:r>
          </w:p>
        </w:tc>
        <w:tc>
          <w:tcPr>
            <w:tcW w:w="963"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510</w:t>
            </w:r>
          </w:p>
        </w:tc>
        <w:tc>
          <w:tcPr>
            <w:tcW w:w="959"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0.86%</w:t>
            </w:r>
          </w:p>
        </w:tc>
      </w:tr>
      <w:tr w:rsidR="00DE748D" w:rsidTr="00085539">
        <w:tc>
          <w:tcPr>
            <w:tcW w:w="960" w:type="pct"/>
            <w:tcBorders>
              <w:bottom w:val="single" w:sz="4" w:space="0" w:color="auto"/>
            </w:tcBorders>
          </w:tcPr>
          <w:p w:rsidR="00DE748D" w:rsidRPr="00807FB9" w:rsidRDefault="00DE748D" w:rsidP="00DE748D">
            <w:pPr>
              <w:pStyle w:val="TableText"/>
              <w:jc w:val="center"/>
            </w:pPr>
            <w:r w:rsidRPr="00807FB9">
              <w:t>202</w:t>
            </w:r>
            <w:r>
              <w:t>2–2</w:t>
            </w:r>
            <w:r w:rsidRPr="00807FB9">
              <w:t>3</w:t>
            </w:r>
          </w:p>
        </w:tc>
        <w:tc>
          <w:tcPr>
            <w:tcW w:w="1011"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59</w:t>
            </w:r>
            <w:r>
              <w:rPr>
                <w:rFonts w:cstheme="majorHAnsi"/>
                <w:color w:val="000000"/>
              </w:rPr>
              <w:t>,</w:t>
            </w:r>
            <w:r w:rsidRPr="00085539">
              <w:rPr>
                <w:rFonts w:cstheme="majorHAnsi"/>
                <w:color w:val="000000"/>
              </w:rPr>
              <w:t>321</w:t>
            </w:r>
          </w:p>
        </w:tc>
        <w:tc>
          <w:tcPr>
            <w:tcW w:w="1107" w:type="pct"/>
            <w:tcBorders>
              <w:bottom w:val="single" w:sz="4" w:space="0" w:color="auto"/>
            </w:tcBorders>
          </w:tcPr>
          <w:p w:rsidR="00DE748D" w:rsidRPr="00807FB9" w:rsidRDefault="00DE748D" w:rsidP="00DE748D">
            <w:pPr>
              <w:pStyle w:val="TableTextCentered"/>
            </w:pPr>
            <w:r w:rsidRPr="00807FB9">
              <w:t>58,602</w:t>
            </w:r>
          </w:p>
        </w:tc>
        <w:tc>
          <w:tcPr>
            <w:tcW w:w="963"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719</w:t>
            </w:r>
          </w:p>
        </w:tc>
        <w:tc>
          <w:tcPr>
            <w:tcW w:w="959" w:type="pct"/>
            <w:tcBorders>
              <w:bottom w:val="single" w:sz="4" w:space="0" w:color="auto"/>
            </w:tcBorders>
            <w:vAlign w:val="bottom"/>
          </w:tcPr>
          <w:p w:rsidR="00DE748D" w:rsidRPr="008C31A1" w:rsidRDefault="00DE748D" w:rsidP="00DE748D">
            <w:pPr>
              <w:pStyle w:val="TableTextCentered"/>
              <w:rPr>
                <w:rFonts w:cstheme="majorHAnsi"/>
              </w:rPr>
            </w:pPr>
            <w:r w:rsidRPr="00085539">
              <w:rPr>
                <w:rFonts w:cstheme="majorHAnsi"/>
                <w:color w:val="000000"/>
              </w:rPr>
              <w:t>1.23%</w:t>
            </w:r>
          </w:p>
        </w:tc>
      </w:tr>
      <w:tr w:rsidR="00DE748D" w:rsidTr="00085539">
        <w:tc>
          <w:tcPr>
            <w:tcW w:w="960" w:type="pct"/>
          </w:tcPr>
          <w:p w:rsidR="00DE748D" w:rsidRPr="00807FB9" w:rsidRDefault="00DE748D" w:rsidP="00DE748D">
            <w:pPr>
              <w:pStyle w:val="TableText"/>
              <w:jc w:val="center"/>
            </w:pPr>
            <w:r w:rsidRPr="00807FB9">
              <w:t>202</w:t>
            </w:r>
            <w:r>
              <w:t>3–2</w:t>
            </w:r>
            <w:r w:rsidRPr="00807FB9">
              <w:t>4</w:t>
            </w:r>
          </w:p>
        </w:tc>
        <w:tc>
          <w:tcPr>
            <w:tcW w:w="1011" w:type="pct"/>
            <w:vAlign w:val="bottom"/>
          </w:tcPr>
          <w:p w:rsidR="00DE748D" w:rsidRPr="008C31A1" w:rsidRDefault="00DE748D" w:rsidP="00DE748D">
            <w:pPr>
              <w:pStyle w:val="TableTextCentered"/>
              <w:rPr>
                <w:rFonts w:cstheme="majorHAnsi"/>
              </w:rPr>
            </w:pPr>
            <w:r w:rsidRPr="00085539">
              <w:rPr>
                <w:rFonts w:cstheme="majorHAnsi"/>
                <w:color w:val="000000"/>
              </w:rPr>
              <w:t>59</w:t>
            </w:r>
            <w:r>
              <w:rPr>
                <w:rFonts w:cstheme="majorHAnsi"/>
                <w:color w:val="000000"/>
              </w:rPr>
              <w:t>,</w:t>
            </w:r>
            <w:r w:rsidRPr="00085539">
              <w:rPr>
                <w:rFonts w:cstheme="majorHAnsi"/>
                <w:color w:val="000000"/>
              </w:rPr>
              <w:t>093</w:t>
            </w:r>
          </w:p>
        </w:tc>
        <w:tc>
          <w:tcPr>
            <w:tcW w:w="1107" w:type="pct"/>
          </w:tcPr>
          <w:p w:rsidR="00DE748D" w:rsidRPr="00807FB9" w:rsidRDefault="00DE748D" w:rsidP="00DE748D">
            <w:pPr>
              <w:pStyle w:val="TableTextCentered"/>
            </w:pPr>
            <w:r w:rsidRPr="00807FB9">
              <w:t>58,159</w:t>
            </w:r>
          </w:p>
        </w:tc>
        <w:tc>
          <w:tcPr>
            <w:tcW w:w="963" w:type="pct"/>
            <w:vAlign w:val="bottom"/>
          </w:tcPr>
          <w:p w:rsidR="00DE748D" w:rsidRPr="008C31A1" w:rsidRDefault="00DE748D" w:rsidP="00DE748D">
            <w:pPr>
              <w:pStyle w:val="TableTextCentered"/>
              <w:rPr>
                <w:rFonts w:cstheme="majorHAnsi"/>
              </w:rPr>
            </w:pPr>
            <w:r w:rsidRPr="00085539">
              <w:rPr>
                <w:rFonts w:cstheme="majorHAnsi"/>
                <w:color w:val="000000"/>
              </w:rPr>
              <w:t>934</w:t>
            </w:r>
          </w:p>
        </w:tc>
        <w:tc>
          <w:tcPr>
            <w:tcW w:w="959" w:type="pct"/>
            <w:vAlign w:val="bottom"/>
          </w:tcPr>
          <w:p w:rsidR="00DE748D" w:rsidRPr="008C31A1" w:rsidRDefault="00DE748D" w:rsidP="00DE748D">
            <w:pPr>
              <w:pStyle w:val="TableTextCentered"/>
              <w:rPr>
                <w:rFonts w:cstheme="majorHAnsi"/>
              </w:rPr>
            </w:pPr>
            <w:r w:rsidRPr="00085539">
              <w:rPr>
                <w:rFonts w:cstheme="majorHAnsi"/>
                <w:color w:val="000000"/>
              </w:rPr>
              <w:t>1.61%</w:t>
            </w:r>
          </w:p>
        </w:tc>
      </w:tr>
    </w:tbl>
    <w:p w:rsidR="00C157EC" w:rsidRPr="00CC4696" w:rsidRDefault="00C157EC" w:rsidP="00E26AE5">
      <w:pPr>
        <w:pStyle w:val="FigureTitle"/>
      </w:pPr>
      <w:proofErr w:type="gramStart"/>
      <w:r>
        <w:t>Figure 18.</w:t>
      </w:r>
      <w:proofErr w:type="gramEnd"/>
      <w:r>
        <w:t xml:space="preserve"> Historical and Projected Statewide Supply and Demand for White Teachers in Terms of FTEs, 2008–09</w:t>
      </w:r>
      <w:r w:rsidR="0092042A">
        <w:t xml:space="preserve"> </w:t>
      </w:r>
      <w:proofErr w:type="gramStart"/>
      <w:r w:rsidR="0092042A">
        <w:t>Through</w:t>
      </w:r>
      <w:proofErr w:type="gramEnd"/>
      <w:r w:rsidR="0092042A">
        <w:t xml:space="preserve"> </w:t>
      </w:r>
      <w:r>
        <w:t>2023–24</w:t>
      </w:r>
    </w:p>
    <w:p w:rsidR="00C157EC" w:rsidRDefault="002A3858" w:rsidP="00E26AE5">
      <w:pPr>
        <w:pStyle w:val="FigurePlacement"/>
      </w:pPr>
      <w:r w:rsidRPr="002A3858">
        <w:t xml:space="preserve"> </w:t>
      </w:r>
      <w:r w:rsidRPr="002A3858">
        <w:rPr>
          <w:noProof/>
          <w:lang w:eastAsia="zh-CN" w:bidi="km-KH"/>
        </w:rPr>
        <w:drawing>
          <wp:inline distT="0" distB="0" distL="0" distR="0">
            <wp:extent cx="5614035" cy="3657177"/>
            <wp:effectExtent l="19050" t="0" r="5715" b="0"/>
            <wp:docPr id="15" name="Picture 15" descr="In an effort to determine if there are expected shortages or surpluses in minority or White teachers in future years, supply and demand projections for each were compared. It is expected there will be a surplus of White teachers and a shortage of minority teachers (Table 14 and Figure 18).&#10;Specifically, for White teachers, the projections indicate a shortage of 496 teachers (-0.80 percent) in the first projected year, which is expected to shrink over the following two years. This is expected to change to a surplus in later projected years, where supply will increasingly exceed demand from a surplus of 30 (0.05 percent) teachers in 2018–19 to 934 (1.61 percent) in 2023–24.&#10;&#10;Figure 18. Historical and Projected Statewide Supply and Demand for White Teachers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32" r="2735" b="5598"/>
                    <a:stretch/>
                  </pic:blipFill>
                  <pic:spPr bwMode="auto">
                    <a:xfrm>
                      <a:off x="0" y="0"/>
                      <a:ext cx="5618915" cy="366035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E26AE5">
      <w:pPr>
        <w:pStyle w:val="BodyText"/>
      </w:pPr>
      <w:r>
        <w:t>Given the relatively small size of the projected shortages and surpluses above, these results suggest that the demand and supply of White teachers will be relatively balanced over the projected years.</w:t>
      </w:r>
    </w:p>
    <w:p w:rsidR="00C157EC" w:rsidRPr="00E26AE5" w:rsidRDefault="00C157EC" w:rsidP="00E26AE5">
      <w:pPr>
        <w:pStyle w:val="BodyText"/>
      </w:pPr>
      <w:r>
        <w:t xml:space="preserve">On the other hand, given that the demand for minority teachers is projected to increase, while supply is projected to decline, the AIR research team expects to see a slight shortage of minority teachers (Table 15 and Figure 19). Specifically, a shortage of </w:t>
      </w:r>
      <w:r w:rsidR="008C31A1">
        <w:t>105</w:t>
      </w:r>
      <w:r>
        <w:t xml:space="preserve"> teachers in 2014–15 (2.</w:t>
      </w:r>
      <w:r w:rsidR="008C31A1">
        <w:t>35</w:t>
      </w:r>
      <w:r>
        <w:t xml:space="preserve"> percent) i</w:t>
      </w:r>
      <w:r w:rsidR="00DC60BD">
        <w:t>s</w:t>
      </w:r>
      <w:r>
        <w:t xml:space="preserve"> projected, which will grow slightly to 42</w:t>
      </w:r>
      <w:r w:rsidR="008C31A1">
        <w:t>5</w:t>
      </w:r>
      <w:r>
        <w:t xml:space="preserve"> teachers (8.9</w:t>
      </w:r>
      <w:r w:rsidR="008C31A1">
        <w:t>8</w:t>
      </w:r>
      <w:r>
        <w:t xml:space="preserve"> percent) by 2023–24.</w:t>
      </w:r>
    </w:p>
    <w:p w:rsidR="00C157EC" w:rsidRDefault="00C157EC" w:rsidP="00E26AE5">
      <w:pPr>
        <w:pStyle w:val="TableTitle"/>
      </w:pPr>
      <w:proofErr w:type="gramStart"/>
      <w:r>
        <w:t>Table 15</w:t>
      </w:r>
      <w:r w:rsidRPr="00CC4696">
        <w:t>.</w:t>
      </w:r>
      <w:proofErr w:type="gramEnd"/>
      <w:r w:rsidRPr="00CC4696">
        <w:t xml:space="preserve"> Projected </w:t>
      </w:r>
      <w:r>
        <w:t xml:space="preserve">Statewide </w:t>
      </w:r>
      <w:r w:rsidRPr="00CC4696">
        <w:t>Demand</w:t>
      </w:r>
      <w:r>
        <w:t xml:space="preserve"> and </w:t>
      </w:r>
      <w:r w:rsidRPr="00CC4696">
        <w:t>Supply</w:t>
      </w:r>
      <w:r w:rsidR="00AB1442">
        <w:t xml:space="preserve"> of </w:t>
      </w:r>
      <w:r>
        <w:t>Minority Teachers in Terms of FTEs</w:t>
      </w:r>
      <w:r w:rsidRPr="00CC4696">
        <w:t xml:space="preserve"> and Absolute </w:t>
      </w:r>
      <w:r>
        <w:t xml:space="preserve">and </w:t>
      </w:r>
      <w:r w:rsidRPr="00CC4696">
        <w:t>Relative Differences</w:t>
      </w:r>
      <w:r>
        <w:t>,</w:t>
      </w:r>
      <w:r w:rsidRPr="00CC4696">
        <w:t xml:space="preserve"> </w:t>
      </w:r>
      <w:r>
        <w:t>2014–15</w:t>
      </w:r>
      <w:r w:rsidR="0092042A">
        <w:t xml:space="preserve"> </w:t>
      </w:r>
      <w:proofErr w:type="gramStart"/>
      <w:r w:rsidR="0092042A">
        <w:t>Through</w:t>
      </w:r>
      <w:proofErr w:type="gramEnd"/>
      <w:r w:rsidR="0092042A">
        <w:t xml:space="preserve"> </w:t>
      </w:r>
      <w:r w:rsidRPr="00CC4696">
        <w:t>2023</w:t>
      </w:r>
      <w:r>
        <w:t>–</w:t>
      </w:r>
      <w:r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1"/>
        <w:gridCol w:w="1939"/>
        <w:gridCol w:w="2123"/>
        <w:gridCol w:w="1846"/>
        <w:gridCol w:w="1841"/>
      </w:tblGrid>
      <w:tr w:rsidR="00E26AE5" w:rsidTr="004E50CD">
        <w:trPr>
          <w:cnfStyle w:val="100000000000"/>
        </w:trPr>
        <w:tc>
          <w:tcPr>
            <w:tcW w:w="1795" w:type="dxa"/>
            <w:tcBorders>
              <w:bottom w:val="single" w:sz="4" w:space="0" w:color="auto"/>
            </w:tcBorders>
          </w:tcPr>
          <w:p w:rsidR="00C157EC" w:rsidRPr="00807FB9" w:rsidRDefault="00C157EC" w:rsidP="00BD18E1">
            <w:pPr>
              <w:pStyle w:val="TableText"/>
              <w:jc w:val="center"/>
            </w:pPr>
            <w:r>
              <w:t>Year</w:t>
            </w:r>
          </w:p>
        </w:tc>
        <w:tc>
          <w:tcPr>
            <w:tcW w:w="1890" w:type="dxa"/>
            <w:tcBorders>
              <w:bottom w:val="single" w:sz="4" w:space="0" w:color="auto"/>
            </w:tcBorders>
          </w:tcPr>
          <w:p w:rsidR="00C157EC" w:rsidRPr="005C7312" w:rsidRDefault="00C157EC" w:rsidP="00E26AE5">
            <w:pPr>
              <w:pStyle w:val="TableTextCentered"/>
            </w:pPr>
            <w:r w:rsidRPr="008A3727">
              <w:t>Projected Supply</w:t>
            </w:r>
          </w:p>
        </w:tc>
        <w:tc>
          <w:tcPr>
            <w:tcW w:w="2070" w:type="dxa"/>
            <w:tcBorders>
              <w:bottom w:val="single" w:sz="4" w:space="0" w:color="auto"/>
            </w:tcBorders>
          </w:tcPr>
          <w:p w:rsidR="00C157EC" w:rsidRPr="00807FB9" w:rsidRDefault="00C157EC" w:rsidP="00E26AE5">
            <w:pPr>
              <w:pStyle w:val="TableTextCentered"/>
            </w:pPr>
            <w:r w:rsidRPr="008A3727">
              <w:t>Projected Demand</w:t>
            </w:r>
          </w:p>
        </w:tc>
        <w:tc>
          <w:tcPr>
            <w:tcW w:w="1800" w:type="dxa"/>
            <w:tcBorders>
              <w:bottom w:val="single" w:sz="4" w:space="0" w:color="auto"/>
            </w:tcBorders>
          </w:tcPr>
          <w:p w:rsidR="00C157EC" w:rsidRPr="005C7312" w:rsidRDefault="00C157EC" w:rsidP="00E26AE5">
            <w:pPr>
              <w:pStyle w:val="TableTextCentered"/>
            </w:pPr>
            <w:r w:rsidRPr="008A3727">
              <w:t xml:space="preserve">Absolute Difference </w:t>
            </w:r>
            <w:r w:rsidR="00277E7B">
              <w:t>B</w:t>
            </w:r>
            <w:r w:rsidRPr="008A3727">
              <w:t>etween Supply and Demand</w:t>
            </w:r>
          </w:p>
        </w:tc>
        <w:tc>
          <w:tcPr>
            <w:tcW w:w="1795" w:type="dxa"/>
            <w:tcBorders>
              <w:bottom w:val="single" w:sz="4" w:space="0" w:color="auto"/>
            </w:tcBorders>
          </w:tcPr>
          <w:p w:rsidR="00C157EC" w:rsidRPr="00807FB9" w:rsidRDefault="00C157EC" w:rsidP="00E26AE5">
            <w:pPr>
              <w:pStyle w:val="TableTextCentered"/>
            </w:pPr>
            <w:r w:rsidRPr="008A3727">
              <w:t xml:space="preserve">Relative Difference </w:t>
            </w:r>
            <w:r w:rsidR="00277E7B">
              <w:t>B</w:t>
            </w:r>
            <w:r w:rsidRPr="008A3727">
              <w:t>etween Supply and Demand</w:t>
            </w:r>
          </w:p>
        </w:tc>
      </w:tr>
      <w:tr w:rsidR="008C31A1" w:rsidTr="00085539">
        <w:tc>
          <w:tcPr>
            <w:tcW w:w="1795" w:type="dxa"/>
            <w:tcBorders>
              <w:bottom w:val="single" w:sz="4" w:space="0" w:color="auto"/>
            </w:tcBorders>
          </w:tcPr>
          <w:p w:rsidR="008C31A1" w:rsidRPr="00807FB9" w:rsidRDefault="008C31A1" w:rsidP="008C31A1">
            <w:pPr>
              <w:pStyle w:val="TableText"/>
              <w:jc w:val="center"/>
            </w:pPr>
            <w:r w:rsidRPr="00807FB9">
              <w:t>201</w:t>
            </w:r>
            <w:r>
              <w:t>4–1</w:t>
            </w:r>
            <w:r w:rsidRPr="00807FB9">
              <w:t>5</w:t>
            </w:r>
          </w:p>
        </w:tc>
        <w:tc>
          <w:tcPr>
            <w:tcW w:w="189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4</w:t>
            </w:r>
            <w:r>
              <w:rPr>
                <w:rFonts w:cstheme="majorHAnsi"/>
                <w:color w:val="000000"/>
              </w:rPr>
              <w:t>,</w:t>
            </w:r>
            <w:r w:rsidRPr="00085539">
              <w:rPr>
                <w:rFonts w:cstheme="majorHAnsi"/>
                <w:color w:val="000000"/>
              </w:rPr>
              <w:t>357</w:t>
            </w:r>
          </w:p>
        </w:tc>
        <w:tc>
          <w:tcPr>
            <w:tcW w:w="2070" w:type="dxa"/>
            <w:tcBorders>
              <w:bottom w:val="single" w:sz="4" w:space="0" w:color="auto"/>
            </w:tcBorders>
          </w:tcPr>
          <w:p w:rsidR="008C31A1" w:rsidRPr="00807FB9" w:rsidRDefault="008C31A1" w:rsidP="008C31A1">
            <w:pPr>
              <w:pStyle w:val="TableTextCentered"/>
            </w:pPr>
            <w:r w:rsidRPr="00807FB9">
              <w:t>4,462</w:t>
            </w:r>
          </w:p>
        </w:tc>
        <w:tc>
          <w:tcPr>
            <w:tcW w:w="180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-105</w:t>
            </w:r>
          </w:p>
        </w:tc>
        <w:tc>
          <w:tcPr>
            <w:tcW w:w="1795"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-2.35</w:t>
            </w:r>
            <w:r>
              <w:rPr>
                <w:rFonts w:cstheme="majorHAnsi"/>
                <w:color w:val="000000"/>
              </w:rPr>
              <w:t>%</w:t>
            </w:r>
          </w:p>
        </w:tc>
      </w:tr>
      <w:tr w:rsidR="008C31A1" w:rsidTr="00085539">
        <w:tc>
          <w:tcPr>
            <w:tcW w:w="1795" w:type="dxa"/>
            <w:tcBorders>
              <w:bottom w:val="single" w:sz="4" w:space="0" w:color="auto"/>
            </w:tcBorders>
          </w:tcPr>
          <w:p w:rsidR="008C31A1" w:rsidRPr="00807FB9" w:rsidRDefault="008C31A1" w:rsidP="008C31A1">
            <w:pPr>
              <w:pStyle w:val="TableText"/>
              <w:jc w:val="center"/>
            </w:pPr>
            <w:r w:rsidRPr="00807FB9">
              <w:t>201</w:t>
            </w:r>
            <w:r>
              <w:t>5–1</w:t>
            </w:r>
            <w:r w:rsidRPr="00807FB9">
              <w:t>6</w:t>
            </w:r>
          </w:p>
        </w:tc>
        <w:tc>
          <w:tcPr>
            <w:tcW w:w="189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4</w:t>
            </w:r>
            <w:r>
              <w:rPr>
                <w:rFonts w:cstheme="majorHAnsi"/>
                <w:color w:val="000000"/>
              </w:rPr>
              <w:t>,</w:t>
            </w:r>
            <w:r w:rsidRPr="00085539">
              <w:rPr>
                <w:rFonts w:cstheme="majorHAnsi"/>
                <w:color w:val="000000"/>
              </w:rPr>
              <w:t>349</w:t>
            </w:r>
          </w:p>
        </w:tc>
        <w:tc>
          <w:tcPr>
            <w:tcW w:w="2070" w:type="dxa"/>
            <w:tcBorders>
              <w:bottom w:val="single" w:sz="4" w:space="0" w:color="auto"/>
            </w:tcBorders>
          </w:tcPr>
          <w:p w:rsidR="008C31A1" w:rsidRPr="00807FB9" w:rsidRDefault="008C31A1" w:rsidP="008C31A1">
            <w:pPr>
              <w:pStyle w:val="TableTextCentered"/>
            </w:pPr>
            <w:r w:rsidRPr="00807FB9">
              <w:t>4,499</w:t>
            </w:r>
          </w:p>
        </w:tc>
        <w:tc>
          <w:tcPr>
            <w:tcW w:w="180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-150</w:t>
            </w:r>
          </w:p>
        </w:tc>
        <w:tc>
          <w:tcPr>
            <w:tcW w:w="1795"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-3.34</w:t>
            </w:r>
            <w:r>
              <w:rPr>
                <w:rFonts w:cstheme="majorHAnsi"/>
                <w:color w:val="000000"/>
              </w:rPr>
              <w:t>%</w:t>
            </w:r>
          </w:p>
        </w:tc>
      </w:tr>
      <w:tr w:rsidR="008C31A1" w:rsidTr="00085539">
        <w:tc>
          <w:tcPr>
            <w:tcW w:w="1795" w:type="dxa"/>
            <w:tcBorders>
              <w:bottom w:val="single" w:sz="4" w:space="0" w:color="auto"/>
            </w:tcBorders>
          </w:tcPr>
          <w:p w:rsidR="008C31A1" w:rsidRPr="00807FB9" w:rsidRDefault="008C31A1" w:rsidP="008C31A1">
            <w:pPr>
              <w:pStyle w:val="TableText"/>
              <w:jc w:val="center"/>
            </w:pPr>
            <w:r w:rsidRPr="00807FB9">
              <w:t>201</w:t>
            </w:r>
            <w:r>
              <w:t>6–1</w:t>
            </w:r>
            <w:r w:rsidRPr="00807FB9">
              <w:t>7</w:t>
            </w:r>
          </w:p>
        </w:tc>
        <w:tc>
          <w:tcPr>
            <w:tcW w:w="189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4</w:t>
            </w:r>
            <w:r>
              <w:rPr>
                <w:rFonts w:cstheme="majorHAnsi"/>
                <w:color w:val="000000"/>
              </w:rPr>
              <w:t>,</w:t>
            </w:r>
            <w:r w:rsidRPr="00085539">
              <w:rPr>
                <w:rFonts w:cstheme="majorHAnsi"/>
                <w:color w:val="000000"/>
              </w:rPr>
              <w:t>341</w:t>
            </w:r>
          </w:p>
        </w:tc>
        <w:tc>
          <w:tcPr>
            <w:tcW w:w="2070" w:type="dxa"/>
            <w:tcBorders>
              <w:bottom w:val="single" w:sz="4" w:space="0" w:color="auto"/>
            </w:tcBorders>
          </w:tcPr>
          <w:p w:rsidR="008C31A1" w:rsidRPr="00807FB9" w:rsidRDefault="008C31A1" w:rsidP="008C31A1">
            <w:pPr>
              <w:pStyle w:val="TableTextCentered"/>
            </w:pPr>
            <w:r w:rsidRPr="00807FB9">
              <w:t>4,533</w:t>
            </w:r>
          </w:p>
        </w:tc>
        <w:tc>
          <w:tcPr>
            <w:tcW w:w="180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-192</w:t>
            </w:r>
          </w:p>
        </w:tc>
        <w:tc>
          <w:tcPr>
            <w:tcW w:w="1795"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-4.23</w:t>
            </w:r>
            <w:r>
              <w:rPr>
                <w:rFonts w:cstheme="majorHAnsi"/>
                <w:color w:val="000000"/>
              </w:rPr>
              <w:t>%</w:t>
            </w:r>
          </w:p>
        </w:tc>
      </w:tr>
      <w:tr w:rsidR="008C31A1" w:rsidTr="00085539">
        <w:tc>
          <w:tcPr>
            <w:tcW w:w="1795" w:type="dxa"/>
            <w:tcBorders>
              <w:bottom w:val="single" w:sz="4" w:space="0" w:color="auto"/>
            </w:tcBorders>
          </w:tcPr>
          <w:p w:rsidR="008C31A1" w:rsidRPr="00807FB9" w:rsidRDefault="008C31A1" w:rsidP="008C31A1">
            <w:pPr>
              <w:pStyle w:val="TableText"/>
              <w:jc w:val="center"/>
            </w:pPr>
            <w:r w:rsidRPr="00807FB9">
              <w:t>201</w:t>
            </w:r>
            <w:r>
              <w:t>7–1</w:t>
            </w:r>
            <w:r w:rsidRPr="00807FB9">
              <w:t>8</w:t>
            </w:r>
          </w:p>
        </w:tc>
        <w:tc>
          <w:tcPr>
            <w:tcW w:w="189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4</w:t>
            </w:r>
            <w:r>
              <w:rPr>
                <w:rFonts w:cstheme="majorHAnsi"/>
                <w:color w:val="000000"/>
              </w:rPr>
              <w:t>,</w:t>
            </w:r>
            <w:r w:rsidRPr="00085539">
              <w:rPr>
                <w:rFonts w:cstheme="majorHAnsi"/>
                <w:color w:val="000000"/>
              </w:rPr>
              <w:t>334</w:t>
            </w:r>
          </w:p>
        </w:tc>
        <w:tc>
          <w:tcPr>
            <w:tcW w:w="2070" w:type="dxa"/>
            <w:tcBorders>
              <w:bottom w:val="single" w:sz="4" w:space="0" w:color="auto"/>
            </w:tcBorders>
          </w:tcPr>
          <w:p w:rsidR="008C31A1" w:rsidRPr="00807FB9" w:rsidRDefault="008C31A1" w:rsidP="008C31A1">
            <w:pPr>
              <w:pStyle w:val="TableTextCentered"/>
            </w:pPr>
            <w:r w:rsidRPr="00807FB9">
              <w:t>4,570</w:t>
            </w:r>
          </w:p>
        </w:tc>
        <w:tc>
          <w:tcPr>
            <w:tcW w:w="180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-236</w:t>
            </w:r>
          </w:p>
        </w:tc>
        <w:tc>
          <w:tcPr>
            <w:tcW w:w="1795"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-5.16</w:t>
            </w:r>
            <w:r>
              <w:rPr>
                <w:rFonts w:cstheme="majorHAnsi"/>
                <w:color w:val="000000"/>
              </w:rPr>
              <w:t>%</w:t>
            </w:r>
          </w:p>
        </w:tc>
      </w:tr>
      <w:tr w:rsidR="008C31A1" w:rsidTr="00085539">
        <w:tc>
          <w:tcPr>
            <w:tcW w:w="1795" w:type="dxa"/>
            <w:tcBorders>
              <w:bottom w:val="single" w:sz="4" w:space="0" w:color="auto"/>
            </w:tcBorders>
          </w:tcPr>
          <w:p w:rsidR="008C31A1" w:rsidRPr="00807FB9" w:rsidRDefault="008C31A1" w:rsidP="008C31A1">
            <w:pPr>
              <w:pStyle w:val="TableText"/>
              <w:jc w:val="center"/>
            </w:pPr>
            <w:r w:rsidRPr="00807FB9">
              <w:t>201</w:t>
            </w:r>
            <w:r>
              <w:t>8–1</w:t>
            </w:r>
            <w:r w:rsidRPr="00807FB9">
              <w:t>9</w:t>
            </w:r>
          </w:p>
        </w:tc>
        <w:tc>
          <w:tcPr>
            <w:tcW w:w="189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4</w:t>
            </w:r>
            <w:r>
              <w:rPr>
                <w:rFonts w:cstheme="majorHAnsi"/>
                <w:color w:val="000000"/>
              </w:rPr>
              <w:t>,</w:t>
            </w:r>
            <w:r w:rsidRPr="00085539">
              <w:rPr>
                <w:rFonts w:cstheme="majorHAnsi"/>
                <w:color w:val="000000"/>
              </w:rPr>
              <w:t>328</w:t>
            </w:r>
          </w:p>
        </w:tc>
        <w:tc>
          <w:tcPr>
            <w:tcW w:w="2070" w:type="dxa"/>
            <w:tcBorders>
              <w:bottom w:val="single" w:sz="4" w:space="0" w:color="auto"/>
            </w:tcBorders>
          </w:tcPr>
          <w:p w:rsidR="008C31A1" w:rsidRPr="008C31A1" w:rsidRDefault="008C31A1" w:rsidP="008C31A1">
            <w:pPr>
              <w:pStyle w:val="TableTextCentered"/>
            </w:pPr>
            <w:r w:rsidRPr="008C31A1">
              <w:t>4,600</w:t>
            </w:r>
          </w:p>
        </w:tc>
        <w:tc>
          <w:tcPr>
            <w:tcW w:w="180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-272</w:t>
            </w:r>
          </w:p>
        </w:tc>
        <w:tc>
          <w:tcPr>
            <w:tcW w:w="1795"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-5.91</w:t>
            </w:r>
            <w:r>
              <w:rPr>
                <w:rFonts w:cstheme="majorHAnsi"/>
                <w:color w:val="000000"/>
              </w:rPr>
              <w:t>%</w:t>
            </w:r>
          </w:p>
        </w:tc>
      </w:tr>
      <w:tr w:rsidR="008C31A1" w:rsidTr="00085539">
        <w:tc>
          <w:tcPr>
            <w:tcW w:w="1795" w:type="dxa"/>
            <w:tcBorders>
              <w:bottom w:val="single" w:sz="4" w:space="0" w:color="auto"/>
            </w:tcBorders>
          </w:tcPr>
          <w:p w:rsidR="008C31A1" w:rsidRPr="00807FB9" w:rsidRDefault="008C31A1" w:rsidP="008C31A1">
            <w:pPr>
              <w:pStyle w:val="TableText"/>
              <w:jc w:val="center"/>
            </w:pPr>
            <w:r w:rsidRPr="00807FB9">
              <w:t>20</w:t>
            </w:r>
            <w:r>
              <w:t>19–</w:t>
            </w:r>
            <w:r w:rsidRPr="00807FB9">
              <w:t>20</w:t>
            </w:r>
          </w:p>
        </w:tc>
        <w:tc>
          <w:tcPr>
            <w:tcW w:w="189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4</w:t>
            </w:r>
            <w:r>
              <w:rPr>
                <w:rFonts w:cstheme="majorHAnsi"/>
                <w:color w:val="000000"/>
              </w:rPr>
              <w:t>,</w:t>
            </w:r>
            <w:r w:rsidRPr="00085539">
              <w:rPr>
                <w:rFonts w:cstheme="majorHAnsi"/>
                <w:color w:val="000000"/>
              </w:rPr>
              <w:t>323</w:t>
            </w:r>
          </w:p>
        </w:tc>
        <w:tc>
          <w:tcPr>
            <w:tcW w:w="2070" w:type="dxa"/>
            <w:tcBorders>
              <w:bottom w:val="single" w:sz="4" w:space="0" w:color="auto"/>
            </w:tcBorders>
          </w:tcPr>
          <w:p w:rsidR="008C31A1" w:rsidRPr="008C31A1" w:rsidRDefault="008C31A1" w:rsidP="008C31A1">
            <w:pPr>
              <w:pStyle w:val="TableTextCentered"/>
            </w:pPr>
            <w:r w:rsidRPr="008C31A1">
              <w:t>4,629</w:t>
            </w:r>
          </w:p>
        </w:tc>
        <w:tc>
          <w:tcPr>
            <w:tcW w:w="180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-307</w:t>
            </w:r>
          </w:p>
        </w:tc>
        <w:tc>
          <w:tcPr>
            <w:tcW w:w="1795"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-6.62</w:t>
            </w:r>
            <w:r>
              <w:rPr>
                <w:rFonts w:cstheme="majorHAnsi"/>
                <w:color w:val="000000"/>
              </w:rPr>
              <w:t>%</w:t>
            </w:r>
          </w:p>
        </w:tc>
      </w:tr>
      <w:tr w:rsidR="008C31A1" w:rsidTr="00085539">
        <w:tc>
          <w:tcPr>
            <w:tcW w:w="1795" w:type="dxa"/>
            <w:tcBorders>
              <w:bottom w:val="single" w:sz="4" w:space="0" w:color="auto"/>
            </w:tcBorders>
          </w:tcPr>
          <w:p w:rsidR="008C31A1" w:rsidRPr="00807FB9" w:rsidRDefault="008C31A1" w:rsidP="008C31A1">
            <w:pPr>
              <w:pStyle w:val="TableText"/>
              <w:jc w:val="center"/>
            </w:pPr>
            <w:r w:rsidRPr="00807FB9">
              <w:t>202</w:t>
            </w:r>
            <w:r>
              <w:t>0–2</w:t>
            </w:r>
            <w:r w:rsidRPr="00807FB9">
              <w:t>1</w:t>
            </w:r>
          </w:p>
        </w:tc>
        <w:tc>
          <w:tcPr>
            <w:tcW w:w="189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4</w:t>
            </w:r>
            <w:r>
              <w:rPr>
                <w:rFonts w:cstheme="majorHAnsi"/>
                <w:color w:val="000000"/>
              </w:rPr>
              <w:t>,</w:t>
            </w:r>
            <w:r w:rsidRPr="00085539">
              <w:rPr>
                <w:rFonts w:cstheme="majorHAnsi"/>
                <w:color w:val="000000"/>
              </w:rPr>
              <w:t>319</w:t>
            </w:r>
          </w:p>
        </w:tc>
        <w:tc>
          <w:tcPr>
            <w:tcW w:w="2070" w:type="dxa"/>
            <w:tcBorders>
              <w:bottom w:val="single" w:sz="4" w:space="0" w:color="auto"/>
            </w:tcBorders>
          </w:tcPr>
          <w:p w:rsidR="008C31A1" w:rsidRPr="008C31A1" w:rsidRDefault="008C31A1" w:rsidP="008C31A1">
            <w:pPr>
              <w:pStyle w:val="TableTextCentered"/>
            </w:pPr>
            <w:r w:rsidRPr="008C31A1">
              <w:t>4,664</w:t>
            </w:r>
          </w:p>
        </w:tc>
        <w:tc>
          <w:tcPr>
            <w:tcW w:w="180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-345</w:t>
            </w:r>
          </w:p>
        </w:tc>
        <w:tc>
          <w:tcPr>
            <w:tcW w:w="1795"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-7.4</w:t>
            </w:r>
            <w:r>
              <w:rPr>
                <w:rFonts w:cstheme="majorHAnsi"/>
                <w:color w:val="000000"/>
              </w:rPr>
              <w:t>0%</w:t>
            </w:r>
          </w:p>
        </w:tc>
      </w:tr>
      <w:tr w:rsidR="008C31A1" w:rsidTr="00085539">
        <w:tc>
          <w:tcPr>
            <w:tcW w:w="1795" w:type="dxa"/>
            <w:tcBorders>
              <w:bottom w:val="single" w:sz="4" w:space="0" w:color="auto"/>
            </w:tcBorders>
          </w:tcPr>
          <w:p w:rsidR="008C31A1" w:rsidRPr="00807FB9" w:rsidRDefault="008C31A1" w:rsidP="008C31A1">
            <w:pPr>
              <w:pStyle w:val="TableText"/>
              <w:jc w:val="center"/>
            </w:pPr>
            <w:r w:rsidRPr="00807FB9">
              <w:t>202</w:t>
            </w:r>
            <w:r>
              <w:t>1–2</w:t>
            </w:r>
            <w:r w:rsidRPr="00807FB9">
              <w:t>2</w:t>
            </w:r>
          </w:p>
        </w:tc>
        <w:tc>
          <w:tcPr>
            <w:tcW w:w="189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4</w:t>
            </w:r>
            <w:r>
              <w:rPr>
                <w:rFonts w:cstheme="majorHAnsi"/>
                <w:color w:val="000000"/>
              </w:rPr>
              <w:t>,</w:t>
            </w:r>
            <w:r w:rsidRPr="00085539">
              <w:rPr>
                <w:rFonts w:cstheme="majorHAnsi"/>
                <w:color w:val="000000"/>
              </w:rPr>
              <w:t>315</w:t>
            </w:r>
          </w:p>
        </w:tc>
        <w:tc>
          <w:tcPr>
            <w:tcW w:w="2070" w:type="dxa"/>
            <w:tcBorders>
              <w:bottom w:val="single" w:sz="4" w:space="0" w:color="auto"/>
            </w:tcBorders>
          </w:tcPr>
          <w:p w:rsidR="008C31A1" w:rsidRPr="008C31A1" w:rsidRDefault="008C31A1" w:rsidP="008C31A1">
            <w:pPr>
              <w:pStyle w:val="TableTextCentered"/>
            </w:pPr>
            <w:r w:rsidRPr="008C31A1">
              <w:t>4,692</w:t>
            </w:r>
          </w:p>
        </w:tc>
        <w:tc>
          <w:tcPr>
            <w:tcW w:w="180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-376</w:t>
            </w:r>
          </w:p>
        </w:tc>
        <w:tc>
          <w:tcPr>
            <w:tcW w:w="1795"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-8.02</w:t>
            </w:r>
            <w:r>
              <w:rPr>
                <w:rFonts w:cstheme="majorHAnsi"/>
                <w:color w:val="000000"/>
              </w:rPr>
              <w:t>%</w:t>
            </w:r>
          </w:p>
        </w:tc>
      </w:tr>
      <w:tr w:rsidR="008C31A1" w:rsidTr="00085539">
        <w:tc>
          <w:tcPr>
            <w:tcW w:w="1795" w:type="dxa"/>
            <w:tcBorders>
              <w:bottom w:val="single" w:sz="4" w:space="0" w:color="auto"/>
            </w:tcBorders>
          </w:tcPr>
          <w:p w:rsidR="008C31A1" w:rsidRPr="00807FB9" w:rsidRDefault="008C31A1" w:rsidP="008C31A1">
            <w:pPr>
              <w:pStyle w:val="TableText"/>
              <w:jc w:val="center"/>
            </w:pPr>
            <w:r w:rsidRPr="00807FB9">
              <w:t>202</w:t>
            </w:r>
            <w:r>
              <w:t>2–2</w:t>
            </w:r>
            <w:r w:rsidRPr="00807FB9">
              <w:t>3</w:t>
            </w:r>
          </w:p>
        </w:tc>
        <w:tc>
          <w:tcPr>
            <w:tcW w:w="189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4</w:t>
            </w:r>
            <w:r>
              <w:rPr>
                <w:rFonts w:cstheme="majorHAnsi"/>
                <w:color w:val="000000"/>
              </w:rPr>
              <w:t>,</w:t>
            </w:r>
            <w:r w:rsidRPr="00085539">
              <w:rPr>
                <w:rFonts w:cstheme="majorHAnsi"/>
                <w:color w:val="000000"/>
              </w:rPr>
              <w:t>313</w:t>
            </w:r>
          </w:p>
        </w:tc>
        <w:tc>
          <w:tcPr>
            <w:tcW w:w="2070" w:type="dxa"/>
            <w:tcBorders>
              <w:bottom w:val="single" w:sz="4" w:space="0" w:color="auto"/>
            </w:tcBorders>
          </w:tcPr>
          <w:p w:rsidR="008C31A1" w:rsidRPr="008C31A1" w:rsidRDefault="008C31A1" w:rsidP="008C31A1">
            <w:pPr>
              <w:pStyle w:val="TableTextCentered"/>
            </w:pPr>
            <w:r w:rsidRPr="008C31A1">
              <w:t>4,717</w:t>
            </w:r>
          </w:p>
        </w:tc>
        <w:tc>
          <w:tcPr>
            <w:tcW w:w="1800"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-405</w:t>
            </w:r>
          </w:p>
        </w:tc>
        <w:tc>
          <w:tcPr>
            <w:tcW w:w="1795" w:type="dxa"/>
            <w:tcBorders>
              <w:bottom w:val="single" w:sz="4" w:space="0" w:color="auto"/>
            </w:tcBorders>
            <w:vAlign w:val="bottom"/>
          </w:tcPr>
          <w:p w:rsidR="008C31A1" w:rsidRPr="009F4481" w:rsidRDefault="008C31A1" w:rsidP="008C31A1">
            <w:pPr>
              <w:pStyle w:val="TableTextCentered"/>
              <w:rPr>
                <w:rFonts w:cstheme="majorHAnsi"/>
              </w:rPr>
            </w:pPr>
            <w:r w:rsidRPr="00085539">
              <w:rPr>
                <w:rFonts w:cstheme="majorHAnsi"/>
                <w:color w:val="000000"/>
              </w:rPr>
              <w:t>-8.58</w:t>
            </w:r>
            <w:r>
              <w:rPr>
                <w:rFonts w:cstheme="majorHAnsi"/>
                <w:color w:val="000000"/>
              </w:rPr>
              <w:t>%</w:t>
            </w:r>
          </w:p>
        </w:tc>
      </w:tr>
      <w:tr w:rsidR="008C31A1" w:rsidTr="00085539">
        <w:tc>
          <w:tcPr>
            <w:tcW w:w="1795" w:type="dxa"/>
          </w:tcPr>
          <w:p w:rsidR="008C31A1" w:rsidRPr="00807FB9" w:rsidRDefault="008C31A1" w:rsidP="008C31A1">
            <w:pPr>
              <w:pStyle w:val="TableText"/>
              <w:jc w:val="center"/>
            </w:pPr>
            <w:r w:rsidRPr="00807FB9">
              <w:t>202</w:t>
            </w:r>
            <w:r>
              <w:t>3–2</w:t>
            </w:r>
            <w:r w:rsidRPr="00807FB9">
              <w:t>4</w:t>
            </w:r>
          </w:p>
        </w:tc>
        <w:tc>
          <w:tcPr>
            <w:tcW w:w="1890" w:type="dxa"/>
            <w:vAlign w:val="bottom"/>
          </w:tcPr>
          <w:p w:rsidR="008C31A1" w:rsidRPr="009F4481" w:rsidRDefault="008C31A1" w:rsidP="008C31A1">
            <w:pPr>
              <w:pStyle w:val="TableTextCentered"/>
              <w:rPr>
                <w:rFonts w:cstheme="majorHAnsi"/>
              </w:rPr>
            </w:pPr>
            <w:r w:rsidRPr="00085539">
              <w:rPr>
                <w:rFonts w:cstheme="majorHAnsi"/>
                <w:color w:val="000000"/>
              </w:rPr>
              <w:t>4</w:t>
            </w:r>
            <w:r>
              <w:rPr>
                <w:rFonts w:cstheme="majorHAnsi"/>
                <w:color w:val="000000"/>
              </w:rPr>
              <w:t>,</w:t>
            </w:r>
            <w:r w:rsidRPr="00085539">
              <w:rPr>
                <w:rFonts w:cstheme="majorHAnsi"/>
                <w:color w:val="000000"/>
              </w:rPr>
              <w:t>311</w:t>
            </w:r>
          </w:p>
        </w:tc>
        <w:tc>
          <w:tcPr>
            <w:tcW w:w="2070" w:type="dxa"/>
          </w:tcPr>
          <w:p w:rsidR="008C31A1" w:rsidRPr="008C31A1" w:rsidRDefault="008C31A1" w:rsidP="008C31A1">
            <w:pPr>
              <w:pStyle w:val="TableTextCentered"/>
            </w:pPr>
            <w:r w:rsidRPr="008C31A1">
              <w:t>4,736</w:t>
            </w:r>
          </w:p>
        </w:tc>
        <w:tc>
          <w:tcPr>
            <w:tcW w:w="1800" w:type="dxa"/>
            <w:vAlign w:val="bottom"/>
          </w:tcPr>
          <w:p w:rsidR="008C31A1" w:rsidRPr="009F4481" w:rsidRDefault="008C31A1" w:rsidP="008C31A1">
            <w:pPr>
              <w:pStyle w:val="TableTextCentered"/>
              <w:rPr>
                <w:rFonts w:cstheme="majorHAnsi"/>
              </w:rPr>
            </w:pPr>
            <w:r w:rsidRPr="00085539">
              <w:rPr>
                <w:rFonts w:cstheme="majorHAnsi"/>
                <w:color w:val="000000"/>
              </w:rPr>
              <w:t>-425</w:t>
            </w:r>
          </w:p>
        </w:tc>
        <w:tc>
          <w:tcPr>
            <w:tcW w:w="1795" w:type="dxa"/>
            <w:vAlign w:val="bottom"/>
          </w:tcPr>
          <w:p w:rsidR="008C31A1" w:rsidRPr="009F4481" w:rsidRDefault="008C31A1" w:rsidP="008C31A1">
            <w:pPr>
              <w:pStyle w:val="TableTextCentered"/>
              <w:rPr>
                <w:rFonts w:cstheme="majorHAnsi"/>
              </w:rPr>
            </w:pPr>
            <w:r w:rsidRPr="00085539">
              <w:rPr>
                <w:rFonts w:cstheme="majorHAnsi"/>
                <w:color w:val="000000"/>
              </w:rPr>
              <w:t>-8.98</w:t>
            </w:r>
            <w:r>
              <w:rPr>
                <w:rFonts w:cstheme="majorHAnsi"/>
                <w:color w:val="000000"/>
              </w:rPr>
              <w:t>%</w:t>
            </w:r>
          </w:p>
        </w:tc>
      </w:tr>
    </w:tbl>
    <w:p w:rsidR="00C157EC" w:rsidRPr="00316BF7" w:rsidRDefault="00C157EC" w:rsidP="00E26AE5">
      <w:pPr>
        <w:pStyle w:val="FigureTitle"/>
      </w:pPr>
      <w:proofErr w:type="gramStart"/>
      <w:r>
        <w:t>Figure 19.</w:t>
      </w:r>
      <w:proofErr w:type="gramEnd"/>
      <w:r>
        <w:t xml:space="preserve"> Historical and Projected Statewide Supply and Demand for Minority Teachers in Terms of FTEs, 2008-09</w:t>
      </w:r>
      <w:r w:rsidR="0092042A">
        <w:t xml:space="preserve"> </w:t>
      </w:r>
      <w:proofErr w:type="gramStart"/>
      <w:r w:rsidR="0092042A">
        <w:t>Through</w:t>
      </w:r>
      <w:proofErr w:type="gramEnd"/>
      <w:r w:rsidR="0092042A">
        <w:t xml:space="preserve"> </w:t>
      </w:r>
      <w:r>
        <w:t>2023-24</w:t>
      </w:r>
    </w:p>
    <w:p w:rsidR="00C157EC" w:rsidRDefault="002A3858" w:rsidP="00E26AE5">
      <w:pPr>
        <w:pStyle w:val="FigurePlacement"/>
      </w:pPr>
      <w:r w:rsidRPr="002A3858">
        <w:t xml:space="preserve"> </w:t>
      </w:r>
      <w:r w:rsidRPr="002A3858">
        <w:rPr>
          <w:noProof/>
          <w:lang w:eastAsia="zh-CN" w:bidi="km-KH"/>
        </w:rPr>
        <w:drawing>
          <wp:inline distT="0" distB="0" distL="0" distR="0">
            <wp:extent cx="5667375" cy="3657371"/>
            <wp:effectExtent l="19050" t="0" r="9525" b="0"/>
            <wp:docPr id="16" name="Picture 16" descr="On the other hand, given that the demand for minority teachers is projected to increase, while supply is projected to decline, the AIR research team expects to see a slight shortage of minority teachers (Table 15 and Figure 19). Specifically, a shortage of 105 teachers in 2014–15 (2.35 percent) is projected, which will grow slightly to 425 teachers (8.98 percent) by 2023–24.&#10;&#10;Figure 19. Historical and Projected Statewide Supply and Demand for Minority Teachers in Terms of FTE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32" r="2735" b="5089"/>
                    <a:stretch/>
                  </pic:blipFill>
                  <pic:spPr bwMode="auto">
                    <a:xfrm>
                      <a:off x="0" y="0"/>
                      <a:ext cx="5675913" cy="36628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E26AE5">
      <w:pPr>
        <w:pStyle w:val="BodyText"/>
      </w:pPr>
      <w:r>
        <w:t>The projected shortage of minority teachers appears largely due to the sharp projected increase in demand, given that there is a much smaller relative decline in expected supply of minority teachers. It is important to note that ESE seems to be concerned with this issue, given it is already implementing initiatives to increase the diversity of its teacher workforce.</w:t>
      </w:r>
      <w:r w:rsidR="00FE1460">
        <w:t xml:space="preserve"> Moreover, this aggregate finding is in line with findings an earlier workforce report conducted in Massachusetts (ESE 2011).</w:t>
      </w:r>
    </w:p>
    <w:p w:rsidR="00D46F17" w:rsidRDefault="00EB58A1" w:rsidP="00E26AE5">
      <w:pPr>
        <w:pStyle w:val="BodyText"/>
      </w:pPr>
      <w:r>
        <w:t xml:space="preserve">Given the small proportion of minority teachers statewide, it is possible that a few high-minority regions are driving the results </w:t>
      </w:r>
      <w:r w:rsidR="00AF0242">
        <w:t xml:space="preserve">presented </w:t>
      </w:r>
      <w:r>
        <w:t>above. To determine if this is the case</w:t>
      </w:r>
      <w:r w:rsidR="00D46F17">
        <w:t xml:space="preserve">, the research team also analyzed the </w:t>
      </w:r>
      <w:r w:rsidR="00DC60BD">
        <w:t xml:space="preserve">minority teacher </w:t>
      </w:r>
      <w:r w:rsidR="00D46F17">
        <w:t>demand and supply projections by DSAC region</w:t>
      </w:r>
      <w:r w:rsidR="00DC60BD">
        <w:t xml:space="preserve">, with </w:t>
      </w:r>
      <w:r w:rsidR="00D46F17">
        <w:t xml:space="preserve">shortages </w:t>
      </w:r>
      <w:r w:rsidR="00DC60BD">
        <w:t xml:space="preserve">being </w:t>
      </w:r>
      <w:r w:rsidR="00D46F17">
        <w:t xml:space="preserve">found in all regions except the Southeast. The </w:t>
      </w:r>
      <w:r w:rsidR="00DC60BD">
        <w:t xml:space="preserve">projected </w:t>
      </w:r>
      <w:r w:rsidR="00D46F17">
        <w:t xml:space="preserve">shortages in the Berkshires +, Commissioner’s Districts, and Northeast regions </w:t>
      </w:r>
      <w:r w:rsidR="00390660">
        <w:t xml:space="preserve">show expected increasing trends and </w:t>
      </w:r>
      <w:r w:rsidR="00D46F17">
        <w:t xml:space="preserve">exceed the statewide average shortage in the final projected year. In contrast, </w:t>
      </w:r>
      <w:r w:rsidR="00390660">
        <w:t xml:space="preserve">expected </w:t>
      </w:r>
      <w:r w:rsidR="00D46F17">
        <w:t xml:space="preserve">surpluses of White teachers were found in all regions except the Commissioner’s Districts, </w:t>
      </w:r>
      <w:r w:rsidR="00390660">
        <w:t xml:space="preserve">with </w:t>
      </w:r>
      <w:r w:rsidR="00D46F17">
        <w:t>the Greater Boston and Northeast regions expect</w:t>
      </w:r>
      <w:r w:rsidR="00390660">
        <w:t>ing</w:t>
      </w:r>
      <w:r w:rsidR="00D46F17">
        <w:t xml:space="preserve"> to see both shortages and surpluses </w:t>
      </w:r>
      <w:r w:rsidR="00390660">
        <w:t xml:space="preserve">over the 10-year </w:t>
      </w:r>
      <w:r w:rsidR="00315720">
        <w:t>projection</w:t>
      </w:r>
      <w:r w:rsidR="00390660">
        <w:t xml:space="preserve"> period</w:t>
      </w:r>
      <w:r w:rsidR="00315720">
        <w:t>,</w:t>
      </w:r>
      <w:r w:rsidR="00390660">
        <w:t xml:space="preserve"> </w:t>
      </w:r>
      <w:r w:rsidR="00D46F17">
        <w:t xml:space="preserve">2014-15 </w:t>
      </w:r>
      <w:r w:rsidR="00390660">
        <w:t xml:space="preserve">to </w:t>
      </w:r>
      <w:r w:rsidR="00D46F17">
        <w:t>2023-24.</w:t>
      </w:r>
    </w:p>
    <w:p w:rsidR="004C058D" w:rsidRDefault="00D46F17" w:rsidP="00E26AE5">
      <w:pPr>
        <w:pStyle w:val="BodyText"/>
      </w:pPr>
      <w:r>
        <w:t xml:space="preserve">In general, the above results suggest that the regional trends in the projected demand and supply of minority and White teachers follow the aggregate trends, with a few exceptions. However, as the Commissioner’s Districts region employs the majority of minority teachers, the results in this region warrant closer examination. </w:t>
      </w:r>
      <w:r w:rsidR="00675428">
        <w:t xml:space="preserve">The expected shortages of minority teachers </w:t>
      </w:r>
      <w:r w:rsidR="002C0128">
        <w:t xml:space="preserve">in this region </w:t>
      </w:r>
      <w:r w:rsidR="00675428">
        <w:t>results from the fact that the demand for these teachers is expected to increase while the supply is expected to decline. Specifically, th</w:t>
      </w:r>
      <w:r w:rsidR="00881FF8">
        <w:t>e</w:t>
      </w:r>
      <w:r w:rsidR="00675428">
        <w:t xml:space="preserve"> results </w:t>
      </w:r>
      <w:r w:rsidR="00390660">
        <w:t xml:space="preserve">suggest there will be </w:t>
      </w:r>
      <w:r w:rsidR="00675428">
        <w:t>a</w:t>
      </w:r>
      <w:r w:rsidR="006F6354">
        <w:t>n expected shortage of 96 teachers (3.47</w:t>
      </w:r>
      <w:r w:rsidR="00675428">
        <w:t xml:space="preserve"> percent) </w:t>
      </w:r>
      <w:r w:rsidR="00390660">
        <w:t xml:space="preserve">in </w:t>
      </w:r>
      <w:r w:rsidR="002C0128">
        <w:t xml:space="preserve">the Commissioner’s Districts </w:t>
      </w:r>
      <w:r w:rsidR="00675428">
        <w:t xml:space="preserve">in 2014-15 which </w:t>
      </w:r>
      <w:r w:rsidR="004C058D">
        <w:t>will grow</w:t>
      </w:r>
      <w:r w:rsidR="006F6354">
        <w:t xml:space="preserve"> to 403 teachers (14.08</w:t>
      </w:r>
      <w:r w:rsidR="00675428">
        <w:t xml:space="preserve"> percent) by 2023-24 (Table 16 and Figure 20).</w:t>
      </w:r>
    </w:p>
    <w:p w:rsidR="000E3C72" w:rsidRDefault="000E3C72" w:rsidP="000E3C72">
      <w:pPr>
        <w:pStyle w:val="TableTitle"/>
      </w:pPr>
      <w:proofErr w:type="gramStart"/>
      <w:r>
        <w:t>Table 16</w:t>
      </w:r>
      <w:r w:rsidRPr="00CC4696">
        <w:t>.</w:t>
      </w:r>
      <w:proofErr w:type="gramEnd"/>
      <w:r w:rsidRPr="00CC4696">
        <w:t xml:space="preserve"> Projected </w:t>
      </w:r>
      <w:r>
        <w:t xml:space="preserve">Statewide </w:t>
      </w:r>
      <w:r w:rsidRPr="00CC4696">
        <w:t>Demand</w:t>
      </w:r>
      <w:r>
        <w:t xml:space="preserve"> and </w:t>
      </w:r>
      <w:r w:rsidRPr="00CC4696">
        <w:t>Supply</w:t>
      </w:r>
      <w:r w:rsidR="00AB1442">
        <w:t xml:space="preserve"> of </w:t>
      </w:r>
      <w:r>
        <w:t>Minority Teachers in Terms of FTEs</w:t>
      </w:r>
      <w:r w:rsidRPr="00CC4696">
        <w:t xml:space="preserve"> and Absolute </w:t>
      </w:r>
      <w:r>
        <w:t xml:space="preserve">and </w:t>
      </w:r>
      <w:r w:rsidRPr="00CC4696">
        <w:t>Relative Differences</w:t>
      </w:r>
      <w:r>
        <w:t xml:space="preserve"> in the Commissioner’s Districts Region,</w:t>
      </w:r>
      <w:r w:rsidRPr="00CC4696">
        <w:t xml:space="preserve"> </w:t>
      </w:r>
      <w:r>
        <w:t>2014–15</w:t>
      </w:r>
      <w:r w:rsidR="0092042A">
        <w:t xml:space="preserve"> Through </w:t>
      </w:r>
      <w:r w:rsidRPr="00CC4696">
        <w:t>2023</w:t>
      </w:r>
      <w:r>
        <w:t>–</w:t>
      </w:r>
      <w:r w:rsidRPr="00CC4696">
        <w:t>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1"/>
        <w:gridCol w:w="1936"/>
        <w:gridCol w:w="2026"/>
        <w:gridCol w:w="1875"/>
        <w:gridCol w:w="1808"/>
      </w:tblGrid>
      <w:tr w:rsidR="00A57C8A" w:rsidTr="000011FF">
        <w:tc>
          <w:tcPr>
            <w:tcW w:w="1008" w:type="pct"/>
            <w:shd w:val="clear" w:color="auto" w:fill="B4C8DC" w:themeFill="accent1" w:themeFillTint="66"/>
            <w:vAlign w:val="center"/>
          </w:tcPr>
          <w:p w:rsidR="00A57C8A" w:rsidRPr="00A57C8A" w:rsidRDefault="00A57C8A" w:rsidP="00BD18E1">
            <w:pPr>
              <w:jc w:val="center"/>
              <w:rPr>
                <w:rFonts w:asciiTheme="majorHAnsi" w:hAnsiTheme="majorHAnsi" w:cstheme="majorHAnsi"/>
                <w:b/>
                <w:sz w:val="20"/>
                <w:szCs w:val="20"/>
              </w:rPr>
            </w:pPr>
            <w:r w:rsidRPr="00A57C8A">
              <w:rPr>
                <w:rFonts w:asciiTheme="majorHAnsi" w:hAnsiTheme="majorHAnsi" w:cstheme="majorHAnsi"/>
                <w:b/>
                <w:sz w:val="20"/>
                <w:szCs w:val="20"/>
              </w:rPr>
              <w:t>Year</w:t>
            </w:r>
          </w:p>
        </w:tc>
        <w:tc>
          <w:tcPr>
            <w:tcW w:w="1011" w:type="pct"/>
            <w:shd w:val="clear" w:color="auto" w:fill="B4C8DC" w:themeFill="accent1" w:themeFillTint="66"/>
            <w:vAlign w:val="center"/>
          </w:tcPr>
          <w:p w:rsidR="00A57C8A" w:rsidRPr="00A57C8A" w:rsidRDefault="00A57C8A" w:rsidP="00A57C8A">
            <w:pPr>
              <w:widowControl w:val="0"/>
              <w:autoSpaceDE w:val="0"/>
              <w:autoSpaceDN w:val="0"/>
              <w:adjustRightInd w:val="0"/>
              <w:jc w:val="center"/>
              <w:rPr>
                <w:rFonts w:asciiTheme="majorHAnsi" w:hAnsiTheme="majorHAnsi" w:cstheme="majorHAnsi"/>
                <w:b/>
                <w:sz w:val="20"/>
                <w:szCs w:val="20"/>
              </w:rPr>
            </w:pPr>
            <w:r w:rsidRPr="00A57C8A">
              <w:rPr>
                <w:rFonts w:asciiTheme="majorHAnsi" w:hAnsiTheme="majorHAnsi" w:cstheme="majorHAnsi"/>
                <w:b/>
                <w:sz w:val="20"/>
                <w:szCs w:val="20"/>
              </w:rPr>
              <w:t>Projected Supply</w:t>
            </w:r>
          </w:p>
        </w:tc>
        <w:tc>
          <w:tcPr>
            <w:tcW w:w="1058" w:type="pct"/>
            <w:shd w:val="clear" w:color="auto" w:fill="B4C8DC" w:themeFill="accent1" w:themeFillTint="66"/>
            <w:vAlign w:val="center"/>
          </w:tcPr>
          <w:p w:rsidR="00A57C8A" w:rsidRPr="00A57C8A" w:rsidRDefault="00A57C8A" w:rsidP="00A57C8A">
            <w:pPr>
              <w:widowControl w:val="0"/>
              <w:autoSpaceDE w:val="0"/>
              <w:autoSpaceDN w:val="0"/>
              <w:adjustRightInd w:val="0"/>
              <w:jc w:val="center"/>
              <w:rPr>
                <w:rFonts w:asciiTheme="majorHAnsi" w:hAnsiTheme="majorHAnsi" w:cstheme="majorHAnsi"/>
                <w:b/>
                <w:sz w:val="20"/>
                <w:szCs w:val="20"/>
              </w:rPr>
            </w:pPr>
            <w:r w:rsidRPr="00A57C8A">
              <w:rPr>
                <w:rFonts w:asciiTheme="majorHAnsi" w:hAnsiTheme="majorHAnsi" w:cstheme="majorHAnsi"/>
                <w:b/>
                <w:sz w:val="20"/>
                <w:szCs w:val="20"/>
              </w:rPr>
              <w:t>Projected Demand</w:t>
            </w:r>
          </w:p>
        </w:tc>
        <w:tc>
          <w:tcPr>
            <w:tcW w:w="979" w:type="pct"/>
            <w:shd w:val="clear" w:color="auto" w:fill="B4C8DC" w:themeFill="accent1" w:themeFillTint="66"/>
            <w:vAlign w:val="center"/>
          </w:tcPr>
          <w:p w:rsidR="00A57C8A" w:rsidRDefault="00A57C8A" w:rsidP="00A57C8A">
            <w:pPr>
              <w:widowControl w:val="0"/>
              <w:autoSpaceDE w:val="0"/>
              <w:autoSpaceDN w:val="0"/>
              <w:adjustRightInd w:val="0"/>
              <w:jc w:val="center"/>
              <w:rPr>
                <w:rFonts w:asciiTheme="majorHAnsi" w:hAnsiTheme="majorHAnsi" w:cstheme="majorHAnsi"/>
                <w:b/>
                <w:sz w:val="20"/>
                <w:szCs w:val="20"/>
              </w:rPr>
            </w:pPr>
            <w:r>
              <w:rPr>
                <w:rFonts w:asciiTheme="majorHAnsi" w:hAnsiTheme="majorHAnsi" w:cstheme="majorHAnsi"/>
                <w:b/>
                <w:sz w:val="20"/>
                <w:szCs w:val="20"/>
              </w:rPr>
              <w:t>Absolute Difference B</w:t>
            </w:r>
            <w:r w:rsidRPr="00A57C8A">
              <w:rPr>
                <w:rFonts w:asciiTheme="majorHAnsi" w:hAnsiTheme="majorHAnsi" w:cstheme="majorHAnsi"/>
                <w:b/>
                <w:sz w:val="20"/>
                <w:szCs w:val="20"/>
              </w:rPr>
              <w:t>etween Supply and Demand</w:t>
            </w:r>
          </w:p>
        </w:tc>
        <w:tc>
          <w:tcPr>
            <w:tcW w:w="944" w:type="pct"/>
            <w:shd w:val="clear" w:color="auto" w:fill="B4C8DC" w:themeFill="accent1" w:themeFillTint="66"/>
            <w:vAlign w:val="center"/>
          </w:tcPr>
          <w:p w:rsidR="00A57C8A" w:rsidRPr="00A57C8A" w:rsidRDefault="00A57C8A" w:rsidP="00A57C8A">
            <w:pPr>
              <w:widowControl w:val="0"/>
              <w:autoSpaceDE w:val="0"/>
              <w:autoSpaceDN w:val="0"/>
              <w:adjustRightInd w:val="0"/>
              <w:jc w:val="center"/>
              <w:rPr>
                <w:rFonts w:asciiTheme="majorHAnsi" w:hAnsiTheme="majorHAnsi" w:cstheme="majorHAnsi"/>
                <w:b/>
                <w:sz w:val="20"/>
                <w:szCs w:val="20"/>
              </w:rPr>
            </w:pPr>
            <w:r>
              <w:rPr>
                <w:rFonts w:asciiTheme="majorHAnsi" w:hAnsiTheme="majorHAnsi" w:cstheme="majorHAnsi"/>
                <w:b/>
                <w:sz w:val="20"/>
                <w:szCs w:val="20"/>
              </w:rPr>
              <w:t>Relative Difference B</w:t>
            </w:r>
            <w:r w:rsidRPr="00A57C8A">
              <w:rPr>
                <w:rFonts w:asciiTheme="majorHAnsi" w:hAnsiTheme="majorHAnsi" w:cstheme="majorHAnsi"/>
                <w:b/>
                <w:sz w:val="20"/>
                <w:szCs w:val="20"/>
              </w:rPr>
              <w:t>etween Supply and Demand</w:t>
            </w:r>
          </w:p>
        </w:tc>
      </w:tr>
      <w:tr w:rsidR="00A57C8A" w:rsidTr="000011FF">
        <w:tc>
          <w:tcPr>
            <w:tcW w:w="1008" w:type="pct"/>
            <w:vAlign w:val="center"/>
          </w:tcPr>
          <w:p w:rsidR="00A57C8A" w:rsidRPr="00A57C8A" w:rsidRDefault="00A57C8A" w:rsidP="00BD18E1">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2014–15</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663</w:t>
            </w:r>
          </w:p>
        </w:tc>
        <w:tc>
          <w:tcPr>
            <w:tcW w:w="1058"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759</w:t>
            </w:r>
          </w:p>
        </w:tc>
        <w:tc>
          <w:tcPr>
            <w:tcW w:w="979"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-96</w:t>
            </w:r>
          </w:p>
        </w:tc>
        <w:tc>
          <w:tcPr>
            <w:tcW w:w="944"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-3.47</w:t>
            </w:r>
            <w:r>
              <w:rPr>
                <w:rFonts w:asciiTheme="majorHAnsi" w:hAnsiTheme="majorHAnsi" w:cstheme="majorHAnsi"/>
                <w:sz w:val="20"/>
                <w:szCs w:val="20"/>
              </w:rPr>
              <w:t>%</w:t>
            </w:r>
          </w:p>
        </w:tc>
      </w:tr>
      <w:tr w:rsidR="00A57C8A" w:rsidTr="000011FF">
        <w:tc>
          <w:tcPr>
            <w:tcW w:w="1008" w:type="pct"/>
            <w:vAlign w:val="center"/>
          </w:tcPr>
          <w:p w:rsidR="00A57C8A" w:rsidRPr="00A57C8A" w:rsidRDefault="00A57C8A" w:rsidP="00BD18E1">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2015–16</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639</w:t>
            </w:r>
          </w:p>
        </w:tc>
        <w:tc>
          <w:tcPr>
            <w:tcW w:w="1058"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776</w:t>
            </w:r>
          </w:p>
        </w:tc>
        <w:tc>
          <w:tcPr>
            <w:tcW w:w="979"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-137</w:t>
            </w:r>
          </w:p>
        </w:tc>
        <w:tc>
          <w:tcPr>
            <w:tcW w:w="944"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-4.93</w:t>
            </w:r>
            <w:r>
              <w:rPr>
                <w:rFonts w:asciiTheme="majorHAnsi" w:hAnsiTheme="majorHAnsi" w:cstheme="majorHAnsi"/>
                <w:sz w:val="20"/>
                <w:szCs w:val="20"/>
              </w:rPr>
              <w:t>%</w:t>
            </w:r>
          </w:p>
        </w:tc>
      </w:tr>
      <w:tr w:rsidR="00A57C8A" w:rsidTr="000011FF">
        <w:tc>
          <w:tcPr>
            <w:tcW w:w="1008" w:type="pct"/>
            <w:vAlign w:val="center"/>
          </w:tcPr>
          <w:p w:rsidR="00A57C8A" w:rsidRPr="00A57C8A" w:rsidRDefault="00A57C8A" w:rsidP="00BD18E1">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2016–17</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616</w:t>
            </w:r>
          </w:p>
        </w:tc>
        <w:tc>
          <w:tcPr>
            <w:tcW w:w="1058"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792</w:t>
            </w:r>
          </w:p>
        </w:tc>
        <w:tc>
          <w:tcPr>
            <w:tcW w:w="979"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-176</w:t>
            </w:r>
          </w:p>
        </w:tc>
        <w:tc>
          <w:tcPr>
            <w:tcW w:w="944"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-6.32</w:t>
            </w:r>
            <w:r>
              <w:rPr>
                <w:rFonts w:asciiTheme="majorHAnsi" w:hAnsiTheme="majorHAnsi" w:cstheme="majorHAnsi"/>
                <w:sz w:val="20"/>
                <w:szCs w:val="20"/>
              </w:rPr>
              <w:t>%</w:t>
            </w:r>
          </w:p>
        </w:tc>
      </w:tr>
      <w:tr w:rsidR="00A57C8A" w:rsidTr="000011FF">
        <w:tc>
          <w:tcPr>
            <w:tcW w:w="1008" w:type="pct"/>
            <w:vAlign w:val="center"/>
          </w:tcPr>
          <w:p w:rsidR="00A57C8A" w:rsidRPr="00A57C8A" w:rsidRDefault="00A57C8A" w:rsidP="00BD18E1">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2017–18</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593</w:t>
            </w:r>
          </w:p>
        </w:tc>
        <w:tc>
          <w:tcPr>
            <w:tcW w:w="1058"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810</w:t>
            </w:r>
          </w:p>
        </w:tc>
        <w:tc>
          <w:tcPr>
            <w:tcW w:w="979"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-217</w:t>
            </w:r>
          </w:p>
        </w:tc>
        <w:tc>
          <w:tcPr>
            <w:tcW w:w="944"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-7.72</w:t>
            </w:r>
            <w:r>
              <w:rPr>
                <w:rFonts w:asciiTheme="majorHAnsi" w:hAnsiTheme="majorHAnsi" w:cstheme="majorHAnsi"/>
                <w:sz w:val="20"/>
                <w:szCs w:val="20"/>
              </w:rPr>
              <w:t>%</w:t>
            </w:r>
          </w:p>
        </w:tc>
      </w:tr>
      <w:tr w:rsidR="00A57C8A" w:rsidTr="000011FF">
        <w:tc>
          <w:tcPr>
            <w:tcW w:w="1008" w:type="pct"/>
            <w:vAlign w:val="center"/>
          </w:tcPr>
          <w:p w:rsidR="00A57C8A" w:rsidRPr="00A57C8A" w:rsidRDefault="00A57C8A" w:rsidP="00BD18E1">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2018–19</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570</w:t>
            </w:r>
          </w:p>
        </w:tc>
        <w:tc>
          <w:tcPr>
            <w:tcW w:w="1058"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821</w:t>
            </w:r>
          </w:p>
        </w:tc>
        <w:tc>
          <w:tcPr>
            <w:tcW w:w="979"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-252</w:t>
            </w:r>
          </w:p>
        </w:tc>
        <w:tc>
          <w:tcPr>
            <w:tcW w:w="944"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-8.93</w:t>
            </w:r>
            <w:r>
              <w:rPr>
                <w:rFonts w:asciiTheme="majorHAnsi" w:hAnsiTheme="majorHAnsi" w:cstheme="majorHAnsi"/>
                <w:sz w:val="20"/>
                <w:szCs w:val="20"/>
              </w:rPr>
              <w:t>%</w:t>
            </w:r>
          </w:p>
        </w:tc>
      </w:tr>
      <w:tr w:rsidR="00A57C8A" w:rsidTr="000011FF">
        <w:tc>
          <w:tcPr>
            <w:tcW w:w="1008" w:type="pct"/>
            <w:vAlign w:val="center"/>
          </w:tcPr>
          <w:p w:rsidR="00A57C8A" w:rsidRPr="00A57C8A" w:rsidRDefault="00A57C8A" w:rsidP="00BD18E1">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2019–20</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547</w:t>
            </w:r>
          </w:p>
        </w:tc>
        <w:tc>
          <w:tcPr>
            <w:tcW w:w="1058"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831</w:t>
            </w:r>
          </w:p>
        </w:tc>
        <w:tc>
          <w:tcPr>
            <w:tcW w:w="979"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-284</w:t>
            </w:r>
          </w:p>
        </w:tc>
        <w:tc>
          <w:tcPr>
            <w:tcW w:w="944"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-10.05</w:t>
            </w:r>
            <w:r>
              <w:rPr>
                <w:rFonts w:asciiTheme="majorHAnsi" w:hAnsiTheme="majorHAnsi" w:cstheme="majorHAnsi"/>
                <w:sz w:val="20"/>
                <w:szCs w:val="20"/>
              </w:rPr>
              <w:t>%</w:t>
            </w:r>
          </w:p>
        </w:tc>
      </w:tr>
      <w:tr w:rsidR="00A57C8A" w:rsidTr="000011FF">
        <w:tc>
          <w:tcPr>
            <w:tcW w:w="1008" w:type="pct"/>
            <w:vAlign w:val="center"/>
          </w:tcPr>
          <w:p w:rsidR="00A57C8A" w:rsidRPr="00A57C8A" w:rsidRDefault="00A57C8A" w:rsidP="00BD18E1">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2020–21</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524</w:t>
            </w:r>
          </w:p>
        </w:tc>
        <w:tc>
          <w:tcPr>
            <w:tcW w:w="1058"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846</w:t>
            </w:r>
          </w:p>
        </w:tc>
        <w:tc>
          <w:tcPr>
            <w:tcW w:w="979"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-321</w:t>
            </w:r>
          </w:p>
        </w:tc>
        <w:tc>
          <w:tcPr>
            <w:tcW w:w="944"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-11.3</w:t>
            </w:r>
            <w:r>
              <w:rPr>
                <w:rFonts w:asciiTheme="majorHAnsi" w:hAnsiTheme="majorHAnsi" w:cstheme="majorHAnsi"/>
                <w:sz w:val="20"/>
                <w:szCs w:val="20"/>
              </w:rPr>
              <w:t>0%</w:t>
            </w:r>
          </w:p>
        </w:tc>
      </w:tr>
      <w:tr w:rsidR="00A57C8A" w:rsidTr="000011FF">
        <w:tc>
          <w:tcPr>
            <w:tcW w:w="1008" w:type="pct"/>
            <w:vAlign w:val="center"/>
          </w:tcPr>
          <w:p w:rsidR="00A57C8A" w:rsidRPr="00A57C8A" w:rsidRDefault="00A57C8A" w:rsidP="00BD18E1">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2021–22</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502</w:t>
            </w:r>
          </w:p>
        </w:tc>
        <w:tc>
          <w:tcPr>
            <w:tcW w:w="1058"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854</w:t>
            </w:r>
          </w:p>
        </w:tc>
        <w:tc>
          <w:tcPr>
            <w:tcW w:w="979"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-352</w:t>
            </w:r>
          </w:p>
        </w:tc>
        <w:tc>
          <w:tcPr>
            <w:tcW w:w="944"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-12.34</w:t>
            </w:r>
            <w:r>
              <w:rPr>
                <w:rFonts w:asciiTheme="majorHAnsi" w:hAnsiTheme="majorHAnsi" w:cstheme="majorHAnsi"/>
                <w:sz w:val="20"/>
                <w:szCs w:val="20"/>
              </w:rPr>
              <w:t>%</w:t>
            </w:r>
          </w:p>
        </w:tc>
      </w:tr>
      <w:tr w:rsidR="00A57C8A" w:rsidTr="000011FF">
        <w:tc>
          <w:tcPr>
            <w:tcW w:w="1008" w:type="pct"/>
            <w:vAlign w:val="center"/>
          </w:tcPr>
          <w:p w:rsidR="00A57C8A" w:rsidRPr="00A57C8A" w:rsidRDefault="00A57C8A" w:rsidP="00BD18E1">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2022–23</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479</w:t>
            </w:r>
          </w:p>
        </w:tc>
        <w:tc>
          <w:tcPr>
            <w:tcW w:w="1058"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860</w:t>
            </w:r>
          </w:p>
        </w:tc>
        <w:tc>
          <w:tcPr>
            <w:tcW w:w="979"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-381</w:t>
            </w:r>
          </w:p>
        </w:tc>
        <w:tc>
          <w:tcPr>
            <w:tcW w:w="944"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-13.32</w:t>
            </w:r>
            <w:r>
              <w:rPr>
                <w:rFonts w:asciiTheme="majorHAnsi" w:hAnsiTheme="majorHAnsi" w:cstheme="majorHAnsi"/>
                <w:sz w:val="20"/>
                <w:szCs w:val="20"/>
              </w:rPr>
              <w:t>%</w:t>
            </w:r>
          </w:p>
        </w:tc>
      </w:tr>
      <w:tr w:rsidR="00A57C8A" w:rsidTr="000011FF">
        <w:tc>
          <w:tcPr>
            <w:tcW w:w="1008" w:type="pct"/>
            <w:vAlign w:val="center"/>
          </w:tcPr>
          <w:p w:rsidR="00A57C8A" w:rsidRPr="00A57C8A" w:rsidRDefault="00A57C8A" w:rsidP="00BD18E1">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2023–24</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457</w:t>
            </w:r>
          </w:p>
        </w:tc>
        <w:tc>
          <w:tcPr>
            <w:tcW w:w="1058"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2</w:t>
            </w:r>
            <w:r>
              <w:rPr>
                <w:rFonts w:asciiTheme="majorHAnsi" w:hAnsiTheme="majorHAnsi" w:cstheme="majorHAnsi"/>
                <w:sz w:val="20"/>
                <w:szCs w:val="20"/>
              </w:rPr>
              <w:t>,</w:t>
            </w:r>
            <w:r w:rsidRPr="00A57C8A">
              <w:rPr>
                <w:rFonts w:asciiTheme="majorHAnsi" w:hAnsiTheme="majorHAnsi" w:cstheme="majorHAnsi"/>
                <w:sz w:val="20"/>
                <w:szCs w:val="20"/>
              </w:rPr>
              <w:t>860</w:t>
            </w:r>
          </w:p>
        </w:tc>
        <w:tc>
          <w:tcPr>
            <w:tcW w:w="979"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-403</w:t>
            </w:r>
          </w:p>
        </w:tc>
        <w:tc>
          <w:tcPr>
            <w:tcW w:w="944"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-14.08</w:t>
            </w:r>
            <w:r>
              <w:rPr>
                <w:rFonts w:asciiTheme="majorHAnsi" w:hAnsiTheme="majorHAnsi" w:cstheme="majorHAnsi"/>
                <w:sz w:val="20"/>
                <w:szCs w:val="20"/>
              </w:rPr>
              <w:t>%</w:t>
            </w:r>
          </w:p>
        </w:tc>
      </w:tr>
    </w:tbl>
    <w:p w:rsidR="000E3C72" w:rsidRDefault="000E3C72" w:rsidP="00B55A5C">
      <w:pPr>
        <w:pStyle w:val="FigureTitle"/>
        <w:spacing w:before="0" w:after="0"/>
      </w:pPr>
      <w:proofErr w:type="gramStart"/>
      <w:r>
        <w:t>Figure 20.</w:t>
      </w:r>
      <w:proofErr w:type="gramEnd"/>
      <w:r>
        <w:t xml:space="preserve"> Historical and Projected Statewide Supply and Demand for Minority Teachers in Terms of FTEs in the Commissioner’s Districts Region, 2008-09</w:t>
      </w:r>
      <w:r w:rsidR="0092042A">
        <w:t xml:space="preserve"> Through </w:t>
      </w:r>
      <w:r>
        <w:t>2023-24</w:t>
      </w:r>
      <w:r w:rsidR="007A056A" w:rsidRPr="007A056A">
        <w:rPr>
          <w:b w:val="0"/>
        </w:rPr>
        <w:t xml:space="preserve"> </w:t>
      </w:r>
      <w:r w:rsidR="007A056A" w:rsidRPr="007A056A">
        <w:rPr>
          <w:noProof/>
          <w:lang w:eastAsia="zh-CN" w:bidi="km-KH"/>
        </w:rPr>
        <w:drawing>
          <wp:inline distT="0" distB="0" distL="0" distR="0">
            <wp:extent cx="5629275" cy="3657402"/>
            <wp:effectExtent l="19050" t="0" r="9525" b="0"/>
            <wp:docPr id="17" name="Picture 17" descr="The expected shortages of minority teachers in this region results from the fact that the demand for these teachers is expected to increase while the supply is expected to decline. Specifically, the results suggest there will be an expected shortage of 96 teachers (3.47 percent) in the Commissioner’s Districts in 2014-15 which will grow to 403 teachers (14.08 percent) by 2023-24 (Table 16 and Figure 20).&#10;&#10;Figure 20. Historical and Projected Statewide Supply and Demand for Minority Teachers in Terms of FTEs in the Commissioner’s Districts Region, 2008-09 Through 2023-24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03" r="2393" b="5852"/>
                    <a:stretch/>
                  </pic:blipFill>
                  <pic:spPr bwMode="auto">
                    <a:xfrm>
                      <a:off x="0" y="0"/>
                      <a:ext cx="5634289" cy="3660659"/>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675428" w:rsidRPr="00B55A5C">
        <w:rPr>
          <w:rFonts w:asciiTheme="minorHAnsi" w:hAnsiTheme="minorHAnsi"/>
          <w:b w:val="0"/>
          <w:sz w:val="24"/>
        </w:rPr>
        <w:t xml:space="preserve">Alternatively, the </w:t>
      </w:r>
      <w:r w:rsidR="00881FF8" w:rsidRPr="00B55A5C">
        <w:rPr>
          <w:rFonts w:asciiTheme="minorHAnsi" w:hAnsiTheme="minorHAnsi"/>
          <w:b w:val="0"/>
          <w:sz w:val="24"/>
        </w:rPr>
        <w:t xml:space="preserve">slightly increasing </w:t>
      </w:r>
      <w:r w:rsidR="00675428" w:rsidRPr="00B55A5C">
        <w:rPr>
          <w:rFonts w:asciiTheme="minorHAnsi" w:hAnsiTheme="minorHAnsi"/>
          <w:b w:val="0"/>
          <w:sz w:val="24"/>
        </w:rPr>
        <w:t xml:space="preserve">shortages of White teachers </w:t>
      </w:r>
      <w:r w:rsidR="00881FF8" w:rsidRPr="00B55A5C">
        <w:rPr>
          <w:rFonts w:asciiTheme="minorHAnsi" w:hAnsiTheme="minorHAnsi"/>
          <w:b w:val="0"/>
          <w:sz w:val="24"/>
        </w:rPr>
        <w:t>expected for</w:t>
      </w:r>
      <w:r w:rsidR="00675428" w:rsidRPr="00B55A5C">
        <w:rPr>
          <w:rFonts w:asciiTheme="minorHAnsi" w:hAnsiTheme="minorHAnsi"/>
          <w:b w:val="0"/>
          <w:sz w:val="24"/>
        </w:rPr>
        <w:t xml:space="preserve"> this region are due to </w:t>
      </w:r>
      <w:r w:rsidR="005B509E" w:rsidRPr="00B55A5C">
        <w:rPr>
          <w:rFonts w:asciiTheme="minorHAnsi" w:hAnsiTheme="minorHAnsi"/>
          <w:b w:val="0"/>
          <w:sz w:val="24"/>
        </w:rPr>
        <w:t xml:space="preserve">both by the initial year projections and </w:t>
      </w:r>
      <w:r w:rsidR="00675428" w:rsidRPr="00B55A5C">
        <w:rPr>
          <w:rFonts w:asciiTheme="minorHAnsi" w:hAnsiTheme="minorHAnsi"/>
          <w:b w:val="0"/>
          <w:sz w:val="24"/>
        </w:rPr>
        <w:t>the fact that demand for these teachers is expected to decline at a slower rate than the supply of these teachers.</w:t>
      </w:r>
      <w:r w:rsidR="004C058D" w:rsidRPr="00B55A5C">
        <w:rPr>
          <w:rFonts w:asciiTheme="minorHAnsi" w:hAnsiTheme="minorHAnsi"/>
          <w:b w:val="0"/>
          <w:sz w:val="24"/>
        </w:rPr>
        <w:t xml:space="preserve"> Specifically, this results in an expected shortage of </w:t>
      </w:r>
      <w:r w:rsidR="006F6354" w:rsidRPr="00B55A5C">
        <w:rPr>
          <w:rFonts w:asciiTheme="minorHAnsi" w:hAnsiTheme="minorHAnsi"/>
          <w:b w:val="0"/>
          <w:sz w:val="24"/>
        </w:rPr>
        <w:t>451 teachers (4.01</w:t>
      </w:r>
      <w:r w:rsidR="004C058D" w:rsidRPr="00B55A5C">
        <w:rPr>
          <w:rFonts w:asciiTheme="minorHAnsi" w:hAnsiTheme="minorHAnsi"/>
          <w:b w:val="0"/>
          <w:sz w:val="24"/>
        </w:rPr>
        <w:t xml:space="preserve"> percent) in 2014-15 which will grow</w:t>
      </w:r>
      <w:r w:rsidR="006F6354" w:rsidRPr="00B55A5C">
        <w:rPr>
          <w:rFonts w:asciiTheme="minorHAnsi" w:hAnsiTheme="minorHAnsi"/>
          <w:b w:val="0"/>
          <w:sz w:val="24"/>
        </w:rPr>
        <w:t xml:space="preserve"> to 865 teachers (8</w:t>
      </w:r>
      <w:r w:rsidR="004C058D" w:rsidRPr="00B55A5C">
        <w:rPr>
          <w:rFonts w:asciiTheme="minorHAnsi" w:hAnsiTheme="minorHAnsi"/>
          <w:b w:val="0"/>
          <w:sz w:val="24"/>
        </w:rPr>
        <w:t xml:space="preserve"> percent) by 2023-24</w:t>
      </w:r>
      <w:r w:rsidRPr="00B55A5C">
        <w:rPr>
          <w:rFonts w:asciiTheme="minorHAnsi" w:hAnsiTheme="minorHAnsi"/>
          <w:b w:val="0"/>
          <w:sz w:val="24"/>
        </w:rPr>
        <w:t xml:space="preserve"> (Table 17 and Figure 21).</w:t>
      </w:r>
    </w:p>
    <w:p w:rsidR="000E3C72" w:rsidRDefault="000E3C72" w:rsidP="00B55A5C">
      <w:pPr>
        <w:pStyle w:val="TableTitle"/>
        <w:spacing w:before="120"/>
      </w:pPr>
      <w:proofErr w:type="gramStart"/>
      <w:r>
        <w:t>Table 17</w:t>
      </w:r>
      <w:r w:rsidRPr="00CC4696">
        <w:t>.</w:t>
      </w:r>
      <w:proofErr w:type="gramEnd"/>
      <w:r w:rsidRPr="00CC4696">
        <w:t xml:space="preserve"> Projected </w:t>
      </w:r>
      <w:r>
        <w:t xml:space="preserve">Statewide </w:t>
      </w:r>
      <w:r w:rsidRPr="00CC4696">
        <w:t>Demand</w:t>
      </w:r>
      <w:r>
        <w:t xml:space="preserve"> and </w:t>
      </w:r>
      <w:r w:rsidRPr="00CC4696">
        <w:t>Supply</w:t>
      </w:r>
      <w:r w:rsidR="00AB1442">
        <w:t xml:space="preserve"> of </w:t>
      </w:r>
      <w:r w:rsidR="009F4481">
        <w:t xml:space="preserve">White </w:t>
      </w:r>
      <w:r>
        <w:t>Teachers in Terms of FTEs</w:t>
      </w:r>
      <w:r w:rsidRPr="00CC4696">
        <w:t xml:space="preserve"> and Absolute </w:t>
      </w:r>
      <w:r>
        <w:t xml:space="preserve">and </w:t>
      </w:r>
      <w:r w:rsidRPr="00CC4696">
        <w:t>Relative Differences</w:t>
      </w:r>
      <w:r>
        <w:t xml:space="preserve"> in the Commissioner’s Districts Region,</w:t>
      </w:r>
      <w:r w:rsidRPr="00CC4696">
        <w:t xml:space="preserve"> </w:t>
      </w:r>
      <w:r>
        <w:t>2014–15</w:t>
      </w:r>
      <w:r w:rsidR="0092042A">
        <w:t xml:space="preserve"> Through </w:t>
      </w:r>
      <w:r w:rsidRPr="00CC4696">
        <w:t>2023</w:t>
      </w:r>
      <w:r>
        <w:t>–</w:t>
      </w:r>
      <w:r w:rsidRPr="00CC4696">
        <w:t>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39"/>
        <w:gridCol w:w="1936"/>
        <w:gridCol w:w="2155"/>
        <w:gridCol w:w="1825"/>
        <w:gridCol w:w="1821"/>
      </w:tblGrid>
      <w:tr w:rsidR="00A57C8A" w:rsidRPr="00A57C8A" w:rsidTr="000011FF">
        <w:tc>
          <w:tcPr>
            <w:tcW w:w="960" w:type="pct"/>
            <w:shd w:val="clear" w:color="auto" w:fill="B4C8DC" w:themeFill="accent1" w:themeFillTint="66"/>
            <w:vAlign w:val="center"/>
          </w:tcPr>
          <w:p w:rsidR="00A57C8A" w:rsidRPr="00A57C8A" w:rsidRDefault="00A57C8A" w:rsidP="00191C0D">
            <w:pPr>
              <w:widowControl w:val="0"/>
              <w:autoSpaceDE w:val="0"/>
              <w:autoSpaceDN w:val="0"/>
              <w:adjustRightInd w:val="0"/>
              <w:jc w:val="center"/>
              <w:rPr>
                <w:rFonts w:asciiTheme="majorHAnsi" w:hAnsiTheme="majorHAnsi" w:cstheme="majorHAnsi"/>
                <w:b/>
                <w:sz w:val="20"/>
                <w:szCs w:val="20"/>
              </w:rPr>
            </w:pPr>
            <w:r w:rsidRPr="00A57C8A">
              <w:rPr>
                <w:rFonts w:asciiTheme="majorHAnsi" w:hAnsiTheme="majorHAnsi" w:cstheme="majorHAnsi"/>
                <w:b/>
                <w:sz w:val="20"/>
                <w:szCs w:val="20"/>
              </w:rPr>
              <w:t>Year</w:t>
            </w:r>
          </w:p>
        </w:tc>
        <w:tc>
          <w:tcPr>
            <w:tcW w:w="1011" w:type="pct"/>
            <w:shd w:val="clear" w:color="auto" w:fill="B4C8DC" w:themeFill="accent1" w:themeFillTint="66"/>
            <w:vAlign w:val="center"/>
          </w:tcPr>
          <w:p w:rsidR="00A57C8A" w:rsidRPr="00A57C8A" w:rsidRDefault="00A57C8A" w:rsidP="00A57C8A">
            <w:pPr>
              <w:widowControl w:val="0"/>
              <w:autoSpaceDE w:val="0"/>
              <w:autoSpaceDN w:val="0"/>
              <w:adjustRightInd w:val="0"/>
              <w:jc w:val="center"/>
              <w:rPr>
                <w:rFonts w:asciiTheme="majorHAnsi" w:hAnsiTheme="majorHAnsi" w:cstheme="majorHAnsi"/>
                <w:b/>
                <w:sz w:val="20"/>
                <w:szCs w:val="20"/>
              </w:rPr>
            </w:pPr>
            <w:r w:rsidRPr="00A57C8A">
              <w:rPr>
                <w:rFonts w:asciiTheme="majorHAnsi" w:hAnsiTheme="majorHAnsi" w:cstheme="majorHAnsi"/>
                <w:b/>
                <w:sz w:val="20"/>
                <w:szCs w:val="20"/>
              </w:rPr>
              <w:t>Projected Supply</w:t>
            </w:r>
          </w:p>
        </w:tc>
        <w:tc>
          <w:tcPr>
            <w:tcW w:w="1125" w:type="pct"/>
            <w:shd w:val="clear" w:color="auto" w:fill="B4C8DC" w:themeFill="accent1" w:themeFillTint="66"/>
            <w:vAlign w:val="center"/>
          </w:tcPr>
          <w:p w:rsidR="00A57C8A" w:rsidRPr="00A57C8A" w:rsidRDefault="00A57C8A" w:rsidP="00A57C8A">
            <w:pPr>
              <w:widowControl w:val="0"/>
              <w:autoSpaceDE w:val="0"/>
              <w:autoSpaceDN w:val="0"/>
              <w:adjustRightInd w:val="0"/>
              <w:jc w:val="center"/>
              <w:rPr>
                <w:rFonts w:asciiTheme="majorHAnsi" w:hAnsiTheme="majorHAnsi" w:cstheme="majorHAnsi"/>
                <w:b/>
                <w:sz w:val="20"/>
                <w:szCs w:val="20"/>
              </w:rPr>
            </w:pPr>
            <w:r w:rsidRPr="00A57C8A">
              <w:rPr>
                <w:rFonts w:asciiTheme="majorHAnsi" w:hAnsiTheme="majorHAnsi" w:cstheme="majorHAnsi"/>
                <w:b/>
                <w:sz w:val="20"/>
                <w:szCs w:val="20"/>
              </w:rPr>
              <w:t>Projected Demand</w:t>
            </w:r>
          </w:p>
        </w:tc>
        <w:tc>
          <w:tcPr>
            <w:tcW w:w="953" w:type="pct"/>
            <w:shd w:val="clear" w:color="auto" w:fill="B4C8DC" w:themeFill="accent1" w:themeFillTint="66"/>
            <w:vAlign w:val="center"/>
          </w:tcPr>
          <w:p w:rsidR="00A57C8A" w:rsidRPr="00A57C8A" w:rsidRDefault="00A57C8A" w:rsidP="00A57C8A">
            <w:pPr>
              <w:widowControl w:val="0"/>
              <w:autoSpaceDE w:val="0"/>
              <w:autoSpaceDN w:val="0"/>
              <w:adjustRightInd w:val="0"/>
              <w:jc w:val="center"/>
              <w:rPr>
                <w:rFonts w:asciiTheme="majorHAnsi" w:hAnsiTheme="majorHAnsi" w:cstheme="majorHAnsi"/>
                <w:b/>
                <w:sz w:val="20"/>
                <w:szCs w:val="20"/>
              </w:rPr>
            </w:pPr>
            <w:r>
              <w:rPr>
                <w:rFonts w:asciiTheme="majorHAnsi" w:hAnsiTheme="majorHAnsi" w:cstheme="majorHAnsi"/>
                <w:b/>
                <w:sz w:val="20"/>
                <w:szCs w:val="20"/>
              </w:rPr>
              <w:t>Absolute Difference B</w:t>
            </w:r>
            <w:r w:rsidRPr="00A57C8A">
              <w:rPr>
                <w:rFonts w:asciiTheme="majorHAnsi" w:hAnsiTheme="majorHAnsi" w:cstheme="majorHAnsi"/>
                <w:b/>
                <w:sz w:val="20"/>
                <w:szCs w:val="20"/>
              </w:rPr>
              <w:t>etween Supply and Demand</w:t>
            </w:r>
          </w:p>
        </w:tc>
        <w:tc>
          <w:tcPr>
            <w:tcW w:w="951" w:type="pct"/>
            <w:shd w:val="clear" w:color="auto" w:fill="B4C8DC" w:themeFill="accent1" w:themeFillTint="66"/>
            <w:vAlign w:val="center"/>
          </w:tcPr>
          <w:p w:rsidR="00A57C8A" w:rsidRPr="00A57C8A" w:rsidRDefault="00A57C8A" w:rsidP="00A57C8A">
            <w:pPr>
              <w:widowControl w:val="0"/>
              <w:autoSpaceDE w:val="0"/>
              <w:autoSpaceDN w:val="0"/>
              <w:adjustRightInd w:val="0"/>
              <w:jc w:val="center"/>
              <w:rPr>
                <w:rFonts w:asciiTheme="majorHAnsi" w:hAnsiTheme="majorHAnsi" w:cstheme="majorHAnsi"/>
                <w:b/>
                <w:sz w:val="20"/>
                <w:szCs w:val="20"/>
              </w:rPr>
            </w:pPr>
            <w:r w:rsidRPr="00A57C8A">
              <w:rPr>
                <w:rFonts w:asciiTheme="majorHAnsi" w:hAnsiTheme="majorHAnsi" w:cstheme="majorHAnsi"/>
                <w:b/>
                <w:sz w:val="20"/>
                <w:szCs w:val="20"/>
              </w:rPr>
              <w:t>Rela</w:t>
            </w:r>
            <w:r>
              <w:rPr>
                <w:rFonts w:asciiTheme="majorHAnsi" w:hAnsiTheme="majorHAnsi" w:cstheme="majorHAnsi"/>
                <w:b/>
                <w:sz w:val="20"/>
                <w:szCs w:val="20"/>
              </w:rPr>
              <w:t>tive Difference B</w:t>
            </w:r>
            <w:r w:rsidRPr="00A57C8A">
              <w:rPr>
                <w:rFonts w:asciiTheme="majorHAnsi" w:hAnsiTheme="majorHAnsi" w:cstheme="majorHAnsi"/>
                <w:b/>
                <w:sz w:val="20"/>
                <w:szCs w:val="20"/>
              </w:rPr>
              <w:t>etween Supply and Demand</w:t>
            </w:r>
          </w:p>
        </w:tc>
      </w:tr>
      <w:tr w:rsidR="00A57C8A" w:rsidRPr="00A57C8A" w:rsidTr="000011FF">
        <w:tc>
          <w:tcPr>
            <w:tcW w:w="960" w:type="pct"/>
            <w:vAlign w:val="center"/>
          </w:tcPr>
          <w:p w:rsidR="00A57C8A" w:rsidRPr="00A57C8A" w:rsidRDefault="00A57C8A" w:rsidP="00191C0D">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2014–15</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809</w:t>
            </w:r>
          </w:p>
        </w:tc>
        <w:tc>
          <w:tcPr>
            <w:tcW w:w="1125"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11</w:t>
            </w:r>
            <w:r>
              <w:rPr>
                <w:rFonts w:asciiTheme="majorHAnsi" w:hAnsiTheme="majorHAnsi" w:cstheme="majorHAnsi"/>
                <w:sz w:val="20"/>
                <w:szCs w:val="20"/>
              </w:rPr>
              <w:t>,</w:t>
            </w:r>
            <w:r w:rsidRPr="00A57C8A">
              <w:rPr>
                <w:rFonts w:asciiTheme="majorHAnsi" w:hAnsiTheme="majorHAnsi" w:cstheme="majorHAnsi"/>
                <w:sz w:val="20"/>
                <w:szCs w:val="20"/>
              </w:rPr>
              <w:t>260</w:t>
            </w:r>
          </w:p>
        </w:tc>
        <w:tc>
          <w:tcPr>
            <w:tcW w:w="953"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-451</w:t>
            </w:r>
          </w:p>
        </w:tc>
        <w:tc>
          <w:tcPr>
            <w:tcW w:w="95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-4.01</w:t>
            </w:r>
            <w:r>
              <w:rPr>
                <w:rFonts w:asciiTheme="majorHAnsi" w:hAnsiTheme="majorHAnsi" w:cstheme="majorHAnsi"/>
                <w:sz w:val="20"/>
                <w:szCs w:val="20"/>
              </w:rPr>
              <w:t>%</w:t>
            </w:r>
          </w:p>
        </w:tc>
      </w:tr>
      <w:tr w:rsidR="00A57C8A" w:rsidRPr="00A57C8A" w:rsidTr="000011FF">
        <w:tc>
          <w:tcPr>
            <w:tcW w:w="960" w:type="pct"/>
            <w:vAlign w:val="center"/>
          </w:tcPr>
          <w:p w:rsidR="00A57C8A" w:rsidRPr="00A57C8A" w:rsidRDefault="00A57C8A" w:rsidP="00191C0D">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2015–16</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709</w:t>
            </w:r>
          </w:p>
        </w:tc>
        <w:tc>
          <w:tcPr>
            <w:tcW w:w="1125"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11</w:t>
            </w:r>
            <w:r>
              <w:rPr>
                <w:rFonts w:asciiTheme="majorHAnsi" w:hAnsiTheme="majorHAnsi" w:cstheme="majorHAnsi"/>
                <w:sz w:val="20"/>
                <w:szCs w:val="20"/>
              </w:rPr>
              <w:t>,</w:t>
            </w:r>
            <w:r w:rsidRPr="00A57C8A">
              <w:rPr>
                <w:rFonts w:asciiTheme="majorHAnsi" w:hAnsiTheme="majorHAnsi" w:cstheme="majorHAnsi"/>
                <w:sz w:val="20"/>
                <w:szCs w:val="20"/>
              </w:rPr>
              <w:t>220</w:t>
            </w:r>
          </w:p>
        </w:tc>
        <w:tc>
          <w:tcPr>
            <w:tcW w:w="953"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-511</w:t>
            </w:r>
          </w:p>
        </w:tc>
        <w:tc>
          <w:tcPr>
            <w:tcW w:w="95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-4.55</w:t>
            </w:r>
            <w:r>
              <w:rPr>
                <w:rFonts w:asciiTheme="majorHAnsi" w:hAnsiTheme="majorHAnsi" w:cstheme="majorHAnsi"/>
                <w:sz w:val="20"/>
                <w:szCs w:val="20"/>
              </w:rPr>
              <w:t>%</w:t>
            </w:r>
          </w:p>
        </w:tc>
      </w:tr>
      <w:tr w:rsidR="00A57C8A" w:rsidRPr="00A57C8A" w:rsidTr="000011FF">
        <w:tc>
          <w:tcPr>
            <w:tcW w:w="960" w:type="pct"/>
            <w:vAlign w:val="center"/>
          </w:tcPr>
          <w:p w:rsidR="00A57C8A" w:rsidRPr="00A57C8A" w:rsidRDefault="00A57C8A" w:rsidP="00191C0D">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2016–17</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610</w:t>
            </w:r>
          </w:p>
        </w:tc>
        <w:tc>
          <w:tcPr>
            <w:tcW w:w="1125"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11</w:t>
            </w:r>
            <w:r>
              <w:rPr>
                <w:rFonts w:asciiTheme="majorHAnsi" w:hAnsiTheme="majorHAnsi" w:cstheme="majorHAnsi"/>
                <w:sz w:val="20"/>
                <w:szCs w:val="20"/>
              </w:rPr>
              <w:t>,</w:t>
            </w:r>
            <w:r w:rsidRPr="00A57C8A">
              <w:rPr>
                <w:rFonts w:asciiTheme="majorHAnsi" w:hAnsiTheme="majorHAnsi" w:cstheme="majorHAnsi"/>
                <w:sz w:val="20"/>
                <w:szCs w:val="20"/>
              </w:rPr>
              <w:t>175</w:t>
            </w:r>
          </w:p>
        </w:tc>
        <w:tc>
          <w:tcPr>
            <w:tcW w:w="953"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-565</w:t>
            </w:r>
          </w:p>
        </w:tc>
        <w:tc>
          <w:tcPr>
            <w:tcW w:w="95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-5.05</w:t>
            </w:r>
            <w:r>
              <w:rPr>
                <w:rFonts w:asciiTheme="majorHAnsi" w:hAnsiTheme="majorHAnsi" w:cstheme="majorHAnsi"/>
                <w:sz w:val="20"/>
                <w:szCs w:val="20"/>
              </w:rPr>
              <w:t>%</w:t>
            </w:r>
          </w:p>
        </w:tc>
      </w:tr>
      <w:tr w:rsidR="00A57C8A" w:rsidRPr="00A57C8A" w:rsidTr="000011FF">
        <w:tc>
          <w:tcPr>
            <w:tcW w:w="960" w:type="pct"/>
            <w:vAlign w:val="center"/>
          </w:tcPr>
          <w:p w:rsidR="00A57C8A" w:rsidRPr="00A57C8A" w:rsidRDefault="00A57C8A" w:rsidP="00191C0D">
            <w:pPr>
              <w:widowControl w:val="0"/>
              <w:tabs>
                <w:tab w:val="left" w:pos="1035"/>
              </w:tabs>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2017–18</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512</w:t>
            </w:r>
          </w:p>
        </w:tc>
        <w:tc>
          <w:tcPr>
            <w:tcW w:w="1125"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11</w:t>
            </w:r>
            <w:r>
              <w:rPr>
                <w:rFonts w:asciiTheme="majorHAnsi" w:hAnsiTheme="majorHAnsi" w:cstheme="majorHAnsi"/>
                <w:sz w:val="20"/>
                <w:szCs w:val="20"/>
              </w:rPr>
              <w:t>,</w:t>
            </w:r>
            <w:r w:rsidRPr="00A57C8A">
              <w:rPr>
                <w:rFonts w:asciiTheme="majorHAnsi" w:hAnsiTheme="majorHAnsi" w:cstheme="majorHAnsi"/>
                <w:sz w:val="20"/>
                <w:szCs w:val="20"/>
              </w:rPr>
              <w:t>135</w:t>
            </w:r>
          </w:p>
        </w:tc>
        <w:tc>
          <w:tcPr>
            <w:tcW w:w="953"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-624</w:t>
            </w:r>
          </w:p>
        </w:tc>
        <w:tc>
          <w:tcPr>
            <w:tcW w:w="95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-5.6</w:t>
            </w:r>
            <w:r>
              <w:rPr>
                <w:rFonts w:asciiTheme="majorHAnsi" w:hAnsiTheme="majorHAnsi" w:cstheme="majorHAnsi"/>
                <w:sz w:val="20"/>
                <w:szCs w:val="20"/>
              </w:rPr>
              <w:t>0%</w:t>
            </w:r>
          </w:p>
        </w:tc>
      </w:tr>
      <w:tr w:rsidR="00A57C8A" w:rsidRPr="00A57C8A" w:rsidTr="000011FF">
        <w:tc>
          <w:tcPr>
            <w:tcW w:w="960" w:type="pct"/>
            <w:vAlign w:val="center"/>
          </w:tcPr>
          <w:p w:rsidR="00A57C8A" w:rsidRPr="00A57C8A" w:rsidRDefault="00A57C8A" w:rsidP="00191C0D">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2018–19</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414</w:t>
            </w:r>
          </w:p>
        </w:tc>
        <w:tc>
          <w:tcPr>
            <w:tcW w:w="1125"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11</w:t>
            </w:r>
            <w:r>
              <w:rPr>
                <w:rFonts w:asciiTheme="majorHAnsi" w:hAnsiTheme="majorHAnsi" w:cstheme="majorHAnsi"/>
                <w:sz w:val="20"/>
                <w:szCs w:val="20"/>
              </w:rPr>
              <w:t>,</w:t>
            </w:r>
            <w:r w:rsidRPr="00A57C8A">
              <w:rPr>
                <w:rFonts w:asciiTheme="majorHAnsi" w:hAnsiTheme="majorHAnsi" w:cstheme="majorHAnsi"/>
                <w:sz w:val="20"/>
                <w:szCs w:val="20"/>
              </w:rPr>
              <w:t>086</w:t>
            </w:r>
          </w:p>
        </w:tc>
        <w:tc>
          <w:tcPr>
            <w:tcW w:w="953"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-671</w:t>
            </w:r>
          </w:p>
        </w:tc>
        <w:tc>
          <w:tcPr>
            <w:tcW w:w="95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-6.05</w:t>
            </w:r>
            <w:r>
              <w:rPr>
                <w:rFonts w:asciiTheme="majorHAnsi" w:hAnsiTheme="majorHAnsi" w:cstheme="majorHAnsi"/>
                <w:sz w:val="20"/>
                <w:szCs w:val="20"/>
              </w:rPr>
              <w:t>%</w:t>
            </w:r>
          </w:p>
        </w:tc>
      </w:tr>
      <w:tr w:rsidR="00A57C8A" w:rsidRPr="00A57C8A" w:rsidTr="000011FF">
        <w:tc>
          <w:tcPr>
            <w:tcW w:w="960" w:type="pct"/>
            <w:vAlign w:val="center"/>
          </w:tcPr>
          <w:p w:rsidR="00A57C8A" w:rsidRPr="00A57C8A" w:rsidRDefault="00A57C8A" w:rsidP="00191C0D">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2019–20</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318</w:t>
            </w:r>
          </w:p>
        </w:tc>
        <w:tc>
          <w:tcPr>
            <w:tcW w:w="1125"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11</w:t>
            </w:r>
            <w:r>
              <w:rPr>
                <w:rFonts w:asciiTheme="majorHAnsi" w:hAnsiTheme="majorHAnsi" w:cstheme="majorHAnsi"/>
                <w:sz w:val="20"/>
                <w:szCs w:val="20"/>
              </w:rPr>
              <w:t>,</w:t>
            </w:r>
            <w:r w:rsidRPr="00A57C8A">
              <w:rPr>
                <w:rFonts w:asciiTheme="majorHAnsi" w:hAnsiTheme="majorHAnsi" w:cstheme="majorHAnsi"/>
                <w:sz w:val="20"/>
                <w:szCs w:val="20"/>
              </w:rPr>
              <w:t>032</w:t>
            </w:r>
          </w:p>
        </w:tc>
        <w:tc>
          <w:tcPr>
            <w:tcW w:w="953"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-714</w:t>
            </w:r>
          </w:p>
        </w:tc>
        <w:tc>
          <w:tcPr>
            <w:tcW w:w="95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-6.47</w:t>
            </w:r>
            <w:r>
              <w:rPr>
                <w:rFonts w:asciiTheme="majorHAnsi" w:hAnsiTheme="majorHAnsi" w:cstheme="majorHAnsi"/>
                <w:sz w:val="20"/>
                <w:szCs w:val="20"/>
              </w:rPr>
              <w:t>%</w:t>
            </w:r>
          </w:p>
        </w:tc>
      </w:tr>
      <w:tr w:rsidR="00A57C8A" w:rsidRPr="00A57C8A" w:rsidTr="000011FF">
        <w:tc>
          <w:tcPr>
            <w:tcW w:w="960" w:type="pct"/>
            <w:vAlign w:val="center"/>
          </w:tcPr>
          <w:p w:rsidR="00A57C8A" w:rsidRPr="00A57C8A" w:rsidRDefault="00A57C8A" w:rsidP="00191C0D">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2020–21</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223</w:t>
            </w:r>
          </w:p>
        </w:tc>
        <w:tc>
          <w:tcPr>
            <w:tcW w:w="1125"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990</w:t>
            </w:r>
          </w:p>
        </w:tc>
        <w:tc>
          <w:tcPr>
            <w:tcW w:w="953"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-768</w:t>
            </w:r>
          </w:p>
        </w:tc>
        <w:tc>
          <w:tcPr>
            <w:tcW w:w="95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-6.99</w:t>
            </w:r>
            <w:r>
              <w:rPr>
                <w:rFonts w:asciiTheme="majorHAnsi" w:hAnsiTheme="majorHAnsi" w:cstheme="majorHAnsi"/>
                <w:sz w:val="20"/>
                <w:szCs w:val="20"/>
              </w:rPr>
              <w:t>%</w:t>
            </w:r>
          </w:p>
        </w:tc>
      </w:tr>
      <w:tr w:rsidR="00A57C8A" w:rsidRPr="00A57C8A" w:rsidTr="000011FF">
        <w:tc>
          <w:tcPr>
            <w:tcW w:w="960" w:type="pct"/>
            <w:vAlign w:val="center"/>
          </w:tcPr>
          <w:p w:rsidR="00A57C8A" w:rsidRPr="00A57C8A" w:rsidRDefault="00A57C8A" w:rsidP="00191C0D">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2021–22</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128</w:t>
            </w:r>
          </w:p>
        </w:tc>
        <w:tc>
          <w:tcPr>
            <w:tcW w:w="1125"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936</w:t>
            </w:r>
          </w:p>
        </w:tc>
        <w:tc>
          <w:tcPr>
            <w:tcW w:w="953"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-808</w:t>
            </w:r>
          </w:p>
        </w:tc>
        <w:tc>
          <w:tcPr>
            <w:tcW w:w="95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-7.39</w:t>
            </w:r>
            <w:r>
              <w:rPr>
                <w:rFonts w:asciiTheme="majorHAnsi" w:hAnsiTheme="majorHAnsi" w:cstheme="majorHAnsi"/>
                <w:sz w:val="20"/>
                <w:szCs w:val="20"/>
              </w:rPr>
              <w:t>%</w:t>
            </w:r>
          </w:p>
        </w:tc>
      </w:tr>
      <w:tr w:rsidR="00A57C8A" w:rsidRPr="00A57C8A" w:rsidTr="000011FF">
        <w:tc>
          <w:tcPr>
            <w:tcW w:w="960" w:type="pct"/>
            <w:vAlign w:val="center"/>
          </w:tcPr>
          <w:p w:rsidR="00A57C8A" w:rsidRPr="00A57C8A" w:rsidRDefault="00A57C8A" w:rsidP="00191C0D">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2022–23</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034</w:t>
            </w:r>
          </w:p>
        </w:tc>
        <w:tc>
          <w:tcPr>
            <w:tcW w:w="1125"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877</w:t>
            </w:r>
          </w:p>
        </w:tc>
        <w:tc>
          <w:tcPr>
            <w:tcW w:w="953"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-842</w:t>
            </w:r>
          </w:p>
        </w:tc>
        <w:tc>
          <w:tcPr>
            <w:tcW w:w="95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-7.74</w:t>
            </w:r>
            <w:r>
              <w:rPr>
                <w:rFonts w:asciiTheme="majorHAnsi" w:hAnsiTheme="majorHAnsi" w:cstheme="majorHAnsi"/>
                <w:sz w:val="20"/>
                <w:szCs w:val="20"/>
              </w:rPr>
              <w:t>%</w:t>
            </w:r>
          </w:p>
        </w:tc>
      </w:tr>
      <w:tr w:rsidR="00A57C8A" w:rsidRPr="00A57C8A" w:rsidTr="000011FF">
        <w:tc>
          <w:tcPr>
            <w:tcW w:w="960" w:type="pct"/>
            <w:vAlign w:val="center"/>
          </w:tcPr>
          <w:p w:rsidR="00A57C8A" w:rsidRPr="00A57C8A" w:rsidRDefault="00A57C8A" w:rsidP="00191C0D">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rPr>
              <w:t>2023–24</w:t>
            </w:r>
          </w:p>
        </w:tc>
        <w:tc>
          <w:tcPr>
            <w:tcW w:w="101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9</w:t>
            </w:r>
            <w:r>
              <w:rPr>
                <w:rFonts w:asciiTheme="majorHAnsi" w:hAnsiTheme="majorHAnsi" w:cstheme="majorHAnsi"/>
                <w:sz w:val="20"/>
                <w:szCs w:val="20"/>
              </w:rPr>
              <w:t>,</w:t>
            </w:r>
            <w:r w:rsidRPr="00A57C8A">
              <w:rPr>
                <w:rFonts w:asciiTheme="majorHAnsi" w:hAnsiTheme="majorHAnsi" w:cstheme="majorHAnsi"/>
                <w:sz w:val="20"/>
                <w:szCs w:val="20"/>
              </w:rPr>
              <w:t>942</w:t>
            </w:r>
          </w:p>
        </w:tc>
        <w:tc>
          <w:tcPr>
            <w:tcW w:w="1125"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10</w:t>
            </w:r>
            <w:r>
              <w:rPr>
                <w:rFonts w:asciiTheme="majorHAnsi" w:hAnsiTheme="majorHAnsi" w:cstheme="majorHAnsi"/>
                <w:sz w:val="20"/>
                <w:szCs w:val="20"/>
              </w:rPr>
              <w:t>,</w:t>
            </w:r>
            <w:r w:rsidRPr="00A57C8A">
              <w:rPr>
                <w:rFonts w:asciiTheme="majorHAnsi" w:hAnsiTheme="majorHAnsi" w:cstheme="majorHAnsi"/>
                <w:sz w:val="20"/>
                <w:szCs w:val="20"/>
              </w:rPr>
              <w:t>806</w:t>
            </w:r>
          </w:p>
        </w:tc>
        <w:tc>
          <w:tcPr>
            <w:tcW w:w="953"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-865</w:t>
            </w:r>
          </w:p>
        </w:tc>
        <w:tc>
          <w:tcPr>
            <w:tcW w:w="951" w:type="pct"/>
          </w:tcPr>
          <w:p w:rsidR="00A57C8A" w:rsidRPr="00A57C8A" w:rsidRDefault="00A57C8A" w:rsidP="00A46F58">
            <w:pPr>
              <w:widowControl w:val="0"/>
              <w:autoSpaceDE w:val="0"/>
              <w:autoSpaceDN w:val="0"/>
              <w:adjustRightInd w:val="0"/>
              <w:spacing w:before="40" w:after="40"/>
              <w:jc w:val="center"/>
              <w:rPr>
                <w:rFonts w:asciiTheme="majorHAnsi" w:hAnsiTheme="majorHAnsi" w:cstheme="majorHAnsi"/>
                <w:sz w:val="20"/>
                <w:szCs w:val="20"/>
              </w:rPr>
            </w:pPr>
            <w:r w:rsidRPr="00A57C8A">
              <w:rPr>
                <w:rFonts w:asciiTheme="majorHAnsi" w:hAnsiTheme="majorHAnsi" w:cstheme="majorHAnsi"/>
                <w:sz w:val="20"/>
                <w:szCs w:val="20"/>
              </w:rPr>
              <w:t>-8</w:t>
            </w:r>
            <w:r>
              <w:rPr>
                <w:rFonts w:asciiTheme="majorHAnsi" w:hAnsiTheme="majorHAnsi" w:cstheme="majorHAnsi"/>
                <w:sz w:val="20"/>
                <w:szCs w:val="20"/>
              </w:rPr>
              <w:t>.00%</w:t>
            </w:r>
          </w:p>
        </w:tc>
      </w:tr>
    </w:tbl>
    <w:p w:rsidR="000E3C72" w:rsidRPr="00316BF7" w:rsidRDefault="000E3C72" w:rsidP="000E3C72">
      <w:pPr>
        <w:pStyle w:val="FigureTitle"/>
      </w:pPr>
      <w:proofErr w:type="gramStart"/>
      <w:r>
        <w:t>Figure 21.</w:t>
      </w:r>
      <w:proofErr w:type="gramEnd"/>
      <w:r>
        <w:t xml:space="preserve"> Historical and Projected Statewide Supply and Demand for </w:t>
      </w:r>
      <w:r w:rsidR="009F4481">
        <w:t xml:space="preserve">White </w:t>
      </w:r>
      <w:r>
        <w:t>Teachers in Terms of FTEs in the Commissioner’s Districts Region, 2008-09</w:t>
      </w:r>
      <w:r w:rsidR="0092042A">
        <w:t xml:space="preserve"> Through </w:t>
      </w:r>
      <w:r>
        <w:t>2023-24</w:t>
      </w:r>
    </w:p>
    <w:p w:rsidR="000F2D5D" w:rsidRDefault="007A056A" w:rsidP="00E26AE5">
      <w:pPr>
        <w:pStyle w:val="BodyText"/>
      </w:pPr>
      <w:r w:rsidRPr="007A056A">
        <w:rPr>
          <w:noProof/>
          <w:lang w:eastAsia="zh-CN" w:bidi="km-KH"/>
        </w:rPr>
        <w:drawing>
          <wp:inline distT="0" distB="0" distL="0" distR="0">
            <wp:extent cx="5600700" cy="3656965"/>
            <wp:effectExtent l="19050" t="0" r="0" b="0"/>
            <wp:docPr id="18" name="Picture 18" descr="Alternatively, the slightly increasing shortages of White teachers expected for this region are due to both by the initial year projections and the fact that demand for these teachers is expected to decline at a slower rate than the supply of these teachers. Specifically, this results in an expected shortage of 451 teachers (4.01 percent) in 2014-15 which will grow to 865 teachers (8 percent) by 2023-24 (Table 17 and Figure 21).&#10;&#10;Figure 21. Historical and Projected Statewide Supply and Demand for White Teachers in Terms of FTEs in the Commissioner’s Districts Region, 2008-09 Through 2023-2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32" r="2735" b="6361"/>
                    <a:stretch/>
                  </pic:blipFill>
                  <pic:spPr bwMode="auto">
                    <a:xfrm>
                      <a:off x="0" y="0"/>
                      <a:ext cx="5608087" cy="366178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0F2D5D">
        <w:br w:type="textWrapping" w:clear="all"/>
        <w:t xml:space="preserve">These results suggest that the </w:t>
      </w:r>
      <w:r w:rsidR="00247896">
        <w:t xml:space="preserve">expected </w:t>
      </w:r>
      <w:r w:rsidR="000F2D5D">
        <w:t xml:space="preserve">shortages of minority teachers </w:t>
      </w:r>
      <w:r w:rsidR="00247896">
        <w:t xml:space="preserve">in the Commissioner’s Districts will be </w:t>
      </w:r>
      <w:r w:rsidR="000F2D5D">
        <w:t xml:space="preserve">larger than the statewide average, </w:t>
      </w:r>
      <w:r w:rsidR="002B0777">
        <w:t>and given the relatively larger population of minority teachers in this region, it is likely driving the aggregate results</w:t>
      </w:r>
      <w:r w:rsidR="00C00FE5">
        <w:t xml:space="preserve"> that were found</w:t>
      </w:r>
      <w:r w:rsidR="002B0777">
        <w:t xml:space="preserve">. However, these results also suggest that </w:t>
      </w:r>
      <w:r w:rsidR="000F2D5D">
        <w:t xml:space="preserve">this region is expected to experience shortages regardless of teacher race. </w:t>
      </w:r>
      <w:r w:rsidR="002B0777">
        <w:t>This finding</w:t>
      </w:r>
      <w:r w:rsidR="000F2D5D">
        <w:t xml:space="preserve"> is discussed in more detail later in this section.</w:t>
      </w:r>
    </w:p>
    <w:p w:rsidR="00C157EC" w:rsidRPr="004056FD" w:rsidRDefault="00C157EC" w:rsidP="00E26AE5">
      <w:pPr>
        <w:pStyle w:val="Heading4"/>
      </w:pPr>
      <w:bookmarkStart w:id="91" w:name="_Toc435784256"/>
      <w:r>
        <w:t>Validity of Results by Race</w:t>
      </w:r>
      <w:bookmarkEnd w:id="91"/>
    </w:p>
    <w:p w:rsidR="00C157EC" w:rsidRDefault="00C157EC" w:rsidP="00E26AE5">
      <w:pPr>
        <w:pStyle w:val="BodyText"/>
      </w:pPr>
      <w:r>
        <w:t xml:space="preserve">As with previous research questions, </w:t>
      </w:r>
      <w:r w:rsidR="00277E7B">
        <w:t xml:space="preserve">the AIR research team </w:t>
      </w:r>
      <w:r>
        <w:t xml:space="preserve">conducted a number of tests to determine the validity of the estimated demand and supply projections by race. Specifically, </w:t>
      </w:r>
      <w:r w:rsidR="00277E7B">
        <w:t xml:space="preserve">the </w:t>
      </w:r>
      <w:r>
        <w:t xml:space="preserve">average percent errors (APEs) and mean absolute percent errors (MAPEs) for both demand and supply projections </w:t>
      </w:r>
      <w:r w:rsidR="00277E7B">
        <w:t xml:space="preserve">were calculated </w:t>
      </w:r>
      <w:r>
        <w:t>based on comparisons of actual and projected values in historical years. In addition, for the average district, the 95 percent confidence interval around the predicted proportions that drive the demand and supply projections</w:t>
      </w:r>
      <w:r w:rsidR="00277E7B">
        <w:t xml:space="preserve"> was considered</w:t>
      </w:r>
      <w:r>
        <w:t>.</w:t>
      </w:r>
    </w:p>
    <w:p w:rsidR="00C157EC" w:rsidRDefault="00C157EC" w:rsidP="00E26AE5">
      <w:pPr>
        <w:pStyle w:val="Heading5"/>
      </w:pPr>
      <w:r>
        <w:t>Demand Projections</w:t>
      </w:r>
    </w:p>
    <w:p w:rsidR="00C157EC" w:rsidRDefault="00C157EC" w:rsidP="00E26AE5">
      <w:pPr>
        <w:pStyle w:val="Heading6"/>
      </w:pPr>
      <w:r>
        <w:t>Average Percent Errors (APEs) and Mean Absolute Percent Errors (MAPEs)</w:t>
      </w:r>
    </w:p>
    <w:p w:rsidR="00C157EC" w:rsidRDefault="00C157EC" w:rsidP="00E26AE5">
      <w:pPr>
        <w:pStyle w:val="BodyText"/>
      </w:pPr>
      <w:r>
        <w:t>When the predicted proportions are applied to the overall demand, the APEs and MAPEs for the demand estimates indicate the models generally do a good job of predicting demand for historical years. However, the APE for the minority demand model of 0.69 indicates a possible upward bias of the projections. In other words</w:t>
      </w:r>
      <w:r w:rsidR="005D1DAC">
        <w:t>,</w:t>
      </w:r>
      <w:r>
        <w:t xml:space="preserve"> demand for minority teachers was potentially overestimated. This indicates that the projected shortage of minority teachers is potentially overstated. The MAPE for </w:t>
      </w:r>
      <w:r w:rsidR="005D1DAC">
        <w:t>W</w:t>
      </w:r>
      <w:r>
        <w:t xml:space="preserve">hite teachers is below </w:t>
      </w:r>
      <w:r w:rsidR="00320CFB">
        <w:t xml:space="preserve">0.10 </w:t>
      </w:r>
      <w:r>
        <w:t>percent</w:t>
      </w:r>
      <w:r w:rsidR="005D1DAC">
        <w:t>,</w:t>
      </w:r>
      <w:r>
        <w:t xml:space="preserve"> and the MAPE for minority teachers is below </w:t>
      </w:r>
      <w:r w:rsidR="005D1DAC">
        <w:t xml:space="preserve">1 </w:t>
      </w:r>
      <w:r>
        <w:t>percent</w:t>
      </w:r>
      <w:r w:rsidR="00320CFB">
        <w:t>,</w:t>
      </w:r>
      <w:r>
        <w:t xml:space="preserve"> indicating the models have low overall error.</w:t>
      </w:r>
    </w:p>
    <w:p w:rsidR="00C157EC" w:rsidRDefault="00C157EC" w:rsidP="00C157EC">
      <w:pPr>
        <w:pStyle w:val="Heading5"/>
      </w:pPr>
      <w:r>
        <w:t>Confidence Intervals</w:t>
      </w:r>
    </w:p>
    <w:p w:rsidR="00C157EC" w:rsidRDefault="00C157EC" w:rsidP="00E26AE5">
      <w:pPr>
        <w:pStyle w:val="BodyText"/>
      </w:pPr>
      <w:r>
        <w:t xml:space="preserve">The 95 percent confidence intervals around the projected proportions of </w:t>
      </w:r>
      <w:r w:rsidR="00E717D5">
        <w:t>W</w:t>
      </w:r>
      <w:r>
        <w:t xml:space="preserve">hite teachers are larger in absolute terms than those of their minority counterparts, and as a percentage above and below the point </w:t>
      </w:r>
      <w:proofErr w:type="gramStart"/>
      <w:r>
        <w:t>estimates</w:t>
      </w:r>
      <w:r w:rsidR="00E717D5">
        <w:t>,</w:t>
      </w:r>
      <w:proofErr w:type="gramEnd"/>
      <w:r>
        <w:t xml:space="preserve"> the confidence intervals are actually tighter for </w:t>
      </w:r>
      <w:r w:rsidR="00E717D5">
        <w:t>W</w:t>
      </w:r>
      <w:r>
        <w:t xml:space="preserve">hite teachers. However, for both teacher categories, the confidence intervals are large enough to cast some doubt on the overall projected trends over time. Additionally, the size of the confidence intervals for both minority and </w:t>
      </w:r>
      <w:r w:rsidR="00E717D5">
        <w:t>W</w:t>
      </w:r>
      <w:r>
        <w:t>hite teachers grow by a factor of four over time, indicating more precision in estimates in earlier years.</w:t>
      </w:r>
    </w:p>
    <w:p w:rsidR="00C157EC" w:rsidRDefault="00C157EC" w:rsidP="00E26AE5">
      <w:pPr>
        <w:pStyle w:val="Heading5"/>
      </w:pPr>
      <w:r>
        <w:t>Supply Projections</w:t>
      </w:r>
    </w:p>
    <w:p w:rsidR="00C157EC" w:rsidRDefault="00C157EC" w:rsidP="00E26AE5">
      <w:pPr>
        <w:pStyle w:val="Heading6"/>
      </w:pPr>
      <w:r>
        <w:t>Average Percent Errors (APEs) and Mean Absolute Percent Errors (MAPEs)</w:t>
      </w:r>
    </w:p>
    <w:p w:rsidR="00C157EC" w:rsidRDefault="00C157EC" w:rsidP="00E26AE5">
      <w:pPr>
        <w:pStyle w:val="BodyText"/>
      </w:pPr>
      <w:r>
        <w:t xml:space="preserve">For the models predicting supply of both minority and </w:t>
      </w:r>
      <w:r w:rsidR="000D5EC0">
        <w:t>W</w:t>
      </w:r>
      <w:r>
        <w:t>hite teachers</w:t>
      </w:r>
      <w:r w:rsidR="000D5EC0">
        <w:t>,</w:t>
      </w:r>
      <w:r>
        <w:t xml:space="preserve"> APEs are </w:t>
      </w:r>
      <w:r w:rsidR="006A379C">
        <w:t>very small</w:t>
      </w:r>
      <w:r w:rsidR="00857555">
        <w:t xml:space="preserve"> and close to zero</w:t>
      </w:r>
      <w:r w:rsidR="000D5EC0">
        <w:t>,</w:t>
      </w:r>
      <w:r w:rsidR="00857555">
        <w:t xml:space="preserve"> at -0.02</w:t>
      </w:r>
      <w:r w:rsidR="006A379C">
        <w:t xml:space="preserve"> and </w:t>
      </w:r>
      <w:r w:rsidR="00857555">
        <w:t>0.05</w:t>
      </w:r>
      <w:r w:rsidR="000D5EC0">
        <w:t>,</w:t>
      </w:r>
      <w:r>
        <w:t xml:space="preserve"> respectively</w:t>
      </w:r>
      <w:r w:rsidR="000D5EC0">
        <w:t>,</w:t>
      </w:r>
      <w:r>
        <w:t xml:space="preserve"> indicating very little upward or downward bias is evident in the projections. The MAPEs for the models of supply of </w:t>
      </w:r>
      <w:r w:rsidR="000D5EC0">
        <w:t>W</w:t>
      </w:r>
      <w:r>
        <w:t>hite and minority teachers indicate the supply models have slightly more error than the demand models with</w:t>
      </w:r>
      <w:r w:rsidR="000D5EC0">
        <w:t>,</w:t>
      </w:r>
      <w:r>
        <w:t xml:space="preserve"> MAPEs of 0.6 percent for </w:t>
      </w:r>
      <w:r w:rsidR="000D5EC0">
        <w:t>W</w:t>
      </w:r>
      <w:r>
        <w:t xml:space="preserve">hite teacher supply and </w:t>
      </w:r>
      <w:r w:rsidR="00857555">
        <w:t xml:space="preserve">about </w:t>
      </w:r>
      <w:r>
        <w:t>1.4 percent for minority teacher supply. However, both of these models are well within the standard for what could be considered a good fit.</w:t>
      </w:r>
      <w:r>
        <w:rPr>
          <w:rStyle w:val="FootnoteReference"/>
        </w:rPr>
        <w:footnoteReference w:id="26"/>
      </w:r>
    </w:p>
    <w:p w:rsidR="00C157EC" w:rsidRDefault="00C157EC" w:rsidP="00C157EC">
      <w:pPr>
        <w:pStyle w:val="Heading5"/>
      </w:pPr>
      <w:r>
        <w:t>Confidence Intervals</w:t>
      </w:r>
    </w:p>
    <w:p w:rsidR="00C157EC" w:rsidRDefault="00C157EC" w:rsidP="0044224B">
      <w:pPr>
        <w:pStyle w:val="BodyText"/>
      </w:pPr>
      <w:r>
        <w:t xml:space="preserve">The confidence intervals for supply of minority teachers indicate that for an average district, the trend in the supply of minority teachers over time is quite uncertain. For an average district, the 95 percent confidence intervals are quite large in the final projected year, while for </w:t>
      </w:r>
      <w:r w:rsidR="003B02DB">
        <w:t>W</w:t>
      </w:r>
      <w:r>
        <w:t xml:space="preserve">hite teachers the relative size in the final projected year is more modest. However, for the district average estimates for both minority and </w:t>
      </w:r>
      <w:r w:rsidR="003B02DB">
        <w:t>W</w:t>
      </w:r>
      <w:r>
        <w:t>hite supply, confidence intervals are more than three times larger in 2023</w:t>
      </w:r>
      <w:r w:rsidR="003B02DB">
        <w:t>–</w:t>
      </w:r>
      <w:r>
        <w:t xml:space="preserve">24 compared </w:t>
      </w:r>
      <w:r w:rsidR="00AE5A44">
        <w:t>with</w:t>
      </w:r>
      <w:r>
        <w:t xml:space="preserve"> 2014</w:t>
      </w:r>
      <w:r w:rsidR="003B02DB">
        <w:t>–</w:t>
      </w:r>
      <w:r>
        <w:t>15.</w:t>
      </w:r>
    </w:p>
    <w:p w:rsidR="00C157EC" w:rsidRDefault="00C157EC" w:rsidP="0044224B">
      <w:pPr>
        <w:pStyle w:val="Heading4"/>
      </w:pPr>
      <w:bookmarkStart w:id="92" w:name="_Toc435784257"/>
      <w:r>
        <w:t>Research Question 4b</w:t>
      </w:r>
      <w:r w:rsidR="00AE5A44">
        <w:t>:</w:t>
      </w:r>
      <w:r>
        <w:t xml:space="preserve"> Demand and Supply Projections by Age</w:t>
      </w:r>
      <w:bookmarkEnd w:id="92"/>
    </w:p>
    <w:p w:rsidR="00C157EC" w:rsidRDefault="00C157EC" w:rsidP="00C157EC">
      <w:pPr>
        <w:pStyle w:val="Heading5"/>
      </w:pPr>
      <w:r>
        <w:t>Demand Projections by Age</w:t>
      </w:r>
    </w:p>
    <w:p w:rsidR="00C157EC" w:rsidRPr="00C918FB" w:rsidRDefault="00C157EC" w:rsidP="0044224B">
      <w:pPr>
        <w:pStyle w:val="BodyText"/>
      </w:pPr>
      <w:r>
        <w:t xml:space="preserve">To develop demand projections across age group categories, </w:t>
      </w:r>
      <w:r w:rsidR="00995554">
        <w:t xml:space="preserve">the AIR research team </w:t>
      </w:r>
      <w:r>
        <w:t xml:space="preserve">first estimated the proportion of total teachers expected to fall into each of the age categories over time. The estimated proportions by age group are shown in </w:t>
      </w:r>
      <w:r w:rsidR="00995554">
        <w:t>Table 1</w:t>
      </w:r>
      <w:r w:rsidR="00DB10EA">
        <w:t>8</w:t>
      </w:r>
      <w:r>
        <w:t>. As can be seen, the two age groups expected to show the largest proportion increases over time are 41</w:t>
      </w:r>
      <w:r w:rsidR="00995554">
        <w:t>–</w:t>
      </w:r>
      <w:r>
        <w:t xml:space="preserve">48 and </w:t>
      </w:r>
      <w:r w:rsidR="00F82300">
        <w:t>over 64</w:t>
      </w:r>
      <w:r>
        <w:t>. The group showing the largest decline is 49</w:t>
      </w:r>
      <w:r w:rsidR="00995554">
        <w:t>–</w:t>
      </w:r>
      <w:r>
        <w:t xml:space="preserve">56. </w:t>
      </w:r>
      <w:r w:rsidR="0027264A">
        <w:t>Although</w:t>
      </w:r>
      <w:r>
        <w:t xml:space="preserve"> it is easy to understand why the </w:t>
      </w:r>
      <w:r w:rsidR="00F82300">
        <w:t xml:space="preserve">over 64 </w:t>
      </w:r>
      <w:r>
        <w:t>age group is projected to increase</w:t>
      </w:r>
      <w:r w:rsidR="00995554">
        <w:t>—</w:t>
      </w:r>
      <w:r>
        <w:t>the recent recession may have led to a decrease in the retirement rate</w:t>
      </w:r>
      <w:r w:rsidR="00995554">
        <w:t>—</w:t>
      </w:r>
      <w:r>
        <w:t>it is less easy to explain why we see a dramatic increase in those 41</w:t>
      </w:r>
      <w:r w:rsidR="00995554">
        <w:t>–</w:t>
      </w:r>
      <w:r>
        <w:t>48 and a decrease in those 49</w:t>
      </w:r>
      <w:r w:rsidR="00995554">
        <w:t>–</w:t>
      </w:r>
      <w:r>
        <w:t xml:space="preserve">56. </w:t>
      </w:r>
    </w:p>
    <w:p w:rsidR="00C157EC" w:rsidRPr="0044224B" w:rsidRDefault="00995554" w:rsidP="0044224B">
      <w:pPr>
        <w:pStyle w:val="ExhibitTitle"/>
      </w:pPr>
      <w:proofErr w:type="gramStart"/>
      <w:r>
        <w:t>Table 1</w:t>
      </w:r>
      <w:r w:rsidR="00DB10EA">
        <w:t>8</w:t>
      </w:r>
      <w:r w:rsidR="00C157EC" w:rsidRPr="000331C5">
        <w:t>.</w:t>
      </w:r>
      <w:proofErr w:type="gramEnd"/>
      <w:r w:rsidR="00C157EC">
        <w:t xml:space="preserve"> Projected Percent of Teachers by Age Groups</w:t>
      </w:r>
      <w:r>
        <w:t>,</w:t>
      </w:r>
      <w:r w:rsidR="00C157EC" w:rsidRPr="002B58FC">
        <w:t xml:space="preserve"> </w:t>
      </w:r>
      <w:r w:rsidR="00C157EC">
        <w:t>2014</w:t>
      </w:r>
      <w:r>
        <w:t>–</w:t>
      </w:r>
      <w:r w:rsidR="00C157EC">
        <w:t>15</w:t>
      </w:r>
      <w:r w:rsidR="0092042A">
        <w:t xml:space="preserve"> </w:t>
      </w:r>
      <w:proofErr w:type="gramStart"/>
      <w:r w:rsidR="0092042A">
        <w:t>Through</w:t>
      </w:r>
      <w:proofErr w:type="gramEnd"/>
      <w:r w:rsidR="0092042A">
        <w:t xml:space="preserve"> </w:t>
      </w:r>
      <w:r w:rsidR="00C157EC">
        <w:t>2023</w:t>
      </w:r>
      <w:r>
        <w:t>–</w:t>
      </w:r>
      <w:r w:rsidR="00C157EC">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198"/>
        <w:gridCol w:w="1198"/>
        <w:gridCol w:w="1199"/>
        <w:gridCol w:w="1199"/>
        <w:gridCol w:w="1199"/>
        <w:gridCol w:w="1199"/>
        <w:gridCol w:w="1199"/>
        <w:gridCol w:w="1199"/>
      </w:tblGrid>
      <w:tr w:rsidR="0044224B" w:rsidRPr="00801239" w:rsidTr="00511F2C">
        <w:trPr>
          <w:cnfStyle w:val="100000000000"/>
        </w:trPr>
        <w:tc>
          <w:tcPr>
            <w:tcW w:w="625" w:type="pct"/>
            <w:tcBorders>
              <w:bottom w:val="single" w:sz="4" w:space="0" w:color="auto"/>
            </w:tcBorders>
          </w:tcPr>
          <w:p w:rsidR="00C157EC" w:rsidRPr="00807FB9" w:rsidRDefault="00C157EC" w:rsidP="00511F2C">
            <w:pPr>
              <w:pStyle w:val="TableText"/>
              <w:jc w:val="center"/>
            </w:pPr>
            <w:r w:rsidRPr="00807FB9">
              <w:t>Year</w:t>
            </w:r>
          </w:p>
        </w:tc>
        <w:tc>
          <w:tcPr>
            <w:tcW w:w="625" w:type="pct"/>
            <w:tcBorders>
              <w:bottom w:val="single" w:sz="4" w:space="0" w:color="auto"/>
            </w:tcBorders>
          </w:tcPr>
          <w:p w:rsidR="00C157EC" w:rsidRPr="00807FB9" w:rsidRDefault="00C157EC" w:rsidP="00511F2C">
            <w:pPr>
              <w:pStyle w:val="TableTextCentered"/>
            </w:pPr>
            <w:r w:rsidRPr="00807FB9">
              <w:t xml:space="preserve">% </w:t>
            </w:r>
            <w:r>
              <w:t>Under</w:t>
            </w:r>
            <w:r w:rsidR="00617CD2">
              <w:t xml:space="preserve"> 26</w:t>
            </w:r>
          </w:p>
        </w:tc>
        <w:tc>
          <w:tcPr>
            <w:tcW w:w="625" w:type="pct"/>
            <w:tcBorders>
              <w:bottom w:val="single" w:sz="4" w:space="0" w:color="auto"/>
            </w:tcBorders>
          </w:tcPr>
          <w:p w:rsidR="00C157EC" w:rsidRPr="00807FB9" w:rsidRDefault="00C157EC" w:rsidP="00511F2C">
            <w:pPr>
              <w:pStyle w:val="TableTextCentered"/>
            </w:pPr>
            <w:r w:rsidRPr="00807FB9">
              <w:t>% Age 26</w:t>
            </w:r>
            <w:r w:rsidR="00995554">
              <w:t>–</w:t>
            </w:r>
            <w:r w:rsidRPr="00807FB9">
              <w:t>32</w:t>
            </w:r>
          </w:p>
        </w:tc>
        <w:tc>
          <w:tcPr>
            <w:tcW w:w="625" w:type="pct"/>
            <w:tcBorders>
              <w:bottom w:val="single" w:sz="4" w:space="0" w:color="auto"/>
            </w:tcBorders>
          </w:tcPr>
          <w:p w:rsidR="00C157EC" w:rsidRPr="00807FB9" w:rsidRDefault="00C157EC" w:rsidP="00511F2C">
            <w:pPr>
              <w:pStyle w:val="TableTextCentered"/>
            </w:pPr>
            <w:r w:rsidRPr="00807FB9">
              <w:t>% Age 33</w:t>
            </w:r>
            <w:r w:rsidR="00995554">
              <w:t>–</w:t>
            </w:r>
            <w:r w:rsidRPr="00807FB9">
              <w:t>40</w:t>
            </w:r>
          </w:p>
        </w:tc>
        <w:tc>
          <w:tcPr>
            <w:tcW w:w="625" w:type="pct"/>
            <w:tcBorders>
              <w:bottom w:val="single" w:sz="4" w:space="0" w:color="auto"/>
            </w:tcBorders>
          </w:tcPr>
          <w:p w:rsidR="00C157EC" w:rsidRPr="00807FB9" w:rsidRDefault="00C157EC" w:rsidP="00511F2C">
            <w:pPr>
              <w:pStyle w:val="TableTextCentered"/>
            </w:pPr>
            <w:r w:rsidRPr="00807FB9">
              <w:t>% Age 41</w:t>
            </w:r>
            <w:r w:rsidR="00995554">
              <w:t>–</w:t>
            </w:r>
            <w:r w:rsidRPr="00807FB9">
              <w:t>48</w:t>
            </w:r>
          </w:p>
        </w:tc>
        <w:tc>
          <w:tcPr>
            <w:tcW w:w="625" w:type="pct"/>
            <w:tcBorders>
              <w:bottom w:val="single" w:sz="4" w:space="0" w:color="auto"/>
            </w:tcBorders>
          </w:tcPr>
          <w:p w:rsidR="00C157EC" w:rsidRPr="00807FB9" w:rsidRDefault="00C157EC" w:rsidP="00511F2C">
            <w:pPr>
              <w:pStyle w:val="TableTextCentered"/>
            </w:pPr>
            <w:r w:rsidRPr="00807FB9">
              <w:t>% Age 49</w:t>
            </w:r>
            <w:r w:rsidR="00995554">
              <w:t>–</w:t>
            </w:r>
            <w:r w:rsidRPr="00807FB9">
              <w:t>56</w:t>
            </w:r>
          </w:p>
        </w:tc>
        <w:tc>
          <w:tcPr>
            <w:tcW w:w="625" w:type="pct"/>
            <w:tcBorders>
              <w:bottom w:val="single" w:sz="4" w:space="0" w:color="auto"/>
            </w:tcBorders>
          </w:tcPr>
          <w:p w:rsidR="00C157EC" w:rsidRPr="00807FB9" w:rsidRDefault="00C157EC" w:rsidP="00511F2C">
            <w:pPr>
              <w:pStyle w:val="TableTextCentered"/>
            </w:pPr>
            <w:r w:rsidRPr="00807FB9">
              <w:t>% Age 57</w:t>
            </w:r>
            <w:r w:rsidR="00995554">
              <w:t>–</w:t>
            </w:r>
            <w:r w:rsidRPr="00807FB9">
              <w:t>64</w:t>
            </w:r>
          </w:p>
        </w:tc>
        <w:tc>
          <w:tcPr>
            <w:tcW w:w="625" w:type="pct"/>
            <w:tcBorders>
              <w:bottom w:val="single" w:sz="4" w:space="0" w:color="auto"/>
            </w:tcBorders>
          </w:tcPr>
          <w:p w:rsidR="00C157EC" w:rsidRPr="00807FB9" w:rsidRDefault="00C157EC" w:rsidP="00511F2C">
            <w:pPr>
              <w:pStyle w:val="TableTextCentered"/>
            </w:pPr>
            <w:r w:rsidRPr="00807FB9">
              <w:t xml:space="preserve">% </w:t>
            </w:r>
            <w:r>
              <w:t>Over</w:t>
            </w:r>
            <w:r w:rsidR="00617CD2">
              <w:t xml:space="preserve"> 64</w:t>
            </w:r>
          </w:p>
        </w:tc>
      </w:tr>
      <w:tr w:rsidR="0044224B" w:rsidRPr="00801239" w:rsidTr="00511F2C">
        <w:tc>
          <w:tcPr>
            <w:tcW w:w="625" w:type="pct"/>
            <w:tcBorders>
              <w:bottom w:val="single" w:sz="4" w:space="0" w:color="auto"/>
            </w:tcBorders>
          </w:tcPr>
          <w:p w:rsidR="00C157EC" w:rsidRPr="00807FB9" w:rsidRDefault="00C157EC" w:rsidP="00511F2C">
            <w:pPr>
              <w:pStyle w:val="TableText"/>
              <w:jc w:val="center"/>
            </w:pPr>
            <w:r w:rsidRPr="00807FB9">
              <w:t>20</w:t>
            </w:r>
            <w:r w:rsidR="00346F80">
              <w:t>14–</w:t>
            </w:r>
            <w:r w:rsidRPr="00807FB9">
              <w:t>15</w:t>
            </w:r>
          </w:p>
        </w:tc>
        <w:tc>
          <w:tcPr>
            <w:tcW w:w="625" w:type="pct"/>
            <w:tcBorders>
              <w:bottom w:val="single" w:sz="4" w:space="0" w:color="auto"/>
            </w:tcBorders>
          </w:tcPr>
          <w:p w:rsidR="00C157EC" w:rsidRPr="00807FB9" w:rsidRDefault="00C157EC" w:rsidP="00511F2C">
            <w:pPr>
              <w:pStyle w:val="TableTextCentered"/>
            </w:pPr>
            <w:r w:rsidRPr="00807FB9">
              <w:t>3.34%</w:t>
            </w:r>
          </w:p>
        </w:tc>
        <w:tc>
          <w:tcPr>
            <w:tcW w:w="625" w:type="pct"/>
            <w:tcBorders>
              <w:bottom w:val="single" w:sz="4" w:space="0" w:color="auto"/>
            </w:tcBorders>
          </w:tcPr>
          <w:p w:rsidR="00C157EC" w:rsidRPr="00807FB9" w:rsidRDefault="00C157EC" w:rsidP="00511F2C">
            <w:pPr>
              <w:pStyle w:val="TableTextCentered"/>
            </w:pPr>
            <w:r w:rsidRPr="00807FB9">
              <w:t>16.72%</w:t>
            </w:r>
          </w:p>
        </w:tc>
        <w:tc>
          <w:tcPr>
            <w:tcW w:w="625" w:type="pct"/>
            <w:tcBorders>
              <w:bottom w:val="single" w:sz="4" w:space="0" w:color="auto"/>
            </w:tcBorders>
          </w:tcPr>
          <w:p w:rsidR="00C157EC" w:rsidRPr="00807FB9" w:rsidRDefault="00C157EC" w:rsidP="00511F2C">
            <w:pPr>
              <w:pStyle w:val="TableTextCentered"/>
            </w:pPr>
            <w:r w:rsidRPr="00807FB9">
              <w:t>20.53%</w:t>
            </w:r>
          </w:p>
        </w:tc>
        <w:tc>
          <w:tcPr>
            <w:tcW w:w="625" w:type="pct"/>
            <w:tcBorders>
              <w:bottom w:val="single" w:sz="4" w:space="0" w:color="auto"/>
            </w:tcBorders>
          </w:tcPr>
          <w:p w:rsidR="00C157EC" w:rsidRPr="00807FB9" w:rsidRDefault="00C157EC" w:rsidP="00511F2C">
            <w:pPr>
              <w:pStyle w:val="TableTextCentered"/>
            </w:pPr>
            <w:r w:rsidRPr="00807FB9">
              <w:t>22.69%</w:t>
            </w:r>
          </w:p>
        </w:tc>
        <w:tc>
          <w:tcPr>
            <w:tcW w:w="625" w:type="pct"/>
            <w:tcBorders>
              <w:bottom w:val="single" w:sz="4" w:space="0" w:color="auto"/>
            </w:tcBorders>
          </w:tcPr>
          <w:p w:rsidR="00C157EC" w:rsidRPr="00807FB9" w:rsidRDefault="00C157EC" w:rsidP="00511F2C">
            <w:pPr>
              <w:pStyle w:val="TableTextCentered"/>
            </w:pPr>
            <w:r w:rsidRPr="00807FB9">
              <w:t>19.21%</w:t>
            </w:r>
          </w:p>
        </w:tc>
        <w:tc>
          <w:tcPr>
            <w:tcW w:w="625" w:type="pct"/>
            <w:tcBorders>
              <w:bottom w:val="single" w:sz="4" w:space="0" w:color="auto"/>
            </w:tcBorders>
          </w:tcPr>
          <w:p w:rsidR="00C157EC" w:rsidRPr="00807FB9" w:rsidRDefault="00C157EC" w:rsidP="00511F2C">
            <w:pPr>
              <w:pStyle w:val="TableTextCentered"/>
            </w:pPr>
            <w:r w:rsidRPr="00807FB9">
              <w:t>15.71%</w:t>
            </w:r>
          </w:p>
        </w:tc>
        <w:tc>
          <w:tcPr>
            <w:tcW w:w="625" w:type="pct"/>
            <w:tcBorders>
              <w:bottom w:val="single" w:sz="4" w:space="0" w:color="auto"/>
            </w:tcBorders>
          </w:tcPr>
          <w:p w:rsidR="00C157EC" w:rsidRPr="00807FB9" w:rsidRDefault="00C157EC" w:rsidP="00511F2C">
            <w:pPr>
              <w:pStyle w:val="TableTextCentered"/>
            </w:pPr>
            <w:r w:rsidRPr="00807FB9">
              <w:t>1.79%</w:t>
            </w:r>
          </w:p>
        </w:tc>
      </w:tr>
      <w:tr w:rsidR="0044224B" w:rsidRPr="00801239" w:rsidTr="00511F2C">
        <w:tc>
          <w:tcPr>
            <w:tcW w:w="625" w:type="pct"/>
            <w:tcBorders>
              <w:bottom w:val="single" w:sz="4" w:space="0" w:color="auto"/>
            </w:tcBorders>
          </w:tcPr>
          <w:p w:rsidR="00C157EC" w:rsidRPr="00807FB9" w:rsidRDefault="00C157EC" w:rsidP="00511F2C">
            <w:pPr>
              <w:pStyle w:val="TableText"/>
              <w:jc w:val="center"/>
            </w:pPr>
            <w:r w:rsidRPr="00807FB9">
              <w:t>20</w:t>
            </w:r>
            <w:r w:rsidR="00346F80">
              <w:t>15–</w:t>
            </w:r>
            <w:r w:rsidRPr="00807FB9">
              <w:t>16</w:t>
            </w:r>
          </w:p>
        </w:tc>
        <w:tc>
          <w:tcPr>
            <w:tcW w:w="625" w:type="pct"/>
            <w:tcBorders>
              <w:bottom w:val="single" w:sz="4" w:space="0" w:color="auto"/>
            </w:tcBorders>
          </w:tcPr>
          <w:p w:rsidR="00C157EC" w:rsidRPr="00807FB9" w:rsidRDefault="00C157EC" w:rsidP="00511F2C">
            <w:pPr>
              <w:pStyle w:val="TableTextCentered"/>
            </w:pPr>
            <w:r w:rsidRPr="00807FB9">
              <w:t>3.16%</w:t>
            </w:r>
          </w:p>
        </w:tc>
        <w:tc>
          <w:tcPr>
            <w:tcW w:w="625" w:type="pct"/>
            <w:tcBorders>
              <w:bottom w:val="single" w:sz="4" w:space="0" w:color="auto"/>
            </w:tcBorders>
          </w:tcPr>
          <w:p w:rsidR="00C157EC" w:rsidRPr="00807FB9" w:rsidRDefault="00C157EC" w:rsidP="00511F2C">
            <w:pPr>
              <w:pStyle w:val="TableTextCentered"/>
            </w:pPr>
            <w:r w:rsidRPr="00807FB9">
              <w:t>16.62%</w:t>
            </w:r>
          </w:p>
        </w:tc>
        <w:tc>
          <w:tcPr>
            <w:tcW w:w="625" w:type="pct"/>
            <w:tcBorders>
              <w:bottom w:val="single" w:sz="4" w:space="0" w:color="auto"/>
            </w:tcBorders>
          </w:tcPr>
          <w:p w:rsidR="00C157EC" w:rsidRPr="00807FB9" w:rsidRDefault="00C157EC" w:rsidP="00511F2C">
            <w:pPr>
              <w:pStyle w:val="TableTextCentered"/>
            </w:pPr>
            <w:r w:rsidRPr="00807FB9">
              <w:t>20.66%</w:t>
            </w:r>
          </w:p>
        </w:tc>
        <w:tc>
          <w:tcPr>
            <w:tcW w:w="625" w:type="pct"/>
            <w:tcBorders>
              <w:bottom w:val="single" w:sz="4" w:space="0" w:color="auto"/>
            </w:tcBorders>
          </w:tcPr>
          <w:p w:rsidR="00C157EC" w:rsidRPr="00807FB9" w:rsidRDefault="00C157EC" w:rsidP="00511F2C">
            <w:pPr>
              <w:pStyle w:val="TableTextCentered"/>
            </w:pPr>
            <w:r w:rsidRPr="00807FB9">
              <w:t>23.47%</w:t>
            </w:r>
          </w:p>
        </w:tc>
        <w:tc>
          <w:tcPr>
            <w:tcW w:w="625" w:type="pct"/>
            <w:tcBorders>
              <w:bottom w:val="single" w:sz="4" w:space="0" w:color="auto"/>
            </w:tcBorders>
          </w:tcPr>
          <w:p w:rsidR="00C157EC" w:rsidRPr="00807FB9" w:rsidRDefault="00C157EC" w:rsidP="00511F2C">
            <w:pPr>
              <w:pStyle w:val="TableTextCentered"/>
            </w:pPr>
            <w:r w:rsidRPr="00807FB9">
              <w:t>18.33%</w:t>
            </w:r>
          </w:p>
        </w:tc>
        <w:tc>
          <w:tcPr>
            <w:tcW w:w="625" w:type="pct"/>
            <w:tcBorders>
              <w:bottom w:val="single" w:sz="4" w:space="0" w:color="auto"/>
            </w:tcBorders>
          </w:tcPr>
          <w:p w:rsidR="00C157EC" w:rsidRPr="00807FB9" w:rsidRDefault="00C157EC" w:rsidP="00511F2C">
            <w:pPr>
              <w:pStyle w:val="TableTextCentered"/>
            </w:pPr>
            <w:r w:rsidRPr="00807FB9">
              <w:t>15.73%</w:t>
            </w:r>
          </w:p>
        </w:tc>
        <w:tc>
          <w:tcPr>
            <w:tcW w:w="625" w:type="pct"/>
            <w:tcBorders>
              <w:bottom w:val="single" w:sz="4" w:space="0" w:color="auto"/>
            </w:tcBorders>
          </w:tcPr>
          <w:p w:rsidR="00C157EC" w:rsidRPr="00807FB9" w:rsidRDefault="00C157EC" w:rsidP="00511F2C">
            <w:pPr>
              <w:pStyle w:val="TableTextCentered"/>
            </w:pPr>
            <w:r w:rsidRPr="00807FB9">
              <w:t>2.02%</w:t>
            </w:r>
          </w:p>
        </w:tc>
      </w:tr>
      <w:tr w:rsidR="0044224B" w:rsidRPr="00801239" w:rsidTr="00511F2C">
        <w:tc>
          <w:tcPr>
            <w:tcW w:w="625" w:type="pct"/>
            <w:tcBorders>
              <w:bottom w:val="single" w:sz="4" w:space="0" w:color="auto"/>
            </w:tcBorders>
          </w:tcPr>
          <w:p w:rsidR="00C157EC" w:rsidRPr="00807FB9" w:rsidRDefault="00C157EC" w:rsidP="00511F2C">
            <w:pPr>
              <w:pStyle w:val="TableText"/>
              <w:jc w:val="center"/>
            </w:pPr>
            <w:r w:rsidRPr="00807FB9">
              <w:t>20</w:t>
            </w:r>
            <w:r w:rsidR="00346F80">
              <w:t>16–</w:t>
            </w:r>
            <w:r w:rsidRPr="00807FB9">
              <w:t>17</w:t>
            </w:r>
          </w:p>
        </w:tc>
        <w:tc>
          <w:tcPr>
            <w:tcW w:w="625" w:type="pct"/>
            <w:tcBorders>
              <w:bottom w:val="single" w:sz="4" w:space="0" w:color="auto"/>
            </w:tcBorders>
          </w:tcPr>
          <w:p w:rsidR="00C157EC" w:rsidRPr="00807FB9" w:rsidRDefault="00C157EC" w:rsidP="00511F2C">
            <w:pPr>
              <w:pStyle w:val="TableTextCentered"/>
            </w:pPr>
            <w:r w:rsidRPr="00807FB9">
              <w:t>3.00%</w:t>
            </w:r>
          </w:p>
        </w:tc>
        <w:tc>
          <w:tcPr>
            <w:tcW w:w="625" w:type="pct"/>
            <w:tcBorders>
              <w:bottom w:val="single" w:sz="4" w:space="0" w:color="auto"/>
            </w:tcBorders>
          </w:tcPr>
          <w:p w:rsidR="00C157EC" w:rsidRPr="00807FB9" w:rsidRDefault="00C157EC" w:rsidP="00511F2C">
            <w:pPr>
              <w:pStyle w:val="TableTextCentered"/>
            </w:pPr>
            <w:r w:rsidRPr="00807FB9">
              <w:t>16.50%</w:t>
            </w:r>
          </w:p>
        </w:tc>
        <w:tc>
          <w:tcPr>
            <w:tcW w:w="625" w:type="pct"/>
            <w:tcBorders>
              <w:bottom w:val="single" w:sz="4" w:space="0" w:color="auto"/>
            </w:tcBorders>
          </w:tcPr>
          <w:p w:rsidR="00C157EC" w:rsidRPr="00807FB9" w:rsidRDefault="00C157EC" w:rsidP="00511F2C">
            <w:pPr>
              <w:pStyle w:val="TableTextCentered"/>
            </w:pPr>
            <w:r w:rsidRPr="00807FB9">
              <w:t>20.77%</w:t>
            </w:r>
          </w:p>
        </w:tc>
        <w:tc>
          <w:tcPr>
            <w:tcW w:w="625" w:type="pct"/>
            <w:tcBorders>
              <w:bottom w:val="single" w:sz="4" w:space="0" w:color="auto"/>
            </w:tcBorders>
          </w:tcPr>
          <w:p w:rsidR="00C157EC" w:rsidRPr="00807FB9" w:rsidRDefault="00C157EC" w:rsidP="00511F2C">
            <w:pPr>
              <w:pStyle w:val="TableTextCentered"/>
            </w:pPr>
            <w:r w:rsidRPr="00807FB9">
              <w:t>24.24%</w:t>
            </w:r>
          </w:p>
        </w:tc>
        <w:tc>
          <w:tcPr>
            <w:tcW w:w="625" w:type="pct"/>
            <w:tcBorders>
              <w:bottom w:val="single" w:sz="4" w:space="0" w:color="auto"/>
            </w:tcBorders>
          </w:tcPr>
          <w:p w:rsidR="00C157EC" w:rsidRPr="00807FB9" w:rsidRDefault="00C157EC" w:rsidP="00511F2C">
            <w:pPr>
              <w:pStyle w:val="TableTextCentered"/>
            </w:pPr>
            <w:r w:rsidRPr="00807FB9">
              <w:t>17.47%</w:t>
            </w:r>
          </w:p>
        </w:tc>
        <w:tc>
          <w:tcPr>
            <w:tcW w:w="625" w:type="pct"/>
            <w:tcBorders>
              <w:bottom w:val="single" w:sz="4" w:space="0" w:color="auto"/>
            </w:tcBorders>
          </w:tcPr>
          <w:p w:rsidR="00C157EC" w:rsidRPr="00807FB9" w:rsidRDefault="00C157EC" w:rsidP="00511F2C">
            <w:pPr>
              <w:pStyle w:val="TableTextCentered"/>
            </w:pPr>
            <w:r w:rsidRPr="00807FB9">
              <w:t>15.73%</w:t>
            </w:r>
          </w:p>
        </w:tc>
        <w:tc>
          <w:tcPr>
            <w:tcW w:w="625" w:type="pct"/>
            <w:tcBorders>
              <w:bottom w:val="single" w:sz="4" w:space="0" w:color="auto"/>
            </w:tcBorders>
          </w:tcPr>
          <w:p w:rsidR="00C157EC" w:rsidRPr="00807FB9" w:rsidRDefault="00C157EC" w:rsidP="00511F2C">
            <w:pPr>
              <w:pStyle w:val="TableTextCentered"/>
            </w:pPr>
            <w:r w:rsidRPr="00807FB9">
              <w:t>2.28%</w:t>
            </w:r>
          </w:p>
        </w:tc>
      </w:tr>
      <w:tr w:rsidR="0044224B" w:rsidRPr="00801239" w:rsidTr="00511F2C">
        <w:tc>
          <w:tcPr>
            <w:tcW w:w="625" w:type="pct"/>
            <w:tcBorders>
              <w:bottom w:val="single" w:sz="4" w:space="0" w:color="auto"/>
            </w:tcBorders>
          </w:tcPr>
          <w:p w:rsidR="00C157EC" w:rsidRPr="00807FB9" w:rsidRDefault="00C157EC" w:rsidP="00511F2C">
            <w:pPr>
              <w:pStyle w:val="TableText"/>
              <w:jc w:val="center"/>
            </w:pPr>
            <w:r w:rsidRPr="00807FB9">
              <w:t>20</w:t>
            </w:r>
            <w:r w:rsidR="00346F80">
              <w:t>17–</w:t>
            </w:r>
            <w:r w:rsidRPr="00807FB9">
              <w:t>18</w:t>
            </w:r>
          </w:p>
        </w:tc>
        <w:tc>
          <w:tcPr>
            <w:tcW w:w="625" w:type="pct"/>
            <w:tcBorders>
              <w:bottom w:val="single" w:sz="4" w:space="0" w:color="auto"/>
            </w:tcBorders>
          </w:tcPr>
          <w:p w:rsidR="00C157EC" w:rsidRPr="00807FB9" w:rsidRDefault="00C157EC" w:rsidP="00511F2C">
            <w:pPr>
              <w:pStyle w:val="TableTextCentered"/>
            </w:pPr>
            <w:r w:rsidRPr="00807FB9">
              <w:t>2.86%</w:t>
            </w:r>
          </w:p>
        </w:tc>
        <w:tc>
          <w:tcPr>
            <w:tcW w:w="625" w:type="pct"/>
            <w:tcBorders>
              <w:bottom w:val="single" w:sz="4" w:space="0" w:color="auto"/>
            </w:tcBorders>
          </w:tcPr>
          <w:p w:rsidR="00C157EC" w:rsidRPr="00807FB9" w:rsidRDefault="00C157EC" w:rsidP="00511F2C">
            <w:pPr>
              <w:pStyle w:val="TableTextCentered"/>
            </w:pPr>
            <w:r w:rsidRPr="00807FB9">
              <w:t>16.37%</w:t>
            </w:r>
          </w:p>
        </w:tc>
        <w:tc>
          <w:tcPr>
            <w:tcW w:w="625" w:type="pct"/>
            <w:tcBorders>
              <w:bottom w:val="single" w:sz="4" w:space="0" w:color="auto"/>
            </w:tcBorders>
          </w:tcPr>
          <w:p w:rsidR="00C157EC" w:rsidRPr="00807FB9" w:rsidRDefault="00C157EC" w:rsidP="00511F2C">
            <w:pPr>
              <w:pStyle w:val="TableTextCentered"/>
            </w:pPr>
            <w:r w:rsidRPr="00807FB9">
              <w:t>20.86%</w:t>
            </w:r>
          </w:p>
        </w:tc>
        <w:tc>
          <w:tcPr>
            <w:tcW w:w="625" w:type="pct"/>
            <w:tcBorders>
              <w:bottom w:val="single" w:sz="4" w:space="0" w:color="auto"/>
            </w:tcBorders>
          </w:tcPr>
          <w:p w:rsidR="00C157EC" w:rsidRPr="00807FB9" w:rsidRDefault="00C157EC" w:rsidP="00511F2C">
            <w:pPr>
              <w:pStyle w:val="TableTextCentered"/>
            </w:pPr>
            <w:r w:rsidRPr="00807FB9">
              <w:t>25.00%</w:t>
            </w:r>
          </w:p>
        </w:tc>
        <w:tc>
          <w:tcPr>
            <w:tcW w:w="625" w:type="pct"/>
            <w:tcBorders>
              <w:bottom w:val="single" w:sz="4" w:space="0" w:color="auto"/>
            </w:tcBorders>
          </w:tcPr>
          <w:p w:rsidR="00C157EC" w:rsidRPr="00807FB9" w:rsidRDefault="00C157EC" w:rsidP="00511F2C">
            <w:pPr>
              <w:pStyle w:val="TableTextCentered"/>
            </w:pPr>
            <w:r w:rsidRPr="00807FB9">
              <w:t>16.63%</w:t>
            </w:r>
          </w:p>
        </w:tc>
        <w:tc>
          <w:tcPr>
            <w:tcW w:w="625" w:type="pct"/>
            <w:tcBorders>
              <w:bottom w:val="single" w:sz="4" w:space="0" w:color="auto"/>
            </w:tcBorders>
          </w:tcPr>
          <w:p w:rsidR="00C157EC" w:rsidRPr="00807FB9" w:rsidRDefault="00C157EC" w:rsidP="00511F2C">
            <w:pPr>
              <w:pStyle w:val="TableTextCentered"/>
            </w:pPr>
            <w:r w:rsidRPr="00807FB9">
              <w:t>15.71%</w:t>
            </w:r>
          </w:p>
        </w:tc>
        <w:tc>
          <w:tcPr>
            <w:tcW w:w="625" w:type="pct"/>
            <w:tcBorders>
              <w:bottom w:val="single" w:sz="4" w:space="0" w:color="auto"/>
            </w:tcBorders>
          </w:tcPr>
          <w:p w:rsidR="00C157EC" w:rsidRPr="00807FB9" w:rsidRDefault="00C157EC" w:rsidP="00511F2C">
            <w:pPr>
              <w:pStyle w:val="TableTextCentered"/>
            </w:pPr>
            <w:r w:rsidRPr="00807FB9">
              <w:t>2.58%</w:t>
            </w:r>
          </w:p>
        </w:tc>
      </w:tr>
      <w:tr w:rsidR="0044224B" w:rsidRPr="00801239" w:rsidTr="00511F2C">
        <w:tc>
          <w:tcPr>
            <w:tcW w:w="625" w:type="pct"/>
            <w:tcBorders>
              <w:bottom w:val="single" w:sz="4" w:space="0" w:color="auto"/>
            </w:tcBorders>
          </w:tcPr>
          <w:p w:rsidR="00C157EC" w:rsidRPr="00807FB9" w:rsidRDefault="00C157EC" w:rsidP="00511F2C">
            <w:pPr>
              <w:pStyle w:val="TableText"/>
              <w:jc w:val="center"/>
            </w:pPr>
            <w:r w:rsidRPr="00807FB9">
              <w:t>20</w:t>
            </w:r>
            <w:r w:rsidR="00346F80">
              <w:t>18–</w:t>
            </w:r>
            <w:r w:rsidRPr="00807FB9">
              <w:t>19</w:t>
            </w:r>
          </w:p>
        </w:tc>
        <w:tc>
          <w:tcPr>
            <w:tcW w:w="625" w:type="pct"/>
            <w:tcBorders>
              <w:bottom w:val="single" w:sz="4" w:space="0" w:color="auto"/>
            </w:tcBorders>
          </w:tcPr>
          <w:p w:rsidR="00C157EC" w:rsidRPr="00807FB9" w:rsidRDefault="00C157EC" w:rsidP="00511F2C">
            <w:pPr>
              <w:pStyle w:val="TableTextCentered"/>
            </w:pPr>
            <w:r w:rsidRPr="00807FB9">
              <w:t>2.73%</w:t>
            </w:r>
          </w:p>
        </w:tc>
        <w:tc>
          <w:tcPr>
            <w:tcW w:w="625" w:type="pct"/>
            <w:tcBorders>
              <w:bottom w:val="single" w:sz="4" w:space="0" w:color="auto"/>
            </w:tcBorders>
          </w:tcPr>
          <w:p w:rsidR="00C157EC" w:rsidRPr="00807FB9" w:rsidRDefault="00C157EC" w:rsidP="00511F2C">
            <w:pPr>
              <w:pStyle w:val="TableTextCentered"/>
            </w:pPr>
            <w:r w:rsidRPr="00807FB9">
              <w:t>16.22%</w:t>
            </w:r>
          </w:p>
        </w:tc>
        <w:tc>
          <w:tcPr>
            <w:tcW w:w="625" w:type="pct"/>
            <w:tcBorders>
              <w:bottom w:val="single" w:sz="4" w:space="0" w:color="auto"/>
            </w:tcBorders>
          </w:tcPr>
          <w:p w:rsidR="00C157EC" w:rsidRPr="00807FB9" w:rsidRDefault="00C157EC" w:rsidP="00511F2C">
            <w:pPr>
              <w:pStyle w:val="TableTextCentered"/>
            </w:pPr>
            <w:r w:rsidRPr="00807FB9">
              <w:t>20.92%</w:t>
            </w:r>
          </w:p>
        </w:tc>
        <w:tc>
          <w:tcPr>
            <w:tcW w:w="625" w:type="pct"/>
            <w:tcBorders>
              <w:bottom w:val="single" w:sz="4" w:space="0" w:color="auto"/>
            </w:tcBorders>
          </w:tcPr>
          <w:p w:rsidR="00C157EC" w:rsidRPr="00807FB9" w:rsidRDefault="00C157EC" w:rsidP="00511F2C">
            <w:pPr>
              <w:pStyle w:val="TableTextCentered"/>
            </w:pPr>
            <w:r w:rsidRPr="00807FB9">
              <w:t>25.73%</w:t>
            </w:r>
          </w:p>
        </w:tc>
        <w:tc>
          <w:tcPr>
            <w:tcW w:w="625" w:type="pct"/>
            <w:tcBorders>
              <w:bottom w:val="single" w:sz="4" w:space="0" w:color="auto"/>
            </w:tcBorders>
          </w:tcPr>
          <w:p w:rsidR="00C157EC" w:rsidRPr="00807FB9" w:rsidRDefault="00C157EC" w:rsidP="00511F2C">
            <w:pPr>
              <w:pStyle w:val="TableTextCentered"/>
            </w:pPr>
            <w:r w:rsidRPr="00807FB9">
              <w:t>15.81%</w:t>
            </w:r>
          </w:p>
        </w:tc>
        <w:tc>
          <w:tcPr>
            <w:tcW w:w="625" w:type="pct"/>
            <w:tcBorders>
              <w:bottom w:val="single" w:sz="4" w:space="0" w:color="auto"/>
            </w:tcBorders>
          </w:tcPr>
          <w:p w:rsidR="00C157EC" w:rsidRPr="00807FB9" w:rsidRDefault="00C157EC" w:rsidP="00511F2C">
            <w:pPr>
              <w:pStyle w:val="TableTextCentered"/>
            </w:pPr>
            <w:r w:rsidRPr="00807FB9">
              <w:t>15.67%</w:t>
            </w:r>
          </w:p>
        </w:tc>
        <w:tc>
          <w:tcPr>
            <w:tcW w:w="625" w:type="pct"/>
            <w:tcBorders>
              <w:bottom w:val="single" w:sz="4" w:space="0" w:color="auto"/>
            </w:tcBorders>
          </w:tcPr>
          <w:p w:rsidR="00C157EC" w:rsidRPr="00807FB9" w:rsidRDefault="00C157EC" w:rsidP="00511F2C">
            <w:pPr>
              <w:pStyle w:val="TableTextCentered"/>
            </w:pPr>
            <w:r w:rsidRPr="00807FB9">
              <w:t>2.91%</w:t>
            </w:r>
          </w:p>
        </w:tc>
      </w:tr>
      <w:tr w:rsidR="0044224B" w:rsidRPr="00801239" w:rsidTr="00511F2C">
        <w:tc>
          <w:tcPr>
            <w:tcW w:w="625" w:type="pct"/>
            <w:tcBorders>
              <w:bottom w:val="single" w:sz="4" w:space="0" w:color="auto"/>
            </w:tcBorders>
          </w:tcPr>
          <w:p w:rsidR="00C157EC" w:rsidRPr="00807FB9" w:rsidRDefault="00C157EC" w:rsidP="00511F2C">
            <w:pPr>
              <w:pStyle w:val="TableText"/>
              <w:jc w:val="center"/>
            </w:pPr>
            <w:r w:rsidRPr="00807FB9">
              <w:t>20</w:t>
            </w:r>
            <w:r w:rsidR="00346F80">
              <w:t>19–</w:t>
            </w:r>
            <w:r w:rsidRPr="00807FB9">
              <w:t>20</w:t>
            </w:r>
          </w:p>
        </w:tc>
        <w:tc>
          <w:tcPr>
            <w:tcW w:w="625" w:type="pct"/>
            <w:tcBorders>
              <w:bottom w:val="single" w:sz="4" w:space="0" w:color="auto"/>
            </w:tcBorders>
          </w:tcPr>
          <w:p w:rsidR="00C157EC" w:rsidRPr="00807FB9" w:rsidRDefault="00C157EC" w:rsidP="00511F2C">
            <w:pPr>
              <w:pStyle w:val="TableTextCentered"/>
            </w:pPr>
            <w:r w:rsidRPr="00807FB9">
              <w:t>2.62%</w:t>
            </w:r>
          </w:p>
        </w:tc>
        <w:tc>
          <w:tcPr>
            <w:tcW w:w="625" w:type="pct"/>
            <w:tcBorders>
              <w:bottom w:val="single" w:sz="4" w:space="0" w:color="auto"/>
            </w:tcBorders>
          </w:tcPr>
          <w:p w:rsidR="00C157EC" w:rsidRPr="00807FB9" w:rsidRDefault="00C157EC" w:rsidP="00511F2C">
            <w:pPr>
              <w:pStyle w:val="TableTextCentered"/>
            </w:pPr>
            <w:r w:rsidRPr="00807FB9">
              <w:t>16.07%</w:t>
            </w:r>
          </w:p>
        </w:tc>
        <w:tc>
          <w:tcPr>
            <w:tcW w:w="625" w:type="pct"/>
            <w:tcBorders>
              <w:bottom w:val="single" w:sz="4" w:space="0" w:color="auto"/>
            </w:tcBorders>
          </w:tcPr>
          <w:p w:rsidR="00C157EC" w:rsidRPr="00807FB9" w:rsidRDefault="00C157EC" w:rsidP="00511F2C">
            <w:pPr>
              <w:pStyle w:val="TableTextCentered"/>
            </w:pPr>
            <w:r w:rsidRPr="00807FB9">
              <w:t>20.96%</w:t>
            </w:r>
          </w:p>
        </w:tc>
        <w:tc>
          <w:tcPr>
            <w:tcW w:w="625" w:type="pct"/>
            <w:tcBorders>
              <w:bottom w:val="single" w:sz="4" w:space="0" w:color="auto"/>
            </w:tcBorders>
          </w:tcPr>
          <w:p w:rsidR="00C157EC" w:rsidRPr="00807FB9" w:rsidRDefault="00C157EC" w:rsidP="00511F2C">
            <w:pPr>
              <w:pStyle w:val="TableTextCentered"/>
            </w:pPr>
            <w:r w:rsidRPr="00807FB9">
              <w:t>26.45%</w:t>
            </w:r>
          </w:p>
        </w:tc>
        <w:tc>
          <w:tcPr>
            <w:tcW w:w="625" w:type="pct"/>
            <w:tcBorders>
              <w:bottom w:val="single" w:sz="4" w:space="0" w:color="auto"/>
            </w:tcBorders>
          </w:tcPr>
          <w:p w:rsidR="00C157EC" w:rsidRPr="00807FB9" w:rsidRDefault="00C157EC" w:rsidP="00511F2C">
            <w:pPr>
              <w:pStyle w:val="TableTextCentered"/>
            </w:pPr>
            <w:r w:rsidRPr="00807FB9">
              <w:t>15.01%</w:t>
            </w:r>
          </w:p>
        </w:tc>
        <w:tc>
          <w:tcPr>
            <w:tcW w:w="625" w:type="pct"/>
            <w:tcBorders>
              <w:bottom w:val="single" w:sz="4" w:space="0" w:color="auto"/>
            </w:tcBorders>
          </w:tcPr>
          <w:p w:rsidR="00C157EC" w:rsidRPr="00807FB9" w:rsidRDefault="00C157EC" w:rsidP="00511F2C">
            <w:pPr>
              <w:pStyle w:val="TableTextCentered"/>
            </w:pPr>
            <w:r w:rsidRPr="00807FB9">
              <w:t>15.62%</w:t>
            </w:r>
          </w:p>
        </w:tc>
        <w:tc>
          <w:tcPr>
            <w:tcW w:w="625" w:type="pct"/>
            <w:tcBorders>
              <w:bottom w:val="single" w:sz="4" w:space="0" w:color="auto"/>
            </w:tcBorders>
          </w:tcPr>
          <w:p w:rsidR="00C157EC" w:rsidRPr="00807FB9" w:rsidRDefault="00C157EC" w:rsidP="00511F2C">
            <w:pPr>
              <w:pStyle w:val="TableTextCentered"/>
            </w:pPr>
            <w:r w:rsidRPr="00807FB9">
              <w:t>3.28%</w:t>
            </w:r>
          </w:p>
        </w:tc>
      </w:tr>
      <w:tr w:rsidR="0044224B" w:rsidRPr="00801239" w:rsidTr="00511F2C">
        <w:tc>
          <w:tcPr>
            <w:tcW w:w="625" w:type="pct"/>
            <w:tcBorders>
              <w:bottom w:val="single" w:sz="4" w:space="0" w:color="auto"/>
            </w:tcBorders>
          </w:tcPr>
          <w:p w:rsidR="00C157EC" w:rsidRPr="00807FB9" w:rsidRDefault="00C157EC" w:rsidP="00511F2C">
            <w:pPr>
              <w:pStyle w:val="TableText"/>
              <w:jc w:val="center"/>
            </w:pPr>
            <w:r w:rsidRPr="00807FB9">
              <w:t>20</w:t>
            </w:r>
            <w:r w:rsidR="00346F80">
              <w:t>20–</w:t>
            </w:r>
            <w:r w:rsidRPr="00807FB9">
              <w:t>21</w:t>
            </w:r>
          </w:p>
        </w:tc>
        <w:tc>
          <w:tcPr>
            <w:tcW w:w="625" w:type="pct"/>
            <w:tcBorders>
              <w:bottom w:val="single" w:sz="4" w:space="0" w:color="auto"/>
            </w:tcBorders>
          </w:tcPr>
          <w:p w:rsidR="00C157EC" w:rsidRPr="00807FB9" w:rsidRDefault="00C157EC" w:rsidP="00511F2C">
            <w:pPr>
              <w:pStyle w:val="TableTextCentered"/>
            </w:pPr>
            <w:r w:rsidRPr="00807FB9">
              <w:t>2.52%</w:t>
            </w:r>
          </w:p>
        </w:tc>
        <w:tc>
          <w:tcPr>
            <w:tcW w:w="625" w:type="pct"/>
            <w:tcBorders>
              <w:bottom w:val="single" w:sz="4" w:space="0" w:color="auto"/>
            </w:tcBorders>
          </w:tcPr>
          <w:p w:rsidR="00C157EC" w:rsidRPr="00807FB9" w:rsidRDefault="00C157EC" w:rsidP="00511F2C">
            <w:pPr>
              <w:pStyle w:val="TableTextCentered"/>
            </w:pPr>
            <w:r w:rsidRPr="00807FB9">
              <w:t>15.90%</w:t>
            </w:r>
          </w:p>
        </w:tc>
        <w:tc>
          <w:tcPr>
            <w:tcW w:w="625" w:type="pct"/>
            <w:tcBorders>
              <w:bottom w:val="single" w:sz="4" w:space="0" w:color="auto"/>
            </w:tcBorders>
          </w:tcPr>
          <w:p w:rsidR="00C157EC" w:rsidRPr="00807FB9" w:rsidRDefault="00C157EC" w:rsidP="00511F2C">
            <w:pPr>
              <w:pStyle w:val="TableTextCentered"/>
            </w:pPr>
            <w:r w:rsidRPr="00807FB9">
              <w:t>20.97%</w:t>
            </w:r>
          </w:p>
        </w:tc>
        <w:tc>
          <w:tcPr>
            <w:tcW w:w="625" w:type="pct"/>
            <w:tcBorders>
              <w:bottom w:val="single" w:sz="4" w:space="0" w:color="auto"/>
            </w:tcBorders>
          </w:tcPr>
          <w:p w:rsidR="00C157EC" w:rsidRPr="00807FB9" w:rsidRDefault="00C157EC" w:rsidP="00511F2C">
            <w:pPr>
              <w:pStyle w:val="TableTextCentered"/>
            </w:pPr>
            <w:r w:rsidRPr="00807FB9">
              <w:t>27.13%</w:t>
            </w:r>
          </w:p>
        </w:tc>
        <w:tc>
          <w:tcPr>
            <w:tcW w:w="625" w:type="pct"/>
            <w:tcBorders>
              <w:bottom w:val="single" w:sz="4" w:space="0" w:color="auto"/>
            </w:tcBorders>
          </w:tcPr>
          <w:p w:rsidR="00C157EC" w:rsidRPr="00807FB9" w:rsidRDefault="00C157EC" w:rsidP="00511F2C">
            <w:pPr>
              <w:pStyle w:val="TableTextCentered"/>
            </w:pPr>
            <w:r w:rsidRPr="00807FB9">
              <w:t>14.24%</w:t>
            </w:r>
          </w:p>
        </w:tc>
        <w:tc>
          <w:tcPr>
            <w:tcW w:w="625" w:type="pct"/>
            <w:tcBorders>
              <w:bottom w:val="single" w:sz="4" w:space="0" w:color="auto"/>
            </w:tcBorders>
          </w:tcPr>
          <w:p w:rsidR="00C157EC" w:rsidRPr="00807FB9" w:rsidRDefault="00C157EC" w:rsidP="00511F2C">
            <w:pPr>
              <w:pStyle w:val="TableTextCentered"/>
            </w:pPr>
            <w:r w:rsidRPr="00807FB9">
              <w:t>15.55%</w:t>
            </w:r>
          </w:p>
        </w:tc>
        <w:tc>
          <w:tcPr>
            <w:tcW w:w="625" w:type="pct"/>
            <w:tcBorders>
              <w:bottom w:val="single" w:sz="4" w:space="0" w:color="auto"/>
            </w:tcBorders>
          </w:tcPr>
          <w:p w:rsidR="00C157EC" w:rsidRPr="00807FB9" w:rsidRDefault="00C157EC" w:rsidP="00511F2C">
            <w:pPr>
              <w:pStyle w:val="TableTextCentered"/>
            </w:pPr>
            <w:r w:rsidRPr="00807FB9">
              <w:t>3.70%</w:t>
            </w:r>
          </w:p>
        </w:tc>
      </w:tr>
      <w:tr w:rsidR="0044224B" w:rsidRPr="00801239" w:rsidTr="00511F2C">
        <w:tc>
          <w:tcPr>
            <w:tcW w:w="625" w:type="pct"/>
            <w:tcBorders>
              <w:bottom w:val="single" w:sz="4" w:space="0" w:color="auto"/>
            </w:tcBorders>
          </w:tcPr>
          <w:p w:rsidR="00C157EC" w:rsidRPr="00807FB9" w:rsidRDefault="00C157EC" w:rsidP="00511F2C">
            <w:pPr>
              <w:pStyle w:val="TableText"/>
              <w:jc w:val="center"/>
            </w:pPr>
            <w:r w:rsidRPr="00807FB9">
              <w:t>20</w:t>
            </w:r>
            <w:r w:rsidR="00346F80">
              <w:t>21–</w:t>
            </w:r>
            <w:r w:rsidRPr="00807FB9">
              <w:t>22</w:t>
            </w:r>
          </w:p>
        </w:tc>
        <w:tc>
          <w:tcPr>
            <w:tcW w:w="625" w:type="pct"/>
            <w:tcBorders>
              <w:bottom w:val="single" w:sz="4" w:space="0" w:color="auto"/>
            </w:tcBorders>
          </w:tcPr>
          <w:p w:rsidR="00C157EC" w:rsidRPr="00807FB9" w:rsidRDefault="00C157EC" w:rsidP="00511F2C">
            <w:pPr>
              <w:pStyle w:val="TableTextCentered"/>
            </w:pPr>
            <w:r w:rsidRPr="00807FB9">
              <w:t>2.43%</w:t>
            </w:r>
          </w:p>
        </w:tc>
        <w:tc>
          <w:tcPr>
            <w:tcW w:w="625" w:type="pct"/>
            <w:tcBorders>
              <w:bottom w:val="single" w:sz="4" w:space="0" w:color="auto"/>
            </w:tcBorders>
          </w:tcPr>
          <w:p w:rsidR="00C157EC" w:rsidRPr="00807FB9" w:rsidRDefault="00C157EC" w:rsidP="00511F2C">
            <w:pPr>
              <w:pStyle w:val="TableTextCentered"/>
            </w:pPr>
            <w:r w:rsidRPr="00807FB9">
              <w:t>15.72%</w:t>
            </w:r>
          </w:p>
        </w:tc>
        <w:tc>
          <w:tcPr>
            <w:tcW w:w="625" w:type="pct"/>
            <w:tcBorders>
              <w:bottom w:val="single" w:sz="4" w:space="0" w:color="auto"/>
            </w:tcBorders>
          </w:tcPr>
          <w:p w:rsidR="00C157EC" w:rsidRPr="00807FB9" w:rsidRDefault="00C157EC" w:rsidP="00511F2C">
            <w:pPr>
              <w:pStyle w:val="TableTextCentered"/>
            </w:pPr>
            <w:r w:rsidRPr="00807FB9">
              <w:t>20.96%</w:t>
            </w:r>
          </w:p>
        </w:tc>
        <w:tc>
          <w:tcPr>
            <w:tcW w:w="625" w:type="pct"/>
            <w:tcBorders>
              <w:bottom w:val="single" w:sz="4" w:space="0" w:color="auto"/>
            </w:tcBorders>
          </w:tcPr>
          <w:p w:rsidR="00C157EC" w:rsidRPr="00807FB9" w:rsidRDefault="00C157EC" w:rsidP="00511F2C">
            <w:pPr>
              <w:pStyle w:val="TableTextCentered"/>
            </w:pPr>
            <w:r w:rsidRPr="00807FB9">
              <w:t>27.78%</w:t>
            </w:r>
          </w:p>
        </w:tc>
        <w:tc>
          <w:tcPr>
            <w:tcW w:w="625" w:type="pct"/>
            <w:tcBorders>
              <w:bottom w:val="single" w:sz="4" w:space="0" w:color="auto"/>
            </w:tcBorders>
          </w:tcPr>
          <w:p w:rsidR="00C157EC" w:rsidRPr="00807FB9" w:rsidRDefault="00C157EC" w:rsidP="00511F2C">
            <w:pPr>
              <w:pStyle w:val="TableTextCentered"/>
            </w:pPr>
            <w:r w:rsidRPr="00807FB9">
              <w:t>13.48%</w:t>
            </w:r>
          </w:p>
        </w:tc>
        <w:tc>
          <w:tcPr>
            <w:tcW w:w="625" w:type="pct"/>
            <w:tcBorders>
              <w:bottom w:val="single" w:sz="4" w:space="0" w:color="auto"/>
            </w:tcBorders>
          </w:tcPr>
          <w:p w:rsidR="00C157EC" w:rsidRPr="00807FB9" w:rsidRDefault="00C157EC" w:rsidP="00511F2C">
            <w:pPr>
              <w:pStyle w:val="TableTextCentered"/>
            </w:pPr>
            <w:r w:rsidRPr="00807FB9">
              <w:t>15.46%</w:t>
            </w:r>
          </w:p>
        </w:tc>
        <w:tc>
          <w:tcPr>
            <w:tcW w:w="625" w:type="pct"/>
            <w:tcBorders>
              <w:bottom w:val="single" w:sz="4" w:space="0" w:color="auto"/>
            </w:tcBorders>
          </w:tcPr>
          <w:p w:rsidR="00C157EC" w:rsidRPr="00807FB9" w:rsidRDefault="00C157EC" w:rsidP="00511F2C">
            <w:pPr>
              <w:pStyle w:val="TableTextCentered"/>
            </w:pPr>
            <w:r w:rsidRPr="00807FB9">
              <w:t>4.17%</w:t>
            </w:r>
          </w:p>
        </w:tc>
      </w:tr>
      <w:tr w:rsidR="0044224B" w:rsidRPr="00801239" w:rsidTr="00511F2C">
        <w:tc>
          <w:tcPr>
            <w:tcW w:w="625" w:type="pct"/>
            <w:tcBorders>
              <w:bottom w:val="single" w:sz="4" w:space="0" w:color="auto"/>
            </w:tcBorders>
          </w:tcPr>
          <w:p w:rsidR="00C157EC" w:rsidRPr="00807FB9" w:rsidRDefault="00C157EC" w:rsidP="00511F2C">
            <w:pPr>
              <w:pStyle w:val="TableText"/>
              <w:jc w:val="center"/>
            </w:pPr>
            <w:r w:rsidRPr="00807FB9">
              <w:t>20</w:t>
            </w:r>
            <w:r w:rsidR="00346F80">
              <w:t>22–</w:t>
            </w:r>
            <w:r w:rsidRPr="00807FB9">
              <w:t>23</w:t>
            </w:r>
          </w:p>
        </w:tc>
        <w:tc>
          <w:tcPr>
            <w:tcW w:w="625" w:type="pct"/>
            <w:tcBorders>
              <w:bottom w:val="single" w:sz="4" w:space="0" w:color="auto"/>
            </w:tcBorders>
          </w:tcPr>
          <w:p w:rsidR="00C157EC" w:rsidRPr="00807FB9" w:rsidRDefault="00C157EC" w:rsidP="00511F2C">
            <w:pPr>
              <w:pStyle w:val="TableTextCentered"/>
            </w:pPr>
            <w:r w:rsidRPr="00807FB9">
              <w:t>2.36%</w:t>
            </w:r>
          </w:p>
        </w:tc>
        <w:tc>
          <w:tcPr>
            <w:tcW w:w="625" w:type="pct"/>
            <w:tcBorders>
              <w:bottom w:val="single" w:sz="4" w:space="0" w:color="auto"/>
            </w:tcBorders>
          </w:tcPr>
          <w:p w:rsidR="00C157EC" w:rsidRPr="00807FB9" w:rsidRDefault="00C157EC" w:rsidP="00511F2C">
            <w:pPr>
              <w:pStyle w:val="TableTextCentered"/>
            </w:pPr>
            <w:r w:rsidRPr="00807FB9">
              <w:t>15.53%</w:t>
            </w:r>
          </w:p>
        </w:tc>
        <w:tc>
          <w:tcPr>
            <w:tcW w:w="625" w:type="pct"/>
            <w:tcBorders>
              <w:bottom w:val="single" w:sz="4" w:space="0" w:color="auto"/>
            </w:tcBorders>
          </w:tcPr>
          <w:p w:rsidR="00C157EC" w:rsidRPr="00807FB9" w:rsidRDefault="00C157EC" w:rsidP="00511F2C">
            <w:pPr>
              <w:pStyle w:val="TableTextCentered"/>
            </w:pPr>
            <w:r w:rsidRPr="00807FB9">
              <w:t>20.92%</w:t>
            </w:r>
          </w:p>
        </w:tc>
        <w:tc>
          <w:tcPr>
            <w:tcW w:w="625" w:type="pct"/>
            <w:tcBorders>
              <w:bottom w:val="single" w:sz="4" w:space="0" w:color="auto"/>
            </w:tcBorders>
          </w:tcPr>
          <w:p w:rsidR="00C157EC" w:rsidRPr="00807FB9" w:rsidRDefault="00C157EC" w:rsidP="00511F2C">
            <w:pPr>
              <w:pStyle w:val="TableTextCentered"/>
            </w:pPr>
            <w:r w:rsidRPr="00807FB9">
              <w:t>28.40%</w:t>
            </w:r>
          </w:p>
        </w:tc>
        <w:tc>
          <w:tcPr>
            <w:tcW w:w="625" w:type="pct"/>
            <w:tcBorders>
              <w:bottom w:val="single" w:sz="4" w:space="0" w:color="auto"/>
            </w:tcBorders>
          </w:tcPr>
          <w:p w:rsidR="00C157EC" w:rsidRPr="00807FB9" w:rsidRDefault="00C157EC" w:rsidP="00511F2C">
            <w:pPr>
              <w:pStyle w:val="TableTextCentered"/>
            </w:pPr>
            <w:r w:rsidRPr="00807FB9">
              <w:t>12.75%</w:t>
            </w:r>
          </w:p>
        </w:tc>
        <w:tc>
          <w:tcPr>
            <w:tcW w:w="625" w:type="pct"/>
            <w:tcBorders>
              <w:bottom w:val="single" w:sz="4" w:space="0" w:color="auto"/>
            </w:tcBorders>
          </w:tcPr>
          <w:p w:rsidR="00C157EC" w:rsidRPr="00807FB9" w:rsidRDefault="00C157EC" w:rsidP="00511F2C">
            <w:pPr>
              <w:pStyle w:val="TableTextCentered"/>
            </w:pPr>
            <w:r w:rsidRPr="00807FB9">
              <w:t>15.35%</w:t>
            </w:r>
          </w:p>
        </w:tc>
        <w:tc>
          <w:tcPr>
            <w:tcW w:w="625" w:type="pct"/>
            <w:tcBorders>
              <w:bottom w:val="single" w:sz="4" w:space="0" w:color="auto"/>
            </w:tcBorders>
          </w:tcPr>
          <w:p w:rsidR="00C157EC" w:rsidRPr="00807FB9" w:rsidRDefault="00C157EC" w:rsidP="00511F2C">
            <w:pPr>
              <w:pStyle w:val="TableTextCentered"/>
            </w:pPr>
            <w:r w:rsidRPr="00807FB9">
              <w:t>4.69%</w:t>
            </w:r>
          </w:p>
        </w:tc>
      </w:tr>
      <w:tr w:rsidR="00C157EC" w:rsidRPr="00801239" w:rsidTr="00511F2C">
        <w:tc>
          <w:tcPr>
            <w:tcW w:w="625" w:type="pct"/>
          </w:tcPr>
          <w:p w:rsidR="00C157EC" w:rsidRPr="00807FB9" w:rsidRDefault="00C157EC" w:rsidP="00511F2C">
            <w:pPr>
              <w:pStyle w:val="TableText"/>
              <w:jc w:val="center"/>
            </w:pPr>
            <w:r w:rsidRPr="00807FB9">
              <w:t>20</w:t>
            </w:r>
            <w:r w:rsidR="00346F80">
              <w:t>23–</w:t>
            </w:r>
            <w:r w:rsidRPr="00807FB9">
              <w:t>24</w:t>
            </w:r>
          </w:p>
        </w:tc>
        <w:tc>
          <w:tcPr>
            <w:tcW w:w="625" w:type="pct"/>
          </w:tcPr>
          <w:p w:rsidR="00C157EC" w:rsidRPr="00807FB9" w:rsidRDefault="00C157EC" w:rsidP="00511F2C">
            <w:pPr>
              <w:pStyle w:val="TableTextCentered"/>
            </w:pPr>
            <w:r w:rsidRPr="00807FB9">
              <w:t>2.29%</w:t>
            </w:r>
          </w:p>
        </w:tc>
        <w:tc>
          <w:tcPr>
            <w:tcW w:w="625" w:type="pct"/>
          </w:tcPr>
          <w:p w:rsidR="00C157EC" w:rsidRPr="00807FB9" w:rsidRDefault="00C157EC" w:rsidP="00511F2C">
            <w:pPr>
              <w:pStyle w:val="TableTextCentered"/>
            </w:pPr>
            <w:r w:rsidRPr="00807FB9">
              <w:t>15.32%</w:t>
            </w:r>
          </w:p>
        </w:tc>
        <w:tc>
          <w:tcPr>
            <w:tcW w:w="625" w:type="pct"/>
          </w:tcPr>
          <w:p w:rsidR="00C157EC" w:rsidRPr="00807FB9" w:rsidRDefault="00C157EC" w:rsidP="00511F2C">
            <w:pPr>
              <w:pStyle w:val="TableTextCentered"/>
            </w:pPr>
            <w:r w:rsidRPr="00807FB9">
              <w:t>20.86%</w:t>
            </w:r>
          </w:p>
        </w:tc>
        <w:tc>
          <w:tcPr>
            <w:tcW w:w="625" w:type="pct"/>
          </w:tcPr>
          <w:p w:rsidR="00C157EC" w:rsidRPr="00807FB9" w:rsidRDefault="00C157EC" w:rsidP="00511F2C">
            <w:pPr>
              <w:pStyle w:val="TableTextCentered"/>
            </w:pPr>
            <w:r w:rsidRPr="00807FB9">
              <w:t>28.97%</w:t>
            </w:r>
          </w:p>
        </w:tc>
        <w:tc>
          <w:tcPr>
            <w:tcW w:w="625" w:type="pct"/>
          </w:tcPr>
          <w:p w:rsidR="00C157EC" w:rsidRPr="00807FB9" w:rsidRDefault="00C157EC" w:rsidP="00511F2C">
            <w:pPr>
              <w:pStyle w:val="TableTextCentered"/>
            </w:pPr>
            <w:r w:rsidRPr="00807FB9">
              <w:t>12.05%</w:t>
            </w:r>
          </w:p>
        </w:tc>
        <w:tc>
          <w:tcPr>
            <w:tcW w:w="625" w:type="pct"/>
          </w:tcPr>
          <w:p w:rsidR="00C157EC" w:rsidRPr="00807FB9" w:rsidRDefault="00C157EC" w:rsidP="00511F2C">
            <w:pPr>
              <w:pStyle w:val="TableTextCentered"/>
            </w:pPr>
            <w:r w:rsidRPr="00807FB9">
              <w:t>15.23%</w:t>
            </w:r>
          </w:p>
        </w:tc>
        <w:tc>
          <w:tcPr>
            <w:tcW w:w="625" w:type="pct"/>
          </w:tcPr>
          <w:p w:rsidR="00C157EC" w:rsidRPr="00807FB9" w:rsidRDefault="00C157EC" w:rsidP="00511F2C">
            <w:pPr>
              <w:pStyle w:val="TableTextCentered"/>
            </w:pPr>
            <w:r w:rsidRPr="00807FB9">
              <w:t>5.27%</w:t>
            </w:r>
          </w:p>
        </w:tc>
      </w:tr>
    </w:tbl>
    <w:p w:rsidR="00C157EC" w:rsidRDefault="00C157EC" w:rsidP="0044224B">
      <w:pPr>
        <w:pStyle w:val="BodyText"/>
      </w:pPr>
      <w:r>
        <w:t xml:space="preserve">After calculating the expected proportions for each age category over time, these were applied to the demand estimates from </w:t>
      </w:r>
      <w:r w:rsidR="00F02C4E">
        <w:t>R</w:t>
      </w:r>
      <w:r>
        <w:t xml:space="preserve">esearch </w:t>
      </w:r>
      <w:r w:rsidR="00F02C4E">
        <w:t>Q</w:t>
      </w:r>
      <w:r>
        <w:t xml:space="preserve">uestion 1 to determine the overall number of FTEs expected to be in each category. </w:t>
      </w:r>
      <w:r w:rsidR="00F02C4E">
        <w:t>T</w:t>
      </w:r>
      <w:r>
        <w:t>he average percent change, overall percent change, and overall absolute change from 2013</w:t>
      </w:r>
      <w:r w:rsidR="00F02C4E">
        <w:t>–</w:t>
      </w:r>
      <w:r>
        <w:t>14 to 2023</w:t>
      </w:r>
      <w:r w:rsidR="00F02C4E">
        <w:t>–</w:t>
      </w:r>
      <w:r>
        <w:t>24 for each age category</w:t>
      </w:r>
      <w:r w:rsidR="00F02C4E">
        <w:t xml:space="preserve"> are found in Table 1</w:t>
      </w:r>
      <w:r w:rsidR="00DB10EA">
        <w:t>9</w:t>
      </w:r>
      <w:r>
        <w:t>. As can be seen, there is quite a bit of variation in demand trend by age group over time. In five of the seven categories</w:t>
      </w:r>
      <w:r w:rsidR="00DB1DFD">
        <w:t>,</w:t>
      </w:r>
      <w:r>
        <w:t xml:space="preserve"> the overall absolute percent change from 2013</w:t>
      </w:r>
      <w:r w:rsidR="00DB1DFD">
        <w:t>–</w:t>
      </w:r>
      <w:r>
        <w:t>14 to 2023</w:t>
      </w:r>
      <w:r w:rsidR="00DB1DFD">
        <w:t>–</w:t>
      </w:r>
      <w:r>
        <w:t xml:space="preserve">24 is greater than 10 percent, with the largest percent change in the </w:t>
      </w:r>
      <w:r w:rsidR="00F82300">
        <w:t>over 64</w:t>
      </w:r>
      <w:r>
        <w:t xml:space="preserve"> group, which is expected to increase by about 164 percent. However, because the number in this group was the smallest to begin with, this represents an increase of only 1,821 FTEs. In line with the results presented above, a large increase in the 41</w:t>
      </w:r>
      <w:r w:rsidR="00DB1DFD">
        <w:t>–</w:t>
      </w:r>
      <w:r>
        <w:t xml:space="preserve">48 age </w:t>
      </w:r>
      <w:proofErr w:type="gramStart"/>
      <w:r>
        <w:t>group</w:t>
      </w:r>
      <w:proofErr w:type="gramEnd"/>
      <w:r>
        <w:t xml:space="preserve"> and a large decrease in the demand for teachers in the 49</w:t>
      </w:r>
      <w:r w:rsidR="00DB1DFD">
        <w:t>–</w:t>
      </w:r>
      <w:r>
        <w:t>56 age group</w:t>
      </w:r>
      <w:r w:rsidR="00DB1DFD">
        <w:t xml:space="preserve"> were found</w:t>
      </w:r>
      <w:r>
        <w:t xml:space="preserve">. </w:t>
      </w:r>
      <w:r w:rsidR="00DB1DFD">
        <w:t xml:space="preserve">Figures </w:t>
      </w:r>
      <w:r>
        <w:t xml:space="preserve">depicting these changes over time can be viewed in </w:t>
      </w:r>
      <w:r w:rsidR="00AD2BBD">
        <w:t xml:space="preserve">Figures B1 and B2 </w:t>
      </w:r>
      <w:r>
        <w:t>in Appendix B.</w:t>
      </w:r>
    </w:p>
    <w:p w:rsidR="00C157EC" w:rsidRDefault="00DB1DFD" w:rsidP="0044224B">
      <w:pPr>
        <w:pStyle w:val="ExhibitTitle"/>
      </w:pPr>
      <w:proofErr w:type="gramStart"/>
      <w:r>
        <w:t>Table 1</w:t>
      </w:r>
      <w:r w:rsidR="00DB10EA">
        <w:t>9</w:t>
      </w:r>
      <w:r w:rsidR="00C157EC" w:rsidRPr="000331C5">
        <w:t>.</w:t>
      </w:r>
      <w:proofErr w:type="gramEnd"/>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Demand by Teacher Age</w:t>
      </w:r>
      <w:r w:rsidR="001437FD">
        <w:t xml:space="preserve">, </w:t>
      </w:r>
      <w:r w:rsidR="00C157EC">
        <w:t>2013</w:t>
      </w:r>
      <w:r w:rsidR="001437FD">
        <w:t>–</w:t>
      </w:r>
      <w:r w:rsidR="00C157EC">
        <w:t>14</w:t>
      </w:r>
      <w:r w:rsidR="0092042A">
        <w:t xml:space="preserve"> </w:t>
      </w:r>
      <w:proofErr w:type="gramStart"/>
      <w:r w:rsidR="0092042A">
        <w:t>Through</w:t>
      </w:r>
      <w:proofErr w:type="gramEnd"/>
      <w:r w:rsidR="0092042A">
        <w:t xml:space="preserve"> </w:t>
      </w:r>
      <w:r w:rsidR="00C157EC">
        <w:t>2023</w:t>
      </w:r>
      <w:r w:rsidR="001437FD">
        <w:t>–</w:t>
      </w:r>
      <w:r w:rsidR="00C157EC">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1"/>
        <w:gridCol w:w="2677"/>
        <w:gridCol w:w="1939"/>
        <w:gridCol w:w="1933"/>
      </w:tblGrid>
      <w:tr w:rsidR="0044224B" w:rsidTr="00123319">
        <w:trPr>
          <w:cnfStyle w:val="100000000000"/>
        </w:trPr>
        <w:tc>
          <w:tcPr>
            <w:tcW w:w="2965" w:type="dxa"/>
            <w:tcBorders>
              <w:bottom w:val="single" w:sz="4" w:space="0" w:color="auto"/>
            </w:tcBorders>
          </w:tcPr>
          <w:p w:rsidR="00C157EC" w:rsidRPr="00807FB9" w:rsidRDefault="00C157EC" w:rsidP="00191C0D">
            <w:pPr>
              <w:pStyle w:val="TableText"/>
              <w:jc w:val="center"/>
            </w:pPr>
            <w:r>
              <w:t>Age Group</w:t>
            </w:r>
          </w:p>
        </w:tc>
        <w:tc>
          <w:tcPr>
            <w:tcW w:w="2610" w:type="dxa"/>
            <w:tcBorders>
              <w:bottom w:val="single" w:sz="4" w:space="0" w:color="auto"/>
            </w:tcBorders>
          </w:tcPr>
          <w:p w:rsidR="00C157EC" w:rsidRPr="00807FB9" w:rsidRDefault="00C157EC" w:rsidP="00191C0D">
            <w:pPr>
              <w:pStyle w:val="TableTextCentered"/>
            </w:pPr>
            <w:r>
              <w:t>A</w:t>
            </w:r>
            <w:r w:rsidRPr="00C20B19">
              <w:t xml:space="preserve">verage </w:t>
            </w:r>
            <w:r>
              <w:t>Annual Percent</w:t>
            </w:r>
            <w:r w:rsidRPr="00C20B19">
              <w:t xml:space="preserve"> </w:t>
            </w:r>
            <w:r>
              <w:t>C</w:t>
            </w:r>
            <w:r w:rsidRPr="00C20B19">
              <w:t>hange 201</w:t>
            </w:r>
            <w:r>
              <w:t>3</w:t>
            </w:r>
            <w:r w:rsidR="001437FD">
              <w:t>–</w:t>
            </w:r>
            <w:r w:rsidRPr="00C20B19">
              <w:t>1</w:t>
            </w:r>
            <w:r>
              <w:t>4</w:t>
            </w:r>
            <w:r w:rsidRPr="00C20B19">
              <w:t xml:space="preserve"> </w:t>
            </w:r>
            <w:r w:rsidR="00123319">
              <w:t>Through</w:t>
            </w:r>
            <w:r w:rsidR="00123319" w:rsidRPr="00C20B19">
              <w:t xml:space="preserve"> </w:t>
            </w:r>
            <w:r w:rsidRPr="00C20B19">
              <w:t>2023</w:t>
            </w:r>
            <w:r w:rsidR="001437FD">
              <w:t>–</w:t>
            </w:r>
            <w:r w:rsidRPr="00C20B19">
              <w:t>24</w:t>
            </w:r>
          </w:p>
        </w:tc>
        <w:tc>
          <w:tcPr>
            <w:tcW w:w="1890" w:type="dxa"/>
            <w:tcBorders>
              <w:bottom w:val="single" w:sz="4" w:space="0" w:color="auto"/>
            </w:tcBorders>
          </w:tcPr>
          <w:p w:rsidR="00C157EC" w:rsidRPr="00807FB9" w:rsidRDefault="00C157EC" w:rsidP="00123319">
            <w:pPr>
              <w:pStyle w:val="TableTextCentered"/>
            </w:pPr>
            <w:r>
              <w:t>O</w:t>
            </w:r>
            <w:r w:rsidRPr="00C20B19">
              <w:t xml:space="preserve">verall </w:t>
            </w:r>
            <w:r>
              <w:t>Percent</w:t>
            </w:r>
            <w:r w:rsidRPr="00C20B19">
              <w:t xml:space="preserve"> </w:t>
            </w:r>
            <w:r>
              <w:t>C</w:t>
            </w:r>
            <w:r w:rsidRPr="00C20B19">
              <w:t>hange 201</w:t>
            </w:r>
            <w:r>
              <w:t>3</w:t>
            </w:r>
            <w:r w:rsidR="001437FD">
              <w:t>–</w:t>
            </w:r>
            <w:r w:rsidRPr="00C20B19">
              <w:t>1</w:t>
            </w:r>
            <w:r>
              <w:t>4</w:t>
            </w:r>
            <w:r w:rsidRPr="00C20B19">
              <w:t xml:space="preserve"> </w:t>
            </w:r>
            <w:r w:rsidR="00123319">
              <w:t>Through</w:t>
            </w:r>
            <w:r w:rsidRPr="00C20B19">
              <w:t xml:space="preserve"> 2023</w:t>
            </w:r>
            <w:r w:rsidR="001437FD">
              <w:t>–</w:t>
            </w:r>
            <w:r w:rsidRPr="00C20B19">
              <w:t>24</w:t>
            </w:r>
          </w:p>
        </w:tc>
        <w:tc>
          <w:tcPr>
            <w:tcW w:w="1885" w:type="dxa"/>
            <w:tcBorders>
              <w:bottom w:val="single" w:sz="4" w:space="0" w:color="auto"/>
            </w:tcBorders>
          </w:tcPr>
          <w:p w:rsidR="00C157EC" w:rsidRPr="00807FB9" w:rsidRDefault="00C157EC" w:rsidP="0044224B">
            <w:pPr>
              <w:pStyle w:val="TableTextCentered"/>
            </w:pPr>
            <w:r>
              <w:t>O</w:t>
            </w:r>
            <w:r w:rsidRPr="00C20B19">
              <w:t xml:space="preserve">verall </w:t>
            </w:r>
            <w:r>
              <w:t>A</w:t>
            </w:r>
            <w:r w:rsidRPr="00C20B19">
              <w:t xml:space="preserve">bsolute </w:t>
            </w:r>
            <w:r>
              <w:t>C</w:t>
            </w:r>
            <w:r w:rsidRPr="00C20B19">
              <w:t>hange</w:t>
            </w:r>
            <w:r>
              <w:t xml:space="preserve"> </w:t>
            </w:r>
            <w:r w:rsidRPr="00C20B19">
              <w:t>201</w:t>
            </w:r>
            <w:r>
              <w:t>3</w:t>
            </w:r>
            <w:r w:rsidR="001437FD">
              <w:t>–</w:t>
            </w:r>
            <w:r w:rsidRPr="00C20B19">
              <w:t>1</w:t>
            </w:r>
            <w:r>
              <w:t>4</w:t>
            </w:r>
            <w:r w:rsidRPr="00C20B19">
              <w:t xml:space="preserve"> </w:t>
            </w:r>
            <w:r w:rsidR="00123319">
              <w:t>Through</w:t>
            </w:r>
            <w:r w:rsidR="00123319" w:rsidRPr="00C20B19">
              <w:t xml:space="preserve"> </w:t>
            </w:r>
            <w:r w:rsidRPr="00C20B19">
              <w:t>2023</w:t>
            </w:r>
            <w:r w:rsidR="001437FD">
              <w:t>–</w:t>
            </w:r>
            <w:r w:rsidRPr="00C20B19">
              <w:t>24</w:t>
            </w:r>
          </w:p>
        </w:tc>
      </w:tr>
      <w:tr w:rsidR="0044224B" w:rsidTr="00123319">
        <w:tc>
          <w:tcPr>
            <w:tcW w:w="2965" w:type="dxa"/>
            <w:tcBorders>
              <w:bottom w:val="single" w:sz="4" w:space="0" w:color="auto"/>
            </w:tcBorders>
          </w:tcPr>
          <w:p w:rsidR="00C157EC" w:rsidRPr="00807FB9" w:rsidRDefault="00C157EC" w:rsidP="00191C0D">
            <w:pPr>
              <w:pStyle w:val="TableText"/>
              <w:jc w:val="center"/>
            </w:pPr>
            <w:r>
              <w:t>Under</w:t>
            </w:r>
            <w:r w:rsidR="00617CD2">
              <w:t xml:space="preserve"> 26</w:t>
            </w:r>
          </w:p>
        </w:tc>
        <w:tc>
          <w:tcPr>
            <w:tcW w:w="2610" w:type="dxa"/>
            <w:tcBorders>
              <w:bottom w:val="single" w:sz="4" w:space="0" w:color="auto"/>
            </w:tcBorders>
          </w:tcPr>
          <w:p w:rsidR="00C157EC" w:rsidRPr="00807FB9" w:rsidRDefault="00C157EC" w:rsidP="0044224B">
            <w:pPr>
              <w:pStyle w:val="TableTextCentered"/>
            </w:pPr>
            <w:r w:rsidRPr="00807FB9">
              <w:t>-3.24%</w:t>
            </w:r>
          </w:p>
        </w:tc>
        <w:tc>
          <w:tcPr>
            <w:tcW w:w="1890" w:type="dxa"/>
            <w:tcBorders>
              <w:bottom w:val="single" w:sz="4" w:space="0" w:color="auto"/>
            </w:tcBorders>
          </w:tcPr>
          <w:p w:rsidR="00C157EC" w:rsidRPr="00807FB9" w:rsidRDefault="00C157EC" w:rsidP="0044224B">
            <w:pPr>
              <w:pStyle w:val="TableTextCentered"/>
            </w:pPr>
            <w:r w:rsidRPr="00807FB9">
              <w:t>-28.54%</w:t>
            </w:r>
          </w:p>
        </w:tc>
        <w:tc>
          <w:tcPr>
            <w:tcW w:w="1885" w:type="dxa"/>
            <w:tcBorders>
              <w:bottom w:val="single" w:sz="4" w:space="0" w:color="auto"/>
            </w:tcBorders>
          </w:tcPr>
          <w:p w:rsidR="00C157EC" w:rsidRPr="00807FB9" w:rsidRDefault="00C157EC" w:rsidP="0044224B">
            <w:pPr>
              <w:pStyle w:val="TableTextCentered"/>
            </w:pPr>
            <w:r w:rsidRPr="00807FB9">
              <w:t>-892</w:t>
            </w:r>
          </w:p>
        </w:tc>
      </w:tr>
      <w:tr w:rsidR="0044224B" w:rsidTr="00123319">
        <w:tc>
          <w:tcPr>
            <w:tcW w:w="2965" w:type="dxa"/>
            <w:tcBorders>
              <w:bottom w:val="single" w:sz="4" w:space="0" w:color="auto"/>
            </w:tcBorders>
          </w:tcPr>
          <w:p w:rsidR="00C157EC" w:rsidRPr="00807FB9" w:rsidRDefault="00C157EC" w:rsidP="00191C0D">
            <w:pPr>
              <w:pStyle w:val="TableText"/>
              <w:jc w:val="center"/>
            </w:pPr>
            <w:r>
              <w:t>A</w:t>
            </w:r>
            <w:r w:rsidRPr="00807FB9">
              <w:t>ge 26</w:t>
            </w:r>
            <w:r w:rsidR="001437FD">
              <w:t>–</w:t>
            </w:r>
            <w:r w:rsidRPr="00807FB9">
              <w:t>32</w:t>
            </w:r>
          </w:p>
        </w:tc>
        <w:tc>
          <w:tcPr>
            <w:tcW w:w="2610" w:type="dxa"/>
            <w:tcBorders>
              <w:bottom w:val="single" w:sz="4" w:space="0" w:color="auto"/>
            </w:tcBorders>
          </w:tcPr>
          <w:p w:rsidR="00C157EC" w:rsidRPr="00807FB9" w:rsidRDefault="00C157EC" w:rsidP="0044224B">
            <w:pPr>
              <w:pStyle w:val="TableTextCentered"/>
            </w:pPr>
            <w:r w:rsidRPr="00807FB9">
              <w:t>-1.59%</w:t>
            </w:r>
          </w:p>
        </w:tc>
        <w:tc>
          <w:tcPr>
            <w:tcW w:w="1890" w:type="dxa"/>
            <w:tcBorders>
              <w:bottom w:val="single" w:sz="4" w:space="0" w:color="auto"/>
            </w:tcBorders>
          </w:tcPr>
          <w:p w:rsidR="00C157EC" w:rsidRPr="00807FB9" w:rsidRDefault="00C157EC" w:rsidP="0044224B">
            <w:pPr>
              <w:pStyle w:val="TableTextCentered"/>
            </w:pPr>
            <w:r w:rsidRPr="00807FB9">
              <w:t>-14.82%</w:t>
            </w:r>
          </w:p>
        </w:tc>
        <w:tc>
          <w:tcPr>
            <w:tcW w:w="1885" w:type="dxa"/>
            <w:tcBorders>
              <w:bottom w:val="single" w:sz="4" w:space="0" w:color="auto"/>
            </w:tcBorders>
          </w:tcPr>
          <w:p w:rsidR="00C157EC" w:rsidRPr="00807FB9" w:rsidRDefault="00C157EC" w:rsidP="0044224B">
            <w:pPr>
              <w:pStyle w:val="TableTextCentered"/>
            </w:pPr>
            <w:r w:rsidRPr="00807FB9">
              <w:t>-1,879</w:t>
            </w:r>
          </w:p>
        </w:tc>
      </w:tr>
      <w:tr w:rsidR="0044224B" w:rsidTr="00123319">
        <w:tc>
          <w:tcPr>
            <w:tcW w:w="2965" w:type="dxa"/>
            <w:tcBorders>
              <w:bottom w:val="single" w:sz="4" w:space="0" w:color="auto"/>
            </w:tcBorders>
          </w:tcPr>
          <w:p w:rsidR="00C157EC" w:rsidRPr="00807FB9" w:rsidRDefault="00C157EC" w:rsidP="00191C0D">
            <w:pPr>
              <w:pStyle w:val="TableText"/>
              <w:jc w:val="center"/>
            </w:pPr>
            <w:r>
              <w:t>A</w:t>
            </w:r>
            <w:r w:rsidRPr="00807FB9">
              <w:t>ge 33</w:t>
            </w:r>
            <w:r w:rsidR="001437FD">
              <w:t>–</w:t>
            </w:r>
            <w:r w:rsidRPr="00807FB9">
              <w:t>40</w:t>
            </w:r>
          </w:p>
        </w:tc>
        <w:tc>
          <w:tcPr>
            <w:tcW w:w="2610" w:type="dxa"/>
            <w:tcBorders>
              <w:bottom w:val="single" w:sz="4" w:space="0" w:color="auto"/>
            </w:tcBorders>
          </w:tcPr>
          <w:p w:rsidR="00C157EC" w:rsidRPr="00807FB9" w:rsidRDefault="00C157EC" w:rsidP="0044224B">
            <w:pPr>
              <w:pStyle w:val="TableTextCentered"/>
            </w:pPr>
            <w:r w:rsidRPr="00807FB9">
              <w:t>-0.12%</w:t>
            </w:r>
          </w:p>
        </w:tc>
        <w:tc>
          <w:tcPr>
            <w:tcW w:w="1890" w:type="dxa"/>
            <w:tcBorders>
              <w:bottom w:val="single" w:sz="4" w:space="0" w:color="auto"/>
            </w:tcBorders>
          </w:tcPr>
          <w:p w:rsidR="00C157EC" w:rsidRPr="00807FB9" w:rsidRDefault="00C157EC" w:rsidP="0044224B">
            <w:pPr>
              <w:pStyle w:val="TableTextCentered"/>
            </w:pPr>
            <w:r w:rsidRPr="00807FB9">
              <w:t>-1.23%</w:t>
            </w:r>
          </w:p>
        </w:tc>
        <w:tc>
          <w:tcPr>
            <w:tcW w:w="1885" w:type="dxa"/>
            <w:tcBorders>
              <w:bottom w:val="single" w:sz="4" w:space="0" w:color="auto"/>
            </w:tcBorders>
          </w:tcPr>
          <w:p w:rsidR="00C157EC" w:rsidRPr="00807FB9" w:rsidRDefault="00C157EC" w:rsidP="0044224B">
            <w:pPr>
              <w:pStyle w:val="TableTextCentered"/>
            </w:pPr>
            <w:r w:rsidRPr="00807FB9">
              <w:t>-175</w:t>
            </w:r>
          </w:p>
        </w:tc>
      </w:tr>
      <w:tr w:rsidR="0044224B" w:rsidTr="00123319">
        <w:tc>
          <w:tcPr>
            <w:tcW w:w="2965" w:type="dxa"/>
            <w:tcBorders>
              <w:bottom w:val="single" w:sz="4" w:space="0" w:color="auto"/>
            </w:tcBorders>
          </w:tcPr>
          <w:p w:rsidR="00C157EC" w:rsidRPr="00807FB9" w:rsidRDefault="00C157EC" w:rsidP="00191C0D">
            <w:pPr>
              <w:pStyle w:val="TableText"/>
              <w:jc w:val="center"/>
            </w:pPr>
            <w:r>
              <w:t>A</w:t>
            </w:r>
            <w:r w:rsidRPr="00807FB9">
              <w:t>ge 41</w:t>
            </w:r>
            <w:r w:rsidR="001437FD">
              <w:t>–</w:t>
            </w:r>
            <w:r w:rsidRPr="00807FB9">
              <w:t>48</w:t>
            </w:r>
          </w:p>
        </w:tc>
        <w:tc>
          <w:tcPr>
            <w:tcW w:w="2610" w:type="dxa"/>
            <w:tcBorders>
              <w:bottom w:val="single" w:sz="4" w:space="0" w:color="auto"/>
            </w:tcBorders>
          </w:tcPr>
          <w:p w:rsidR="00C157EC" w:rsidRPr="00807FB9" w:rsidRDefault="00C157EC" w:rsidP="0044224B">
            <w:pPr>
              <w:pStyle w:val="TableTextCentered"/>
            </w:pPr>
            <w:r w:rsidRPr="00807FB9">
              <w:t>2.07%</w:t>
            </w:r>
          </w:p>
        </w:tc>
        <w:tc>
          <w:tcPr>
            <w:tcW w:w="1890" w:type="dxa"/>
            <w:tcBorders>
              <w:bottom w:val="single" w:sz="4" w:space="0" w:color="auto"/>
            </w:tcBorders>
          </w:tcPr>
          <w:p w:rsidR="00C157EC" w:rsidRPr="00807FB9" w:rsidRDefault="00C157EC" w:rsidP="0044224B">
            <w:pPr>
              <w:pStyle w:val="TableTextCentered"/>
            </w:pPr>
            <w:r w:rsidRPr="00807FB9">
              <w:t>22.76%</w:t>
            </w:r>
          </w:p>
        </w:tc>
        <w:tc>
          <w:tcPr>
            <w:tcW w:w="1885" w:type="dxa"/>
            <w:tcBorders>
              <w:bottom w:val="single" w:sz="4" w:space="0" w:color="auto"/>
            </w:tcBorders>
          </w:tcPr>
          <w:p w:rsidR="00C157EC" w:rsidRPr="00807FB9" w:rsidRDefault="00C157EC" w:rsidP="0044224B">
            <w:pPr>
              <w:pStyle w:val="TableTextCentered"/>
            </w:pPr>
            <w:r w:rsidRPr="00807FB9">
              <w:t>3,188</w:t>
            </w:r>
          </w:p>
        </w:tc>
      </w:tr>
      <w:tr w:rsidR="0044224B" w:rsidTr="00123319">
        <w:tc>
          <w:tcPr>
            <w:tcW w:w="2965" w:type="dxa"/>
            <w:tcBorders>
              <w:bottom w:val="single" w:sz="4" w:space="0" w:color="auto"/>
            </w:tcBorders>
          </w:tcPr>
          <w:p w:rsidR="00C157EC" w:rsidRPr="00807FB9" w:rsidRDefault="00C157EC" w:rsidP="00191C0D">
            <w:pPr>
              <w:pStyle w:val="TableText"/>
              <w:jc w:val="center"/>
            </w:pPr>
            <w:r>
              <w:t>A</w:t>
            </w:r>
            <w:r w:rsidRPr="00807FB9">
              <w:t>ge 49</w:t>
            </w:r>
            <w:r w:rsidR="001437FD">
              <w:t>–</w:t>
            </w:r>
            <w:r w:rsidRPr="00807FB9">
              <w:t>56</w:t>
            </w:r>
          </w:p>
        </w:tc>
        <w:tc>
          <w:tcPr>
            <w:tcW w:w="2610" w:type="dxa"/>
            <w:tcBorders>
              <w:bottom w:val="single" w:sz="4" w:space="0" w:color="auto"/>
            </w:tcBorders>
          </w:tcPr>
          <w:p w:rsidR="00C157EC" w:rsidRPr="00807FB9" w:rsidRDefault="00C157EC" w:rsidP="0044224B">
            <w:pPr>
              <w:pStyle w:val="TableTextCentered"/>
            </w:pPr>
            <w:r w:rsidRPr="00807FB9">
              <w:t>-5.90%</w:t>
            </w:r>
          </w:p>
        </w:tc>
        <w:tc>
          <w:tcPr>
            <w:tcW w:w="1890" w:type="dxa"/>
            <w:tcBorders>
              <w:bottom w:val="single" w:sz="4" w:space="0" w:color="auto"/>
            </w:tcBorders>
          </w:tcPr>
          <w:p w:rsidR="00C157EC" w:rsidRPr="00807FB9" w:rsidRDefault="00C157EC" w:rsidP="0044224B">
            <w:pPr>
              <w:pStyle w:val="TableTextCentered"/>
            </w:pPr>
            <w:r w:rsidRPr="00807FB9">
              <w:t>-45.59%</w:t>
            </w:r>
          </w:p>
        </w:tc>
        <w:tc>
          <w:tcPr>
            <w:tcW w:w="1885" w:type="dxa"/>
            <w:tcBorders>
              <w:bottom w:val="single" w:sz="4" w:space="0" w:color="auto"/>
            </w:tcBorders>
          </w:tcPr>
          <w:p w:rsidR="00C157EC" w:rsidRPr="00807FB9" w:rsidRDefault="00C157EC" w:rsidP="0044224B">
            <w:pPr>
              <w:pStyle w:val="TableTextCentered"/>
            </w:pPr>
            <w:r w:rsidRPr="00807FB9">
              <w:t>-5,678</w:t>
            </w:r>
          </w:p>
        </w:tc>
      </w:tr>
      <w:tr w:rsidR="0044224B" w:rsidTr="00123319">
        <w:tc>
          <w:tcPr>
            <w:tcW w:w="2965" w:type="dxa"/>
            <w:tcBorders>
              <w:bottom w:val="single" w:sz="4" w:space="0" w:color="auto"/>
            </w:tcBorders>
          </w:tcPr>
          <w:p w:rsidR="00C157EC" w:rsidRPr="00807FB9" w:rsidRDefault="00C157EC" w:rsidP="00191C0D">
            <w:pPr>
              <w:pStyle w:val="TableText"/>
              <w:jc w:val="center"/>
            </w:pPr>
            <w:r>
              <w:t>A</w:t>
            </w:r>
            <w:r w:rsidRPr="00807FB9">
              <w:t>ge 57</w:t>
            </w:r>
            <w:r w:rsidR="001437FD">
              <w:t>–</w:t>
            </w:r>
            <w:r w:rsidRPr="00807FB9">
              <w:t>64</w:t>
            </w:r>
          </w:p>
        </w:tc>
        <w:tc>
          <w:tcPr>
            <w:tcW w:w="2610" w:type="dxa"/>
            <w:tcBorders>
              <w:bottom w:val="single" w:sz="4" w:space="0" w:color="auto"/>
            </w:tcBorders>
          </w:tcPr>
          <w:p w:rsidR="00C157EC" w:rsidRPr="00807FB9" w:rsidRDefault="00C157EC" w:rsidP="0044224B">
            <w:pPr>
              <w:pStyle w:val="TableTextCentered"/>
            </w:pPr>
            <w:r w:rsidRPr="00807FB9">
              <w:t>-0.27%</w:t>
            </w:r>
          </w:p>
        </w:tc>
        <w:tc>
          <w:tcPr>
            <w:tcW w:w="1890" w:type="dxa"/>
            <w:tcBorders>
              <w:bottom w:val="single" w:sz="4" w:space="0" w:color="auto"/>
            </w:tcBorders>
          </w:tcPr>
          <w:p w:rsidR="00C157EC" w:rsidRPr="00807FB9" w:rsidRDefault="00C157EC" w:rsidP="0044224B">
            <w:pPr>
              <w:pStyle w:val="TableTextCentered"/>
            </w:pPr>
            <w:r w:rsidRPr="00807FB9">
              <w:t>-2.73%</w:t>
            </w:r>
          </w:p>
        </w:tc>
        <w:tc>
          <w:tcPr>
            <w:tcW w:w="1885" w:type="dxa"/>
            <w:tcBorders>
              <w:bottom w:val="single" w:sz="4" w:space="0" w:color="auto"/>
            </w:tcBorders>
          </w:tcPr>
          <w:p w:rsidR="00C157EC" w:rsidRPr="00807FB9" w:rsidRDefault="00C157EC" w:rsidP="0044224B">
            <w:pPr>
              <w:pStyle w:val="TableTextCentered"/>
            </w:pPr>
            <w:r w:rsidRPr="00807FB9">
              <w:t>-252</w:t>
            </w:r>
          </w:p>
        </w:tc>
      </w:tr>
      <w:tr w:rsidR="0044224B" w:rsidTr="00123319">
        <w:tc>
          <w:tcPr>
            <w:tcW w:w="2965" w:type="dxa"/>
          </w:tcPr>
          <w:p w:rsidR="00C157EC" w:rsidRPr="00807FB9" w:rsidRDefault="00C157EC" w:rsidP="00191C0D">
            <w:pPr>
              <w:pStyle w:val="TableText"/>
              <w:jc w:val="center"/>
            </w:pPr>
            <w:r>
              <w:t>Over</w:t>
            </w:r>
            <w:r w:rsidR="00617CD2">
              <w:t xml:space="preserve"> 64</w:t>
            </w:r>
          </w:p>
        </w:tc>
        <w:tc>
          <w:tcPr>
            <w:tcW w:w="2610" w:type="dxa"/>
          </w:tcPr>
          <w:p w:rsidR="00C157EC" w:rsidRPr="00807FB9" w:rsidRDefault="00C157EC" w:rsidP="0044224B">
            <w:pPr>
              <w:pStyle w:val="TableTextCentered"/>
            </w:pPr>
            <w:r w:rsidRPr="00807FB9">
              <w:t>10.20%</w:t>
            </w:r>
          </w:p>
        </w:tc>
        <w:tc>
          <w:tcPr>
            <w:tcW w:w="1890" w:type="dxa"/>
          </w:tcPr>
          <w:p w:rsidR="00C157EC" w:rsidRPr="00807FB9" w:rsidRDefault="00C157EC" w:rsidP="0044224B">
            <w:pPr>
              <w:pStyle w:val="TableTextCentered"/>
            </w:pPr>
            <w:r w:rsidRPr="00807FB9">
              <w:t>163.69%</w:t>
            </w:r>
          </w:p>
        </w:tc>
        <w:tc>
          <w:tcPr>
            <w:tcW w:w="1885" w:type="dxa"/>
          </w:tcPr>
          <w:p w:rsidR="00C157EC" w:rsidRPr="00807FB9" w:rsidRDefault="00C157EC" w:rsidP="0044224B">
            <w:pPr>
              <w:pStyle w:val="TableTextCentered"/>
            </w:pPr>
            <w:r w:rsidRPr="00807FB9">
              <w:t>1,821</w:t>
            </w:r>
          </w:p>
        </w:tc>
      </w:tr>
    </w:tbl>
    <w:p w:rsidR="00C157EC" w:rsidRDefault="00C157EC" w:rsidP="0044224B">
      <w:pPr>
        <w:pStyle w:val="BodyText"/>
      </w:pPr>
      <w:r>
        <w:t>It is important to keep in mind that the above projections represent demand by age to the extent that the trends in proportions of each group reflect the needs or preferences of districts with respect to age. While in other analyses</w:t>
      </w:r>
      <w:r w:rsidR="00F7722F">
        <w:t>,</w:t>
      </w:r>
      <w:r>
        <w:t xml:space="preserve"> such as demand by program area</w:t>
      </w:r>
      <w:r w:rsidR="00F7722F">
        <w:t>,</w:t>
      </w:r>
      <w:r>
        <w:t xml:space="preserve"> this was more intuitive, this particular case is more nuanced. On the one hand, districts may be in need of more experienced and qualified teachers </w:t>
      </w:r>
      <w:r w:rsidR="00F7722F">
        <w:t xml:space="preserve">who </w:t>
      </w:r>
      <w:r>
        <w:t xml:space="preserve">tend to be in older age groups, and the historical distribution by age may be driven in part by a desire to retain these same individuals over time. Both of these are expressions of demand, and could be reflected in the proportion trends. On the other hand, the observed changes in proportions are certainly driven in part by the advancement in age of the workforce, as well as other factors such as the economy and retirements, factors </w:t>
      </w:r>
      <w:r w:rsidR="00F7722F">
        <w:t xml:space="preserve">that </w:t>
      </w:r>
      <w:r>
        <w:t>would not reflect district demand. As such, policymakers may want to partner with districts to better understand what may be primarily behind the proportion trends.</w:t>
      </w:r>
    </w:p>
    <w:p w:rsidR="00C157EC" w:rsidRDefault="00C157EC" w:rsidP="00C157EC">
      <w:pPr>
        <w:pStyle w:val="Heading5"/>
      </w:pPr>
      <w:r>
        <w:t>Supply Projections by Age</w:t>
      </w:r>
    </w:p>
    <w:p w:rsidR="00C157EC" w:rsidRPr="00E53A4C" w:rsidRDefault="00C157EC" w:rsidP="0044224B">
      <w:pPr>
        <w:pStyle w:val="BodyText"/>
      </w:pPr>
      <w:r>
        <w:t>Rather than estimate proportions of teachers, the supply projections broken out by age use historical counts of teachers by age group to estimate future expected counts of teachers. As with the demand projections, the supply projections for the 41</w:t>
      </w:r>
      <w:r w:rsidR="00EF3FC4">
        <w:t>–</w:t>
      </w:r>
      <w:r>
        <w:t xml:space="preserve">48 and </w:t>
      </w:r>
      <w:r w:rsidR="00F82300">
        <w:t>over 64</w:t>
      </w:r>
      <w:r>
        <w:t xml:space="preserve"> age groups show the largest 10-year increases both in relative and absolute terms. The largest decrease in supply over the period is for the 49</w:t>
      </w:r>
      <w:r w:rsidR="00EF3FC4">
        <w:t>–</w:t>
      </w:r>
      <w:r>
        <w:t xml:space="preserve">56 age </w:t>
      </w:r>
      <w:proofErr w:type="gramStart"/>
      <w:r>
        <w:t>group</w:t>
      </w:r>
      <w:proofErr w:type="gramEnd"/>
      <w:r>
        <w:t xml:space="preserve">. While overall supply is expected to decrease over time, the sum of supply across the age groups is increasing over time. This suggests some of the supply categories, particularly those showing substantial increases, may be overestimated. </w:t>
      </w:r>
      <w:r w:rsidR="00EF3FC4">
        <w:t>T</w:t>
      </w:r>
      <w:r>
        <w:t>he annual average and overall percent changes, as well as the overall absolute change between 2013-14 and 2023-24</w:t>
      </w:r>
      <w:r w:rsidR="00EF3FC4">
        <w:t xml:space="preserve"> are found in Table </w:t>
      </w:r>
      <w:r w:rsidR="00DB10EA">
        <w:t>20</w:t>
      </w:r>
      <w:r>
        <w:t>.</w:t>
      </w:r>
    </w:p>
    <w:p w:rsidR="00C157EC" w:rsidRPr="0044224B" w:rsidRDefault="00EF3FC4" w:rsidP="0044224B">
      <w:pPr>
        <w:pStyle w:val="ExhibitTitle"/>
      </w:pPr>
      <w:proofErr w:type="gramStart"/>
      <w:r>
        <w:t xml:space="preserve">Table </w:t>
      </w:r>
      <w:r w:rsidR="00DB10EA">
        <w:t>20</w:t>
      </w:r>
      <w:r w:rsidR="00C157EC" w:rsidRPr="000331C5">
        <w:t>.</w:t>
      </w:r>
      <w:proofErr w:type="gramEnd"/>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Supply by Teacher Age</w:t>
      </w:r>
      <w:r>
        <w:t>,</w:t>
      </w:r>
      <w:r w:rsidR="00C157EC" w:rsidRPr="002B58FC">
        <w:t xml:space="preserve"> </w:t>
      </w:r>
      <w:r w:rsidR="00C157EC">
        <w:t>2013</w:t>
      </w:r>
      <w:r>
        <w:t>–</w:t>
      </w:r>
      <w:r w:rsidR="00C157EC">
        <w:t>14</w:t>
      </w:r>
      <w:r w:rsidR="0092042A">
        <w:t xml:space="preserve"> </w:t>
      </w:r>
      <w:proofErr w:type="gramStart"/>
      <w:r w:rsidR="0092042A">
        <w:t>Through</w:t>
      </w:r>
      <w:proofErr w:type="gramEnd"/>
      <w:r w:rsidR="0092042A">
        <w:t xml:space="preserve"> </w:t>
      </w:r>
      <w:r w:rsidR="00C157EC">
        <w:t>2023</w:t>
      </w:r>
      <w:r w:rsidR="00123319">
        <w:t>–</w:t>
      </w:r>
      <w:r w:rsidR="00C157EC">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1"/>
        <w:gridCol w:w="2677"/>
        <w:gridCol w:w="1939"/>
        <w:gridCol w:w="1933"/>
      </w:tblGrid>
      <w:tr w:rsidR="0044224B" w:rsidTr="00123319">
        <w:trPr>
          <w:cnfStyle w:val="100000000000"/>
        </w:trPr>
        <w:tc>
          <w:tcPr>
            <w:tcW w:w="2965" w:type="dxa"/>
            <w:tcBorders>
              <w:bottom w:val="single" w:sz="4" w:space="0" w:color="auto"/>
            </w:tcBorders>
          </w:tcPr>
          <w:p w:rsidR="00C157EC" w:rsidRDefault="00C157EC" w:rsidP="00191C0D">
            <w:pPr>
              <w:pStyle w:val="TableText"/>
              <w:jc w:val="center"/>
              <w:rPr>
                <w:rFonts w:ascii="Times New Roman" w:hAnsi="Times New Roman"/>
                <w:sz w:val="24"/>
                <w:szCs w:val="24"/>
              </w:rPr>
            </w:pPr>
            <w:r>
              <w:t>Age Group</w:t>
            </w:r>
          </w:p>
        </w:tc>
        <w:tc>
          <w:tcPr>
            <w:tcW w:w="2610" w:type="dxa"/>
            <w:tcBorders>
              <w:bottom w:val="single" w:sz="4" w:space="0" w:color="auto"/>
            </w:tcBorders>
          </w:tcPr>
          <w:p w:rsidR="00C157EC" w:rsidRDefault="00C157EC" w:rsidP="00191C0D">
            <w:pPr>
              <w:pStyle w:val="TableTextCentered"/>
              <w:rPr>
                <w:rFonts w:ascii="Times New Roman" w:hAnsi="Times New Roman"/>
                <w:sz w:val="24"/>
                <w:szCs w:val="24"/>
              </w:rPr>
            </w:pPr>
            <w:r>
              <w:t>A</w:t>
            </w:r>
            <w:r w:rsidRPr="00C20B19">
              <w:t xml:space="preserve">verage </w:t>
            </w:r>
            <w:r>
              <w:t>Annual Percent</w:t>
            </w:r>
            <w:r w:rsidRPr="00C20B19">
              <w:t xml:space="preserve"> </w:t>
            </w:r>
            <w:r>
              <w:t>C</w:t>
            </w:r>
            <w:r w:rsidRPr="00C20B19">
              <w:t>hange 201</w:t>
            </w:r>
            <w:r>
              <w:t>3</w:t>
            </w:r>
            <w:r w:rsidR="00EF3FC4">
              <w:t>–</w:t>
            </w:r>
            <w:r w:rsidRPr="00C20B19">
              <w:t>1</w:t>
            </w:r>
            <w:r>
              <w:t>4</w:t>
            </w:r>
            <w:r w:rsidRPr="00C20B19">
              <w:t xml:space="preserve"> </w:t>
            </w:r>
            <w:r w:rsidR="00123319">
              <w:t>Through</w:t>
            </w:r>
            <w:r w:rsidR="00123319" w:rsidRPr="00C20B19">
              <w:t xml:space="preserve"> </w:t>
            </w:r>
            <w:r w:rsidRPr="00C20B19">
              <w:t>2023</w:t>
            </w:r>
            <w:r w:rsidR="00EF3FC4">
              <w:t>–</w:t>
            </w:r>
            <w:r w:rsidRPr="00C20B19">
              <w:t>24</w:t>
            </w:r>
          </w:p>
        </w:tc>
        <w:tc>
          <w:tcPr>
            <w:tcW w:w="1890" w:type="dxa"/>
            <w:tcBorders>
              <w:bottom w:val="single" w:sz="4" w:space="0" w:color="auto"/>
            </w:tcBorders>
          </w:tcPr>
          <w:p w:rsidR="00C157EC" w:rsidRDefault="00C157EC" w:rsidP="0044224B">
            <w:pPr>
              <w:pStyle w:val="TableTextCentered"/>
              <w:rPr>
                <w:rFonts w:ascii="Times New Roman" w:hAnsi="Times New Roman"/>
                <w:sz w:val="24"/>
                <w:szCs w:val="24"/>
              </w:rPr>
            </w:pPr>
            <w:r>
              <w:t>O</w:t>
            </w:r>
            <w:r w:rsidRPr="00C20B19">
              <w:t xml:space="preserve">verall </w:t>
            </w:r>
            <w:r>
              <w:t>Percent</w:t>
            </w:r>
            <w:r w:rsidRPr="00C20B19">
              <w:t xml:space="preserve"> </w:t>
            </w:r>
            <w:r>
              <w:t>C</w:t>
            </w:r>
            <w:r w:rsidRPr="00C20B19">
              <w:t>hange 201</w:t>
            </w:r>
            <w:r>
              <w:t>3</w:t>
            </w:r>
            <w:r w:rsidR="00EF3FC4">
              <w:t>–</w:t>
            </w:r>
            <w:r w:rsidRPr="00C20B19">
              <w:t>1</w:t>
            </w:r>
            <w:r>
              <w:t>4</w:t>
            </w:r>
            <w:r w:rsidRPr="00C20B19">
              <w:t xml:space="preserve"> </w:t>
            </w:r>
            <w:r w:rsidR="00123319">
              <w:t>Through</w:t>
            </w:r>
            <w:r w:rsidR="00123319" w:rsidRPr="00C20B19">
              <w:t xml:space="preserve"> </w:t>
            </w:r>
            <w:r w:rsidRPr="00C20B19">
              <w:t>2023</w:t>
            </w:r>
            <w:r w:rsidR="00EF3FC4">
              <w:t>–</w:t>
            </w:r>
            <w:r w:rsidRPr="00C20B19">
              <w:t>24</w:t>
            </w:r>
          </w:p>
        </w:tc>
        <w:tc>
          <w:tcPr>
            <w:tcW w:w="1885" w:type="dxa"/>
            <w:tcBorders>
              <w:bottom w:val="single" w:sz="4" w:space="0" w:color="auto"/>
            </w:tcBorders>
          </w:tcPr>
          <w:p w:rsidR="00C157EC" w:rsidRDefault="00C157EC" w:rsidP="0044224B">
            <w:pPr>
              <w:pStyle w:val="TableTextCentered"/>
              <w:rPr>
                <w:rFonts w:ascii="Times New Roman" w:hAnsi="Times New Roman"/>
                <w:sz w:val="24"/>
                <w:szCs w:val="24"/>
              </w:rPr>
            </w:pPr>
            <w:r>
              <w:t>O</w:t>
            </w:r>
            <w:r w:rsidRPr="00C20B19">
              <w:t xml:space="preserve">verall </w:t>
            </w:r>
            <w:r>
              <w:t>A</w:t>
            </w:r>
            <w:r w:rsidRPr="00C20B19">
              <w:t xml:space="preserve">bsolute </w:t>
            </w:r>
            <w:r>
              <w:t>C</w:t>
            </w:r>
            <w:r w:rsidRPr="00C20B19">
              <w:t>hange</w:t>
            </w:r>
            <w:r>
              <w:t xml:space="preserve"> </w:t>
            </w:r>
            <w:r w:rsidRPr="00C20B19">
              <w:t>201</w:t>
            </w:r>
            <w:r>
              <w:t>3</w:t>
            </w:r>
            <w:r w:rsidR="00EF3FC4">
              <w:t>–</w:t>
            </w:r>
            <w:r w:rsidRPr="00C20B19">
              <w:t>1</w:t>
            </w:r>
            <w:r>
              <w:t>4</w:t>
            </w:r>
            <w:r w:rsidRPr="00C20B19">
              <w:t xml:space="preserve"> </w:t>
            </w:r>
            <w:r w:rsidR="00123319">
              <w:t>Through</w:t>
            </w:r>
            <w:r w:rsidR="00123319" w:rsidRPr="00C20B19">
              <w:t xml:space="preserve"> </w:t>
            </w:r>
            <w:r w:rsidRPr="00C20B19">
              <w:t>2023</w:t>
            </w:r>
            <w:r w:rsidR="00EF3FC4">
              <w:t>–</w:t>
            </w:r>
            <w:r w:rsidRPr="00C20B19">
              <w:t>24</w:t>
            </w:r>
          </w:p>
        </w:tc>
      </w:tr>
      <w:tr w:rsidR="0044224B" w:rsidTr="00123319">
        <w:tc>
          <w:tcPr>
            <w:tcW w:w="2965" w:type="dxa"/>
            <w:tcBorders>
              <w:bottom w:val="single" w:sz="4" w:space="0" w:color="auto"/>
            </w:tcBorders>
          </w:tcPr>
          <w:p w:rsidR="00C157EC" w:rsidRPr="00807FB9" w:rsidRDefault="00C157EC" w:rsidP="00191C0D">
            <w:pPr>
              <w:pStyle w:val="TableText"/>
              <w:jc w:val="center"/>
              <w:rPr>
                <w:szCs w:val="24"/>
              </w:rPr>
            </w:pPr>
            <w:r>
              <w:t>Under</w:t>
            </w:r>
            <w:r w:rsidR="00617CD2">
              <w:t xml:space="preserve"> 26</w:t>
            </w:r>
          </w:p>
        </w:tc>
        <w:tc>
          <w:tcPr>
            <w:tcW w:w="2610" w:type="dxa"/>
            <w:tcBorders>
              <w:bottom w:val="single" w:sz="4" w:space="0" w:color="auto"/>
            </w:tcBorders>
          </w:tcPr>
          <w:p w:rsidR="00C157EC" w:rsidRPr="00807FB9" w:rsidRDefault="00C157EC" w:rsidP="0044224B">
            <w:pPr>
              <w:pStyle w:val="TableTextCentered"/>
            </w:pPr>
            <w:r w:rsidRPr="00807FB9">
              <w:t>-4.2</w:t>
            </w:r>
            <w:r w:rsidR="001B01DB">
              <w:t>4</w:t>
            </w:r>
            <w:r w:rsidRPr="00807FB9">
              <w:t>%</w:t>
            </w:r>
          </w:p>
        </w:tc>
        <w:tc>
          <w:tcPr>
            <w:tcW w:w="1890" w:type="dxa"/>
            <w:tcBorders>
              <w:bottom w:val="single" w:sz="4" w:space="0" w:color="auto"/>
            </w:tcBorders>
          </w:tcPr>
          <w:p w:rsidR="00C157EC" w:rsidRPr="00807FB9" w:rsidRDefault="00C157EC" w:rsidP="0044224B">
            <w:pPr>
              <w:pStyle w:val="TableTextCentered"/>
            </w:pPr>
            <w:r w:rsidRPr="00807FB9">
              <w:t>-35.</w:t>
            </w:r>
            <w:r w:rsidR="001B01DB">
              <w:t>53</w:t>
            </w:r>
            <w:r w:rsidRPr="00807FB9">
              <w:t>%</w:t>
            </w:r>
          </w:p>
        </w:tc>
        <w:tc>
          <w:tcPr>
            <w:tcW w:w="1885" w:type="dxa"/>
            <w:tcBorders>
              <w:bottom w:val="single" w:sz="4" w:space="0" w:color="auto"/>
            </w:tcBorders>
          </w:tcPr>
          <w:p w:rsidR="00C157EC" w:rsidRPr="00807FB9" w:rsidRDefault="00C157EC" w:rsidP="0044224B">
            <w:pPr>
              <w:pStyle w:val="TableTextCentered"/>
            </w:pPr>
            <w:r w:rsidRPr="00807FB9">
              <w:t>-1,1</w:t>
            </w:r>
            <w:r w:rsidR="001B01DB">
              <w:t>10</w:t>
            </w:r>
          </w:p>
        </w:tc>
      </w:tr>
      <w:tr w:rsidR="0044224B" w:rsidTr="00123319">
        <w:tc>
          <w:tcPr>
            <w:tcW w:w="2965" w:type="dxa"/>
            <w:tcBorders>
              <w:bottom w:val="single" w:sz="4" w:space="0" w:color="auto"/>
            </w:tcBorders>
          </w:tcPr>
          <w:p w:rsidR="00C157EC" w:rsidRPr="00807FB9" w:rsidRDefault="00C157EC" w:rsidP="00191C0D">
            <w:pPr>
              <w:pStyle w:val="TableText"/>
              <w:jc w:val="center"/>
              <w:rPr>
                <w:szCs w:val="24"/>
              </w:rPr>
            </w:pPr>
            <w:r>
              <w:t>A</w:t>
            </w:r>
            <w:r w:rsidRPr="008A3727">
              <w:t>ge 26</w:t>
            </w:r>
            <w:r w:rsidR="00EF3FC4">
              <w:t>–</w:t>
            </w:r>
            <w:r w:rsidRPr="008A3727">
              <w:t>32</w:t>
            </w:r>
          </w:p>
        </w:tc>
        <w:tc>
          <w:tcPr>
            <w:tcW w:w="2610" w:type="dxa"/>
            <w:tcBorders>
              <w:bottom w:val="single" w:sz="4" w:space="0" w:color="auto"/>
            </w:tcBorders>
          </w:tcPr>
          <w:p w:rsidR="00C157EC" w:rsidRPr="00807FB9" w:rsidRDefault="00C157EC" w:rsidP="0044224B">
            <w:pPr>
              <w:pStyle w:val="TableTextCentered"/>
            </w:pPr>
            <w:r w:rsidRPr="00807FB9">
              <w:t>-0.72%</w:t>
            </w:r>
          </w:p>
        </w:tc>
        <w:tc>
          <w:tcPr>
            <w:tcW w:w="1890" w:type="dxa"/>
            <w:tcBorders>
              <w:bottom w:val="single" w:sz="4" w:space="0" w:color="auto"/>
            </w:tcBorders>
          </w:tcPr>
          <w:p w:rsidR="00C157EC" w:rsidRPr="00807FB9" w:rsidRDefault="00C157EC" w:rsidP="0044224B">
            <w:pPr>
              <w:pStyle w:val="TableTextCentered"/>
            </w:pPr>
            <w:r w:rsidRPr="00807FB9">
              <w:t>-</w:t>
            </w:r>
            <w:r w:rsidR="001B01DB">
              <w:t>7.01</w:t>
            </w:r>
            <w:r w:rsidRPr="00807FB9">
              <w:t>%</w:t>
            </w:r>
          </w:p>
        </w:tc>
        <w:tc>
          <w:tcPr>
            <w:tcW w:w="1885" w:type="dxa"/>
            <w:tcBorders>
              <w:bottom w:val="single" w:sz="4" w:space="0" w:color="auto"/>
            </w:tcBorders>
          </w:tcPr>
          <w:p w:rsidR="00C157EC" w:rsidRPr="00807FB9" w:rsidRDefault="00C157EC" w:rsidP="0044224B">
            <w:pPr>
              <w:pStyle w:val="TableTextCentered"/>
            </w:pPr>
            <w:r w:rsidRPr="00807FB9">
              <w:t>-8</w:t>
            </w:r>
            <w:r w:rsidR="001B01DB">
              <w:t>90</w:t>
            </w:r>
          </w:p>
        </w:tc>
      </w:tr>
      <w:tr w:rsidR="0044224B" w:rsidTr="00123319">
        <w:tc>
          <w:tcPr>
            <w:tcW w:w="2965" w:type="dxa"/>
            <w:tcBorders>
              <w:bottom w:val="single" w:sz="4" w:space="0" w:color="auto"/>
            </w:tcBorders>
          </w:tcPr>
          <w:p w:rsidR="00C157EC" w:rsidRPr="00807FB9" w:rsidRDefault="00C157EC" w:rsidP="00191C0D">
            <w:pPr>
              <w:pStyle w:val="TableText"/>
              <w:jc w:val="center"/>
              <w:rPr>
                <w:szCs w:val="24"/>
              </w:rPr>
            </w:pPr>
            <w:r>
              <w:t>A</w:t>
            </w:r>
            <w:r w:rsidRPr="008A3727">
              <w:t>ge 33</w:t>
            </w:r>
            <w:r w:rsidR="00EF3FC4">
              <w:t>–</w:t>
            </w:r>
            <w:r w:rsidRPr="008A3727">
              <w:t>40</w:t>
            </w:r>
          </w:p>
        </w:tc>
        <w:tc>
          <w:tcPr>
            <w:tcW w:w="2610" w:type="dxa"/>
            <w:tcBorders>
              <w:bottom w:val="single" w:sz="4" w:space="0" w:color="auto"/>
            </w:tcBorders>
          </w:tcPr>
          <w:p w:rsidR="00C157EC" w:rsidRPr="00807FB9" w:rsidRDefault="00C157EC" w:rsidP="0044224B">
            <w:pPr>
              <w:pStyle w:val="TableTextCentered"/>
            </w:pPr>
            <w:r w:rsidRPr="00807FB9">
              <w:t>1.39%</w:t>
            </w:r>
          </w:p>
        </w:tc>
        <w:tc>
          <w:tcPr>
            <w:tcW w:w="1890" w:type="dxa"/>
            <w:tcBorders>
              <w:bottom w:val="single" w:sz="4" w:space="0" w:color="auto"/>
            </w:tcBorders>
          </w:tcPr>
          <w:p w:rsidR="00C157EC" w:rsidRPr="00807FB9" w:rsidRDefault="00C157EC" w:rsidP="0044224B">
            <w:pPr>
              <w:pStyle w:val="TableTextCentered"/>
            </w:pPr>
            <w:r w:rsidRPr="00807FB9">
              <w:t>14.</w:t>
            </w:r>
            <w:r w:rsidR="001B01DB">
              <w:t>76</w:t>
            </w:r>
            <w:r w:rsidRPr="00807FB9">
              <w:t>%</w:t>
            </w:r>
          </w:p>
        </w:tc>
        <w:tc>
          <w:tcPr>
            <w:tcW w:w="1885" w:type="dxa"/>
            <w:tcBorders>
              <w:bottom w:val="single" w:sz="4" w:space="0" w:color="auto"/>
            </w:tcBorders>
          </w:tcPr>
          <w:p w:rsidR="00C157EC" w:rsidRPr="00807FB9" w:rsidRDefault="00C157EC" w:rsidP="0044224B">
            <w:pPr>
              <w:pStyle w:val="TableTextCentered"/>
            </w:pPr>
            <w:r w:rsidRPr="00807FB9">
              <w:t>2,</w:t>
            </w:r>
            <w:r w:rsidR="001B01DB">
              <w:t>088</w:t>
            </w:r>
          </w:p>
        </w:tc>
      </w:tr>
      <w:tr w:rsidR="0044224B" w:rsidTr="00123319">
        <w:tc>
          <w:tcPr>
            <w:tcW w:w="2965" w:type="dxa"/>
            <w:tcBorders>
              <w:bottom w:val="single" w:sz="4" w:space="0" w:color="auto"/>
            </w:tcBorders>
          </w:tcPr>
          <w:p w:rsidR="00C157EC" w:rsidRPr="00807FB9" w:rsidRDefault="00C157EC" w:rsidP="00191C0D">
            <w:pPr>
              <w:pStyle w:val="TableText"/>
              <w:jc w:val="center"/>
              <w:rPr>
                <w:szCs w:val="24"/>
              </w:rPr>
            </w:pPr>
            <w:r>
              <w:t>A</w:t>
            </w:r>
            <w:r w:rsidRPr="008A3727">
              <w:t>ge 41</w:t>
            </w:r>
            <w:r w:rsidR="00EF3FC4">
              <w:t>–</w:t>
            </w:r>
            <w:r w:rsidRPr="008A3727">
              <w:t>48</w:t>
            </w:r>
          </w:p>
        </w:tc>
        <w:tc>
          <w:tcPr>
            <w:tcW w:w="2610" w:type="dxa"/>
            <w:tcBorders>
              <w:bottom w:val="single" w:sz="4" w:space="0" w:color="auto"/>
            </w:tcBorders>
          </w:tcPr>
          <w:p w:rsidR="00C157EC" w:rsidRPr="00807FB9" w:rsidRDefault="00C157EC" w:rsidP="0044224B">
            <w:pPr>
              <w:pStyle w:val="TableTextCentered"/>
            </w:pPr>
            <w:r w:rsidRPr="00807FB9">
              <w:t>3.4</w:t>
            </w:r>
            <w:r w:rsidR="001B01DB">
              <w:t>7</w:t>
            </w:r>
            <w:r w:rsidRPr="00807FB9">
              <w:t>%</w:t>
            </w:r>
          </w:p>
        </w:tc>
        <w:tc>
          <w:tcPr>
            <w:tcW w:w="1890" w:type="dxa"/>
            <w:tcBorders>
              <w:bottom w:val="single" w:sz="4" w:space="0" w:color="auto"/>
            </w:tcBorders>
          </w:tcPr>
          <w:p w:rsidR="00C157EC" w:rsidRPr="00807FB9" w:rsidRDefault="00C157EC" w:rsidP="0044224B">
            <w:pPr>
              <w:pStyle w:val="TableTextCentered"/>
            </w:pPr>
            <w:r w:rsidRPr="00807FB9">
              <w:t>40.</w:t>
            </w:r>
            <w:r w:rsidR="001B01DB">
              <w:t>68</w:t>
            </w:r>
            <w:r w:rsidRPr="00807FB9">
              <w:t>%</w:t>
            </w:r>
          </w:p>
        </w:tc>
        <w:tc>
          <w:tcPr>
            <w:tcW w:w="1885" w:type="dxa"/>
            <w:tcBorders>
              <w:bottom w:val="single" w:sz="4" w:space="0" w:color="auto"/>
            </w:tcBorders>
          </w:tcPr>
          <w:p w:rsidR="00C157EC" w:rsidRPr="00807FB9" w:rsidRDefault="00C157EC" w:rsidP="0044224B">
            <w:pPr>
              <w:pStyle w:val="TableTextCentered"/>
            </w:pPr>
            <w:r w:rsidRPr="00807FB9">
              <w:t>5,7</w:t>
            </w:r>
            <w:r w:rsidR="001B01DB">
              <w:t>00</w:t>
            </w:r>
          </w:p>
        </w:tc>
      </w:tr>
      <w:tr w:rsidR="0044224B" w:rsidTr="00123319">
        <w:tc>
          <w:tcPr>
            <w:tcW w:w="2965" w:type="dxa"/>
            <w:tcBorders>
              <w:bottom w:val="single" w:sz="4" w:space="0" w:color="auto"/>
            </w:tcBorders>
          </w:tcPr>
          <w:p w:rsidR="00C157EC" w:rsidRPr="00807FB9" w:rsidRDefault="00C157EC" w:rsidP="00191C0D">
            <w:pPr>
              <w:pStyle w:val="TableText"/>
              <w:jc w:val="center"/>
              <w:rPr>
                <w:szCs w:val="24"/>
              </w:rPr>
            </w:pPr>
            <w:r>
              <w:t>A</w:t>
            </w:r>
            <w:r w:rsidRPr="008A3727">
              <w:t>ge 49</w:t>
            </w:r>
            <w:r w:rsidR="00EF3FC4">
              <w:t>–</w:t>
            </w:r>
            <w:r w:rsidRPr="008A3727">
              <w:t>56</w:t>
            </w:r>
          </w:p>
        </w:tc>
        <w:tc>
          <w:tcPr>
            <w:tcW w:w="2610" w:type="dxa"/>
            <w:tcBorders>
              <w:bottom w:val="single" w:sz="4" w:space="0" w:color="auto"/>
            </w:tcBorders>
          </w:tcPr>
          <w:p w:rsidR="00C157EC" w:rsidRPr="00807FB9" w:rsidRDefault="00C157EC" w:rsidP="0044224B">
            <w:pPr>
              <w:pStyle w:val="TableTextCentered"/>
            </w:pPr>
            <w:r w:rsidRPr="00807FB9">
              <w:t>-5.2</w:t>
            </w:r>
            <w:r w:rsidR="001B01DB">
              <w:t>4</w:t>
            </w:r>
            <w:r w:rsidRPr="00807FB9">
              <w:t>%</w:t>
            </w:r>
          </w:p>
        </w:tc>
        <w:tc>
          <w:tcPr>
            <w:tcW w:w="1890" w:type="dxa"/>
            <w:tcBorders>
              <w:bottom w:val="single" w:sz="4" w:space="0" w:color="auto"/>
            </w:tcBorders>
          </w:tcPr>
          <w:p w:rsidR="00C157EC" w:rsidRPr="00807FB9" w:rsidRDefault="00C157EC" w:rsidP="0044224B">
            <w:pPr>
              <w:pStyle w:val="TableTextCentered"/>
            </w:pPr>
            <w:r w:rsidRPr="00807FB9">
              <w:t>-41.</w:t>
            </w:r>
            <w:r w:rsidR="001B01DB">
              <w:t>65</w:t>
            </w:r>
            <w:r w:rsidRPr="00807FB9">
              <w:t>%</w:t>
            </w:r>
          </w:p>
        </w:tc>
        <w:tc>
          <w:tcPr>
            <w:tcW w:w="1885" w:type="dxa"/>
            <w:tcBorders>
              <w:bottom w:val="single" w:sz="4" w:space="0" w:color="auto"/>
            </w:tcBorders>
          </w:tcPr>
          <w:p w:rsidR="00C157EC" w:rsidRPr="00807FB9" w:rsidRDefault="00C157EC" w:rsidP="0044224B">
            <w:pPr>
              <w:pStyle w:val="TableTextCentered"/>
            </w:pPr>
            <w:r w:rsidRPr="00807FB9">
              <w:t>-5,</w:t>
            </w:r>
            <w:r w:rsidR="001B01DB">
              <w:t>187</w:t>
            </w:r>
          </w:p>
        </w:tc>
      </w:tr>
      <w:tr w:rsidR="0044224B" w:rsidTr="00123319">
        <w:tc>
          <w:tcPr>
            <w:tcW w:w="2965" w:type="dxa"/>
            <w:tcBorders>
              <w:bottom w:val="single" w:sz="4" w:space="0" w:color="auto"/>
            </w:tcBorders>
          </w:tcPr>
          <w:p w:rsidR="00C157EC" w:rsidRPr="00807FB9" w:rsidRDefault="00C157EC" w:rsidP="00191C0D">
            <w:pPr>
              <w:pStyle w:val="TableText"/>
              <w:jc w:val="center"/>
              <w:rPr>
                <w:szCs w:val="24"/>
              </w:rPr>
            </w:pPr>
            <w:r>
              <w:t>A</w:t>
            </w:r>
            <w:r w:rsidRPr="008A3727">
              <w:t>ge 57</w:t>
            </w:r>
            <w:r w:rsidR="00EF3FC4">
              <w:t>–</w:t>
            </w:r>
            <w:r w:rsidRPr="008A3727">
              <w:t>64</w:t>
            </w:r>
          </w:p>
        </w:tc>
        <w:tc>
          <w:tcPr>
            <w:tcW w:w="2610" w:type="dxa"/>
            <w:tcBorders>
              <w:bottom w:val="single" w:sz="4" w:space="0" w:color="auto"/>
            </w:tcBorders>
          </w:tcPr>
          <w:p w:rsidR="00C157EC" w:rsidRPr="00807FB9" w:rsidRDefault="00C157EC" w:rsidP="0044224B">
            <w:pPr>
              <w:pStyle w:val="TableTextCentered"/>
            </w:pPr>
            <w:r w:rsidRPr="00807FB9">
              <w:t>-0.03%</w:t>
            </w:r>
          </w:p>
        </w:tc>
        <w:tc>
          <w:tcPr>
            <w:tcW w:w="1890" w:type="dxa"/>
            <w:tcBorders>
              <w:bottom w:val="single" w:sz="4" w:space="0" w:color="auto"/>
            </w:tcBorders>
          </w:tcPr>
          <w:p w:rsidR="00C157EC" w:rsidRPr="00807FB9" w:rsidRDefault="00C157EC" w:rsidP="0044224B">
            <w:pPr>
              <w:pStyle w:val="TableTextCentered"/>
            </w:pPr>
            <w:r w:rsidRPr="00807FB9">
              <w:t>-0.</w:t>
            </w:r>
            <w:r w:rsidR="001B01DB">
              <w:t>30</w:t>
            </w:r>
            <w:r w:rsidRPr="00807FB9">
              <w:t>%</w:t>
            </w:r>
          </w:p>
        </w:tc>
        <w:tc>
          <w:tcPr>
            <w:tcW w:w="1885" w:type="dxa"/>
            <w:tcBorders>
              <w:bottom w:val="single" w:sz="4" w:space="0" w:color="auto"/>
            </w:tcBorders>
          </w:tcPr>
          <w:p w:rsidR="00C157EC" w:rsidRPr="00807FB9" w:rsidRDefault="00C157EC" w:rsidP="0044224B">
            <w:pPr>
              <w:pStyle w:val="TableTextCentered"/>
            </w:pPr>
            <w:r w:rsidRPr="00807FB9">
              <w:t>-2</w:t>
            </w:r>
            <w:r w:rsidR="001B01DB">
              <w:t>8</w:t>
            </w:r>
          </w:p>
        </w:tc>
      </w:tr>
      <w:tr w:rsidR="0044224B" w:rsidTr="00123319">
        <w:tc>
          <w:tcPr>
            <w:tcW w:w="2965" w:type="dxa"/>
          </w:tcPr>
          <w:p w:rsidR="00C157EC" w:rsidRPr="00807FB9" w:rsidRDefault="00C157EC" w:rsidP="00191C0D">
            <w:pPr>
              <w:pStyle w:val="TableText"/>
              <w:jc w:val="center"/>
              <w:rPr>
                <w:szCs w:val="24"/>
              </w:rPr>
            </w:pPr>
            <w:r>
              <w:t>Over</w:t>
            </w:r>
            <w:r w:rsidR="00617CD2">
              <w:t xml:space="preserve"> 64</w:t>
            </w:r>
          </w:p>
        </w:tc>
        <w:tc>
          <w:tcPr>
            <w:tcW w:w="2610" w:type="dxa"/>
          </w:tcPr>
          <w:p w:rsidR="00C157EC" w:rsidRPr="00807FB9" w:rsidRDefault="00C157EC" w:rsidP="0044224B">
            <w:pPr>
              <w:pStyle w:val="TableTextCentered"/>
            </w:pPr>
            <w:r w:rsidRPr="00807FB9">
              <w:t>11.5</w:t>
            </w:r>
            <w:r w:rsidR="001B01DB">
              <w:t>5</w:t>
            </w:r>
            <w:r w:rsidRPr="00807FB9">
              <w:t>%</w:t>
            </w:r>
          </w:p>
        </w:tc>
        <w:tc>
          <w:tcPr>
            <w:tcW w:w="1890" w:type="dxa"/>
          </w:tcPr>
          <w:p w:rsidR="00C157EC" w:rsidRPr="00807FB9" w:rsidRDefault="00C157EC" w:rsidP="0044224B">
            <w:pPr>
              <w:pStyle w:val="TableTextCentered"/>
            </w:pPr>
            <w:r w:rsidRPr="00807FB9">
              <w:t>198.</w:t>
            </w:r>
            <w:r w:rsidR="001B01DB">
              <w:t>24</w:t>
            </w:r>
            <w:r w:rsidRPr="00807FB9">
              <w:t>%</w:t>
            </w:r>
          </w:p>
        </w:tc>
        <w:tc>
          <w:tcPr>
            <w:tcW w:w="1885" w:type="dxa"/>
          </w:tcPr>
          <w:p w:rsidR="00C157EC" w:rsidRPr="00807FB9" w:rsidRDefault="00C157EC" w:rsidP="0044224B">
            <w:pPr>
              <w:pStyle w:val="TableTextCentered"/>
            </w:pPr>
            <w:r w:rsidRPr="00807FB9">
              <w:t>2,2</w:t>
            </w:r>
            <w:r w:rsidR="001B01DB">
              <w:t>05</w:t>
            </w:r>
          </w:p>
        </w:tc>
      </w:tr>
    </w:tbl>
    <w:p w:rsidR="00C157EC" w:rsidRPr="00847942" w:rsidRDefault="00C157EC" w:rsidP="0044224B">
      <w:pPr>
        <w:pStyle w:val="BodyText"/>
      </w:pPr>
      <w:r>
        <w:t xml:space="preserve">As with demand projections, </w:t>
      </w:r>
      <w:r w:rsidR="00645716">
        <w:t>the AIR research team found</w:t>
      </w:r>
      <w:r>
        <w:t xml:space="preserve"> that the supply of teachers in the </w:t>
      </w:r>
      <w:r w:rsidR="00F82300">
        <w:t>over 64</w:t>
      </w:r>
      <w:r>
        <w:t xml:space="preserve"> age group is projected to grow sharply over the next 10 years. However, as previously suggested</w:t>
      </w:r>
      <w:r w:rsidR="00645716">
        <w:t>,</w:t>
      </w:r>
      <w:r>
        <w:t xml:space="preserve"> this growth may be due in part to the recession and a corresponding drop in the rate of retirement in reaction to financial instability. Therefore, to the extent that </w:t>
      </w:r>
      <w:r w:rsidR="00645716">
        <w:t xml:space="preserve">it is </w:t>
      </w:r>
      <w:r>
        <w:t>expect</w:t>
      </w:r>
      <w:r w:rsidR="00645716">
        <w:t>ed</w:t>
      </w:r>
      <w:r>
        <w:t xml:space="preserve"> the financial health in the state</w:t>
      </w:r>
      <w:r w:rsidR="00645716">
        <w:t xml:space="preserve"> will</w:t>
      </w:r>
      <w:r>
        <w:t xml:space="preserve"> generally improve, and that the effects of the recession will wane, </w:t>
      </w:r>
      <w:r w:rsidR="00645716">
        <w:t>it is</w:t>
      </w:r>
      <w:r>
        <w:t xml:space="preserve"> also expect</w:t>
      </w:r>
      <w:r w:rsidR="00645716">
        <w:t>ed that</w:t>
      </w:r>
      <w:r>
        <w:t xml:space="preserve"> retirements </w:t>
      </w:r>
      <w:r w:rsidR="00645716">
        <w:t xml:space="preserve">will </w:t>
      </w:r>
      <w:r>
        <w:t xml:space="preserve">increase over time. Future financial health of the economy is not captured in </w:t>
      </w:r>
      <w:r w:rsidR="00645716">
        <w:t xml:space="preserve">these </w:t>
      </w:r>
      <w:r>
        <w:t xml:space="preserve">projections, </w:t>
      </w:r>
      <w:r w:rsidR="00645716">
        <w:t xml:space="preserve">so </w:t>
      </w:r>
      <w:r>
        <w:t>policymakers may want to monitor these numbers over the coming years for a drop in teachers of retirement age.</w:t>
      </w:r>
    </w:p>
    <w:p w:rsidR="00C157EC" w:rsidRDefault="00C157EC" w:rsidP="0044224B">
      <w:pPr>
        <w:pStyle w:val="Heading4"/>
      </w:pPr>
      <w:bookmarkStart w:id="93" w:name="_Toc435784258"/>
      <w:r>
        <w:t>Comparing Supply and Demand Projections by Age</w:t>
      </w:r>
      <w:bookmarkEnd w:id="93"/>
    </w:p>
    <w:p w:rsidR="00B55A5C" w:rsidRDefault="00C157EC" w:rsidP="00B55A5C">
      <w:pPr>
        <w:pStyle w:val="BodyText"/>
      </w:pPr>
      <w:r>
        <w:t>In an effort to determine if there are expected shortages or surpluses among teachers in different age groups in future years, the supply and demand projections for each</w:t>
      </w:r>
      <w:r w:rsidR="00165D83">
        <w:t xml:space="preserve"> were compared</w:t>
      </w:r>
      <w:r>
        <w:t xml:space="preserve">. In general, projected supply is expected to exceed demand (suggesting a surplus) in most of the projected 10 years for all but two age groups (i.e., </w:t>
      </w:r>
      <w:r w:rsidR="00F82300">
        <w:t>under 26</w:t>
      </w:r>
      <w:r>
        <w:t xml:space="preserve"> and ages 57</w:t>
      </w:r>
      <w:r w:rsidR="00165D83">
        <w:t>–</w:t>
      </w:r>
      <w:r>
        <w:t xml:space="preserve">64). Moreover, demand is expected to exceed supply (shortage) in all 10 projected years for only the </w:t>
      </w:r>
      <w:r w:rsidR="00F82300">
        <w:t>under 26</w:t>
      </w:r>
      <w:r>
        <w:t xml:space="preserve"> group. The results for the </w:t>
      </w:r>
      <w:r w:rsidR="00F82300">
        <w:t>under 26</w:t>
      </w:r>
      <w:r>
        <w:t xml:space="preserve"> group can be seen in </w:t>
      </w:r>
      <w:r w:rsidR="00165D83">
        <w:t xml:space="preserve">Table </w:t>
      </w:r>
      <w:r w:rsidR="00DB10EA">
        <w:t>21</w:t>
      </w:r>
      <w:r w:rsidR="00165D83">
        <w:t xml:space="preserve"> and Figure 2</w:t>
      </w:r>
      <w:r w:rsidR="00DB10EA">
        <w:t>2</w:t>
      </w:r>
      <w:r>
        <w:t xml:space="preserve">, and additional </w:t>
      </w:r>
      <w:r w:rsidR="00165D83">
        <w:t xml:space="preserve">tables and figures </w:t>
      </w:r>
      <w:r>
        <w:t>displaying these findings can be found in Appendix B.</w:t>
      </w:r>
    </w:p>
    <w:p w:rsidR="00C157EC" w:rsidRPr="0044224B" w:rsidRDefault="00FE7110" w:rsidP="00B55A5C">
      <w:pPr>
        <w:pStyle w:val="ExhibitTitle"/>
      </w:pPr>
      <w:proofErr w:type="gramStart"/>
      <w:r>
        <w:t xml:space="preserve">Table </w:t>
      </w:r>
      <w:r w:rsidR="00DB10EA">
        <w:t>21</w:t>
      </w:r>
      <w:r w:rsidR="00C157EC" w:rsidRPr="00CC4696">
        <w:t>.</w:t>
      </w:r>
      <w:proofErr w:type="gramEnd"/>
      <w:r w:rsidR="00C157EC" w:rsidRPr="00CC4696">
        <w:t xml:space="preserve"> Projected</w:t>
      </w:r>
      <w:r w:rsidR="00C157EC">
        <w:t xml:space="preserve"> Statewide</w:t>
      </w:r>
      <w:r w:rsidR="00C157EC" w:rsidRPr="00CC4696">
        <w:t xml:space="preserve"> Demand</w:t>
      </w:r>
      <w:r w:rsidR="004E50CD">
        <w:t xml:space="preserve"> and </w:t>
      </w:r>
      <w:r w:rsidR="00C157EC" w:rsidRPr="00CC4696">
        <w:t>Supply</w:t>
      </w:r>
      <w:r w:rsidR="00C157EC">
        <w:t xml:space="preserve"> of </w:t>
      </w:r>
      <w:r w:rsidR="00617CD2">
        <w:t xml:space="preserve">Teachers </w:t>
      </w:r>
      <w:proofErr w:type="gramStart"/>
      <w:r w:rsidR="007C2068">
        <w:t>Under</w:t>
      </w:r>
      <w:proofErr w:type="gramEnd"/>
      <w:r w:rsidR="00C157EC">
        <w:t xml:space="preserve"> </w:t>
      </w:r>
      <w:r w:rsidR="00617CD2">
        <w:t xml:space="preserve">26 Years of Age </w:t>
      </w:r>
      <w:r w:rsidR="00C157EC">
        <w:t xml:space="preserve">in Terms of FTEs and </w:t>
      </w:r>
      <w:r w:rsidR="00C157EC" w:rsidRPr="00CC4696">
        <w:t xml:space="preserve">Absolute </w:t>
      </w:r>
      <w:r w:rsidR="00C157EC">
        <w:t xml:space="preserve">and </w:t>
      </w:r>
      <w:r w:rsidR="00C157EC" w:rsidRPr="00CC4696">
        <w:t>Relative Differences</w:t>
      </w:r>
      <w:r w:rsidR="007C2068">
        <w:t>,</w:t>
      </w:r>
      <w:r w:rsidR="00C157EC" w:rsidRPr="00CC4696">
        <w:t xml:space="preserve"> </w:t>
      </w:r>
      <w:r w:rsidR="00C157EC">
        <w:t>2014</w:t>
      </w:r>
      <w:r w:rsidR="007C2068">
        <w:t>–</w:t>
      </w:r>
      <w:r w:rsidR="00C157EC">
        <w:t>15</w:t>
      </w:r>
      <w:r w:rsidR="0092042A">
        <w:t xml:space="preserve"> Through </w:t>
      </w:r>
      <w:r w:rsidR="00C157EC" w:rsidRPr="00CC4696">
        <w:t>2023</w:t>
      </w:r>
      <w:r w:rsidR="007C2068">
        <w:t>–</w:t>
      </w:r>
      <w:r w:rsidR="00C157EC"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1"/>
        <w:gridCol w:w="1939"/>
        <w:gridCol w:w="2123"/>
        <w:gridCol w:w="1846"/>
        <w:gridCol w:w="1841"/>
      </w:tblGrid>
      <w:tr w:rsidR="0044224B" w:rsidTr="002D6597">
        <w:trPr>
          <w:cnfStyle w:val="100000000000"/>
        </w:trPr>
        <w:tc>
          <w:tcPr>
            <w:tcW w:w="1795" w:type="dxa"/>
            <w:tcBorders>
              <w:bottom w:val="single" w:sz="4" w:space="0" w:color="auto"/>
            </w:tcBorders>
          </w:tcPr>
          <w:p w:rsidR="00C157EC" w:rsidRPr="00807FB9" w:rsidRDefault="00C157EC" w:rsidP="00191C0D">
            <w:pPr>
              <w:pStyle w:val="TableText"/>
              <w:jc w:val="center"/>
            </w:pPr>
            <w:r>
              <w:t>Year</w:t>
            </w:r>
          </w:p>
        </w:tc>
        <w:tc>
          <w:tcPr>
            <w:tcW w:w="1890" w:type="dxa"/>
            <w:tcBorders>
              <w:bottom w:val="single" w:sz="4" w:space="0" w:color="auto"/>
            </w:tcBorders>
          </w:tcPr>
          <w:p w:rsidR="00C157EC" w:rsidRPr="00807FB9" w:rsidRDefault="00C157EC" w:rsidP="0044224B">
            <w:pPr>
              <w:pStyle w:val="TableTextCentered"/>
            </w:pPr>
            <w:r w:rsidRPr="00807FB9">
              <w:t>Projected Supply</w:t>
            </w:r>
          </w:p>
        </w:tc>
        <w:tc>
          <w:tcPr>
            <w:tcW w:w="2070" w:type="dxa"/>
            <w:tcBorders>
              <w:bottom w:val="single" w:sz="4" w:space="0" w:color="auto"/>
            </w:tcBorders>
          </w:tcPr>
          <w:p w:rsidR="00C157EC" w:rsidRPr="00807FB9" w:rsidRDefault="00C157EC" w:rsidP="0044224B">
            <w:pPr>
              <w:pStyle w:val="TableTextCentered"/>
            </w:pPr>
            <w:r w:rsidRPr="00807FB9">
              <w:t>Projected Demand</w:t>
            </w:r>
          </w:p>
        </w:tc>
        <w:tc>
          <w:tcPr>
            <w:tcW w:w="1800" w:type="dxa"/>
            <w:tcBorders>
              <w:bottom w:val="single" w:sz="4" w:space="0" w:color="auto"/>
            </w:tcBorders>
          </w:tcPr>
          <w:p w:rsidR="00C157EC" w:rsidRPr="00807FB9" w:rsidRDefault="00C157EC" w:rsidP="0044224B">
            <w:pPr>
              <w:pStyle w:val="TableTextCentered"/>
            </w:pPr>
            <w:r w:rsidRPr="00807FB9">
              <w:t xml:space="preserve">Absolute Difference </w:t>
            </w:r>
            <w:r w:rsidR="007C2068">
              <w:t>B</w:t>
            </w:r>
            <w:r w:rsidRPr="00807FB9">
              <w:t>etween Supply and Demand</w:t>
            </w:r>
          </w:p>
        </w:tc>
        <w:tc>
          <w:tcPr>
            <w:tcW w:w="1795" w:type="dxa"/>
            <w:tcBorders>
              <w:bottom w:val="single" w:sz="4" w:space="0" w:color="auto"/>
            </w:tcBorders>
          </w:tcPr>
          <w:p w:rsidR="00C157EC" w:rsidRPr="00807FB9" w:rsidRDefault="00C157EC" w:rsidP="0044224B">
            <w:pPr>
              <w:pStyle w:val="TableTextCentered"/>
            </w:pPr>
            <w:r w:rsidRPr="00807FB9">
              <w:t xml:space="preserve">Relative Difference </w:t>
            </w:r>
            <w:r w:rsidR="007C2068">
              <w:t>B</w:t>
            </w:r>
            <w:r w:rsidRPr="00807FB9">
              <w:t>etween Supply and Demand</w:t>
            </w:r>
          </w:p>
        </w:tc>
      </w:tr>
      <w:tr w:rsidR="009F4481" w:rsidTr="00085539">
        <w:tc>
          <w:tcPr>
            <w:tcW w:w="1795" w:type="dxa"/>
            <w:tcBorders>
              <w:bottom w:val="single" w:sz="4" w:space="0" w:color="auto"/>
            </w:tcBorders>
          </w:tcPr>
          <w:p w:rsidR="009F4481" w:rsidRPr="00807FB9" w:rsidRDefault="009F4481" w:rsidP="009F4481">
            <w:pPr>
              <w:pStyle w:val="TableText"/>
              <w:jc w:val="center"/>
            </w:pPr>
            <w:r w:rsidRPr="00807FB9">
              <w:t>201</w:t>
            </w:r>
            <w:r>
              <w:t>4–1</w:t>
            </w:r>
            <w:r w:rsidRPr="00807FB9">
              <w:t>5</w:t>
            </w:r>
          </w:p>
        </w:tc>
        <w:tc>
          <w:tcPr>
            <w:tcW w:w="189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705</w:t>
            </w:r>
          </w:p>
        </w:tc>
        <w:tc>
          <w:tcPr>
            <w:tcW w:w="2070" w:type="dxa"/>
            <w:tcBorders>
              <w:bottom w:val="single" w:sz="4" w:space="0" w:color="auto"/>
            </w:tcBorders>
          </w:tcPr>
          <w:p w:rsidR="009F4481" w:rsidRPr="00807FB9" w:rsidRDefault="009F4481" w:rsidP="009F4481">
            <w:pPr>
              <w:pStyle w:val="TableTextCentered"/>
            </w:pPr>
            <w:r w:rsidRPr="00807FB9">
              <w:t>2,713</w:t>
            </w:r>
          </w:p>
        </w:tc>
        <w:tc>
          <w:tcPr>
            <w:tcW w:w="180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-8</w:t>
            </w:r>
          </w:p>
        </w:tc>
        <w:tc>
          <w:tcPr>
            <w:tcW w:w="1795"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-0.28</w:t>
            </w:r>
            <w:r>
              <w:rPr>
                <w:rFonts w:cstheme="majorHAnsi"/>
                <w:color w:val="000000"/>
              </w:rPr>
              <w:t>%</w:t>
            </w:r>
          </w:p>
        </w:tc>
      </w:tr>
      <w:tr w:rsidR="009F4481" w:rsidTr="00085539">
        <w:tc>
          <w:tcPr>
            <w:tcW w:w="1795" w:type="dxa"/>
            <w:tcBorders>
              <w:bottom w:val="single" w:sz="4" w:space="0" w:color="auto"/>
            </w:tcBorders>
          </w:tcPr>
          <w:p w:rsidR="009F4481" w:rsidRPr="00807FB9" w:rsidRDefault="009F4481" w:rsidP="009F4481">
            <w:pPr>
              <w:pStyle w:val="TableText"/>
              <w:jc w:val="center"/>
            </w:pPr>
            <w:r w:rsidRPr="00807FB9">
              <w:t>201</w:t>
            </w:r>
            <w:r>
              <w:t>5–1</w:t>
            </w:r>
            <w:r w:rsidRPr="00807FB9">
              <w:t>6</w:t>
            </w:r>
          </w:p>
        </w:tc>
        <w:tc>
          <w:tcPr>
            <w:tcW w:w="189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598</w:t>
            </w:r>
          </w:p>
        </w:tc>
        <w:tc>
          <w:tcPr>
            <w:tcW w:w="2070" w:type="dxa"/>
            <w:tcBorders>
              <w:bottom w:val="single" w:sz="4" w:space="0" w:color="auto"/>
            </w:tcBorders>
          </w:tcPr>
          <w:p w:rsidR="009F4481" w:rsidRPr="00807FB9" w:rsidRDefault="009F4481" w:rsidP="009F4481">
            <w:pPr>
              <w:pStyle w:val="TableTextCentered"/>
            </w:pPr>
            <w:r w:rsidRPr="00807FB9">
              <w:t>2,622</w:t>
            </w:r>
          </w:p>
        </w:tc>
        <w:tc>
          <w:tcPr>
            <w:tcW w:w="180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-24</w:t>
            </w:r>
          </w:p>
        </w:tc>
        <w:tc>
          <w:tcPr>
            <w:tcW w:w="1795"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-0.92</w:t>
            </w:r>
            <w:r>
              <w:rPr>
                <w:rFonts w:cstheme="majorHAnsi"/>
                <w:color w:val="000000"/>
              </w:rPr>
              <w:t>%</w:t>
            </w:r>
          </w:p>
        </w:tc>
      </w:tr>
      <w:tr w:rsidR="009F4481" w:rsidTr="00085539">
        <w:tc>
          <w:tcPr>
            <w:tcW w:w="1795" w:type="dxa"/>
            <w:tcBorders>
              <w:bottom w:val="single" w:sz="4" w:space="0" w:color="auto"/>
            </w:tcBorders>
          </w:tcPr>
          <w:p w:rsidR="009F4481" w:rsidRPr="00807FB9" w:rsidRDefault="009F4481" w:rsidP="009F4481">
            <w:pPr>
              <w:pStyle w:val="TableText"/>
              <w:jc w:val="center"/>
            </w:pPr>
            <w:r w:rsidRPr="00807FB9">
              <w:t>201</w:t>
            </w:r>
            <w:r>
              <w:t>6–1</w:t>
            </w:r>
            <w:r w:rsidRPr="00807FB9">
              <w:t>7</w:t>
            </w:r>
          </w:p>
        </w:tc>
        <w:tc>
          <w:tcPr>
            <w:tcW w:w="189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500</w:t>
            </w:r>
          </w:p>
        </w:tc>
        <w:tc>
          <w:tcPr>
            <w:tcW w:w="2070" w:type="dxa"/>
            <w:tcBorders>
              <w:bottom w:val="single" w:sz="4" w:space="0" w:color="auto"/>
            </w:tcBorders>
          </w:tcPr>
          <w:p w:rsidR="009F4481" w:rsidRPr="00807FB9" w:rsidRDefault="009F4481" w:rsidP="009F4481">
            <w:pPr>
              <w:pStyle w:val="TableTextCentered"/>
            </w:pPr>
            <w:r w:rsidRPr="00807FB9">
              <w:t>2,541</w:t>
            </w:r>
          </w:p>
        </w:tc>
        <w:tc>
          <w:tcPr>
            <w:tcW w:w="180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-41</w:t>
            </w:r>
          </w:p>
        </w:tc>
        <w:tc>
          <w:tcPr>
            <w:tcW w:w="1795"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-1.63</w:t>
            </w:r>
            <w:r>
              <w:rPr>
                <w:rFonts w:cstheme="majorHAnsi"/>
                <w:color w:val="000000"/>
              </w:rPr>
              <w:t>%</w:t>
            </w:r>
          </w:p>
        </w:tc>
      </w:tr>
      <w:tr w:rsidR="009F4481" w:rsidTr="00085539">
        <w:tc>
          <w:tcPr>
            <w:tcW w:w="1795" w:type="dxa"/>
            <w:tcBorders>
              <w:bottom w:val="single" w:sz="4" w:space="0" w:color="auto"/>
            </w:tcBorders>
          </w:tcPr>
          <w:p w:rsidR="009F4481" w:rsidRPr="00807FB9" w:rsidRDefault="009F4481" w:rsidP="009F4481">
            <w:pPr>
              <w:pStyle w:val="TableText"/>
              <w:jc w:val="center"/>
            </w:pPr>
            <w:r w:rsidRPr="00807FB9">
              <w:t>201</w:t>
            </w:r>
            <w:r>
              <w:t>7–1</w:t>
            </w:r>
            <w:r w:rsidRPr="00807FB9">
              <w:t>8</w:t>
            </w:r>
          </w:p>
        </w:tc>
        <w:tc>
          <w:tcPr>
            <w:tcW w:w="189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410</w:t>
            </w:r>
          </w:p>
        </w:tc>
        <w:tc>
          <w:tcPr>
            <w:tcW w:w="2070" w:type="dxa"/>
            <w:tcBorders>
              <w:bottom w:val="single" w:sz="4" w:space="0" w:color="auto"/>
            </w:tcBorders>
          </w:tcPr>
          <w:p w:rsidR="009F4481" w:rsidRPr="00807FB9" w:rsidRDefault="009F4481" w:rsidP="009F4481">
            <w:pPr>
              <w:pStyle w:val="TableTextCentered"/>
            </w:pPr>
            <w:r w:rsidRPr="00807FB9">
              <w:t>2,473</w:t>
            </w:r>
          </w:p>
        </w:tc>
        <w:tc>
          <w:tcPr>
            <w:tcW w:w="180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-63</w:t>
            </w:r>
          </w:p>
        </w:tc>
        <w:tc>
          <w:tcPr>
            <w:tcW w:w="1795"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-2.56</w:t>
            </w:r>
            <w:r>
              <w:rPr>
                <w:rFonts w:cstheme="majorHAnsi"/>
                <w:color w:val="000000"/>
              </w:rPr>
              <w:t>%</w:t>
            </w:r>
          </w:p>
        </w:tc>
      </w:tr>
      <w:tr w:rsidR="009F4481" w:rsidTr="00085539">
        <w:tc>
          <w:tcPr>
            <w:tcW w:w="1795" w:type="dxa"/>
            <w:tcBorders>
              <w:bottom w:val="single" w:sz="4" w:space="0" w:color="auto"/>
            </w:tcBorders>
          </w:tcPr>
          <w:p w:rsidR="009F4481" w:rsidRPr="00807FB9" w:rsidRDefault="009F4481" w:rsidP="009F4481">
            <w:pPr>
              <w:pStyle w:val="TableText"/>
              <w:jc w:val="center"/>
            </w:pPr>
            <w:r w:rsidRPr="00807FB9">
              <w:t>201</w:t>
            </w:r>
            <w:r>
              <w:t>8–1</w:t>
            </w:r>
            <w:r w:rsidRPr="00807FB9">
              <w:t>9</w:t>
            </w:r>
          </w:p>
        </w:tc>
        <w:tc>
          <w:tcPr>
            <w:tcW w:w="189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327</w:t>
            </w:r>
          </w:p>
        </w:tc>
        <w:tc>
          <w:tcPr>
            <w:tcW w:w="2070" w:type="dxa"/>
            <w:tcBorders>
              <w:bottom w:val="single" w:sz="4" w:space="0" w:color="auto"/>
            </w:tcBorders>
          </w:tcPr>
          <w:p w:rsidR="009F4481" w:rsidRPr="00807FB9" w:rsidRDefault="009F4481" w:rsidP="009F4481">
            <w:pPr>
              <w:pStyle w:val="TableTextCentered"/>
            </w:pPr>
            <w:r w:rsidRPr="00807FB9">
              <w:t>2,412</w:t>
            </w:r>
          </w:p>
        </w:tc>
        <w:tc>
          <w:tcPr>
            <w:tcW w:w="180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-85</w:t>
            </w:r>
          </w:p>
        </w:tc>
        <w:tc>
          <w:tcPr>
            <w:tcW w:w="1795"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-3.51</w:t>
            </w:r>
            <w:r>
              <w:rPr>
                <w:rFonts w:cstheme="majorHAnsi"/>
                <w:color w:val="000000"/>
              </w:rPr>
              <w:t>%</w:t>
            </w:r>
          </w:p>
        </w:tc>
      </w:tr>
      <w:tr w:rsidR="009F4481" w:rsidTr="00085539">
        <w:tc>
          <w:tcPr>
            <w:tcW w:w="1795" w:type="dxa"/>
            <w:tcBorders>
              <w:bottom w:val="single" w:sz="4" w:space="0" w:color="auto"/>
            </w:tcBorders>
          </w:tcPr>
          <w:p w:rsidR="009F4481" w:rsidRPr="00807FB9" w:rsidRDefault="009F4481" w:rsidP="009F4481">
            <w:pPr>
              <w:pStyle w:val="TableText"/>
              <w:jc w:val="center"/>
            </w:pPr>
            <w:r w:rsidRPr="00807FB9">
              <w:t>20</w:t>
            </w:r>
            <w:r>
              <w:t>19–</w:t>
            </w:r>
            <w:r w:rsidRPr="00807FB9">
              <w:t>20</w:t>
            </w:r>
          </w:p>
        </w:tc>
        <w:tc>
          <w:tcPr>
            <w:tcW w:w="189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252</w:t>
            </w:r>
          </w:p>
        </w:tc>
        <w:tc>
          <w:tcPr>
            <w:tcW w:w="2070" w:type="dxa"/>
            <w:tcBorders>
              <w:bottom w:val="single" w:sz="4" w:space="0" w:color="auto"/>
            </w:tcBorders>
          </w:tcPr>
          <w:p w:rsidR="009F4481" w:rsidRPr="00807FB9" w:rsidRDefault="009F4481" w:rsidP="009F4481">
            <w:pPr>
              <w:pStyle w:val="TableTextCentered"/>
            </w:pPr>
            <w:r w:rsidRPr="00807FB9">
              <w:t>2,361</w:t>
            </w:r>
          </w:p>
        </w:tc>
        <w:tc>
          <w:tcPr>
            <w:tcW w:w="180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-109</w:t>
            </w:r>
          </w:p>
        </w:tc>
        <w:tc>
          <w:tcPr>
            <w:tcW w:w="1795"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-4.6</w:t>
            </w:r>
            <w:r>
              <w:rPr>
                <w:rFonts w:cstheme="majorHAnsi"/>
                <w:color w:val="000000"/>
              </w:rPr>
              <w:t>0%</w:t>
            </w:r>
          </w:p>
        </w:tc>
      </w:tr>
      <w:tr w:rsidR="009F4481" w:rsidTr="00085539">
        <w:tc>
          <w:tcPr>
            <w:tcW w:w="1795" w:type="dxa"/>
            <w:tcBorders>
              <w:bottom w:val="single" w:sz="4" w:space="0" w:color="auto"/>
            </w:tcBorders>
          </w:tcPr>
          <w:p w:rsidR="009F4481" w:rsidRPr="00807FB9" w:rsidRDefault="009F4481" w:rsidP="009F4481">
            <w:pPr>
              <w:pStyle w:val="TableText"/>
              <w:jc w:val="center"/>
            </w:pPr>
            <w:r w:rsidRPr="00807FB9">
              <w:t>202</w:t>
            </w:r>
            <w:r>
              <w:t>0–2</w:t>
            </w:r>
            <w:r w:rsidRPr="00807FB9">
              <w:t>1</w:t>
            </w:r>
          </w:p>
        </w:tc>
        <w:tc>
          <w:tcPr>
            <w:tcW w:w="189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184</w:t>
            </w:r>
          </w:p>
        </w:tc>
        <w:tc>
          <w:tcPr>
            <w:tcW w:w="2070" w:type="dxa"/>
            <w:tcBorders>
              <w:bottom w:val="single" w:sz="4" w:space="0" w:color="auto"/>
            </w:tcBorders>
          </w:tcPr>
          <w:p w:rsidR="009F4481" w:rsidRPr="00807FB9" w:rsidRDefault="009F4481" w:rsidP="009F4481">
            <w:pPr>
              <w:pStyle w:val="TableTextCentered"/>
            </w:pPr>
            <w:r w:rsidRPr="00807FB9">
              <w:t>2,320</w:t>
            </w:r>
          </w:p>
        </w:tc>
        <w:tc>
          <w:tcPr>
            <w:tcW w:w="180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-136</w:t>
            </w:r>
          </w:p>
        </w:tc>
        <w:tc>
          <w:tcPr>
            <w:tcW w:w="1795"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-5.87</w:t>
            </w:r>
            <w:r>
              <w:rPr>
                <w:rFonts w:cstheme="majorHAnsi"/>
                <w:color w:val="000000"/>
              </w:rPr>
              <w:t>%</w:t>
            </w:r>
          </w:p>
        </w:tc>
      </w:tr>
      <w:tr w:rsidR="009F4481" w:rsidTr="00085539">
        <w:tc>
          <w:tcPr>
            <w:tcW w:w="1795" w:type="dxa"/>
            <w:tcBorders>
              <w:bottom w:val="single" w:sz="4" w:space="0" w:color="auto"/>
            </w:tcBorders>
          </w:tcPr>
          <w:p w:rsidR="009F4481" w:rsidRPr="00807FB9" w:rsidRDefault="009F4481" w:rsidP="009F4481">
            <w:pPr>
              <w:pStyle w:val="TableText"/>
              <w:jc w:val="center"/>
            </w:pPr>
            <w:r w:rsidRPr="00807FB9">
              <w:t>202</w:t>
            </w:r>
            <w:r>
              <w:t>1–2</w:t>
            </w:r>
            <w:r w:rsidRPr="00807FB9">
              <w:t>2</w:t>
            </w:r>
          </w:p>
        </w:tc>
        <w:tc>
          <w:tcPr>
            <w:tcW w:w="189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122</w:t>
            </w:r>
          </w:p>
        </w:tc>
        <w:tc>
          <w:tcPr>
            <w:tcW w:w="2070" w:type="dxa"/>
            <w:tcBorders>
              <w:bottom w:val="single" w:sz="4" w:space="0" w:color="auto"/>
            </w:tcBorders>
          </w:tcPr>
          <w:p w:rsidR="009F4481" w:rsidRPr="00807FB9" w:rsidRDefault="009F4481" w:rsidP="009F4481">
            <w:pPr>
              <w:pStyle w:val="TableTextCentered"/>
            </w:pPr>
            <w:r w:rsidRPr="00807FB9">
              <w:t>2,285</w:t>
            </w:r>
          </w:p>
        </w:tc>
        <w:tc>
          <w:tcPr>
            <w:tcW w:w="180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-163</w:t>
            </w:r>
          </w:p>
        </w:tc>
        <w:tc>
          <w:tcPr>
            <w:tcW w:w="1795"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-7.15</w:t>
            </w:r>
            <w:r>
              <w:rPr>
                <w:rFonts w:cstheme="majorHAnsi"/>
                <w:color w:val="000000"/>
              </w:rPr>
              <w:t>%</w:t>
            </w:r>
          </w:p>
        </w:tc>
      </w:tr>
      <w:tr w:rsidR="009F4481" w:rsidTr="00085539">
        <w:tc>
          <w:tcPr>
            <w:tcW w:w="1795" w:type="dxa"/>
            <w:tcBorders>
              <w:bottom w:val="single" w:sz="4" w:space="0" w:color="auto"/>
            </w:tcBorders>
          </w:tcPr>
          <w:p w:rsidR="009F4481" w:rsidRPr="00807FB9" w:rsidRDefault="009F4481" w:rsidP="009F4481">
            <w:pPr>
              <w:pStyle w:val="TableText"/>
              <w:jc w:val="center"/>
            </w:pPr>
            <w:r w:rsidRPr="00807FB9">
              <w:t>202</w:t>
            </w:r>
            <w:r>
              <w:t>2–2</w:t>
            </w:r>
            <w:r w:rsidRPr="00807FB9">
              <w:t>3</w:t>
            </w:r>
          </w:p>
        </w:tc>
        <w:tc>
          <w:tcPr>
            <w:tcW w:w="189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066</w:t>
            </w:r>
          </w:p>
        </w:tc>
        <w:tc>
          <w:tcPr>
            <w:tcW w:w="2070" w:type="dxa"/>
            <w:tcBorders>
              <w:bottom w:val="single" w:sz="4" w:space="0" w:color="auto"/>
            </w:tcBorders>
          </w:tcPr>
          <w:p w:rsidR="009F4481" w:rsidRPr="00807FB9" w:rsidRDefault="009F4481" w:rsidP="009F4481">
            <w:pPr>
              <w:pStyle w:val="TableTextCentered"/>
            </w:pPr>
            <w:r w:rsidRPr="00807FB9">
              <w:t>2,257</w:t>
            </w:r>
          </w:p>
        </w:tc>
        <w:tc>
          <w:tcPr>
            <w:tcW w:w="1800"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-191</w:t>
            </w:r>
          </w:p>
        </w:tc>
        <w:tc>
          <w:tcPr>
            <w:tcW w:w="1795" w:type="dxa"/>
            <w:tcBorders>
              <w:bottom w:val="single" w:sz="4" w:space="0" w:color="auto"/>
            </w:tcBorders>
            <w:vAlign w:val="bottom"/>
          </w:tcPr>
          <w:p w:rsidR="009F4481" w:rsidRPr="00A5516F" w:rsidRDefault="009F4481" w:rsidP="009F4481">
            <w:pPr>
              <w:pStyle w:val="TableTextCentered"/>
              <w:rPr>
                <w:rFonts w:cstheme="majorHAnsi"/>
              </w:rPr>
            </w:pPr>
            <w:r w:rsidRPr="00085539">
              <w:rPr>
                <w:rFonts w:cstheme="majorHAnsi"/>
                <w:color w:val="000000"/>
              </w:rPr>
              <w:t>-8.48</w:t>
            </w:r>
            <w:r>
              <w:rPr>
                <w:rFonts w:cstheme="majorHAnsi"/>
                <w:color w:val="000000"/>
              </w:rPr>
              <w:t>%</w:t>
            </w:r>
          </w:p>
        </w:tc>
      </w:tr>
      <w:tr w:rsidR="009F4481" w:rsidTr="00085539">
        <w:tc>
          <w:tcPr>
            <w:tcW w:w="1795" w:type="dxa"/>
          </w:tcPr>
          <w:p w:rsidR="009F4481" w:rsidRPr="00807FB9" w:rsidRDefault="009F4481" w:rsidP="009F4481">
            <w:pPr>
              <w:pStyle w:val="TableText"/>
              <w:jc w:val="center"/>
            </w:pPr>
            <w:r w:rsidRPr="00807FB9">
              <w:t>202</w:t>
            </w:r>
            <w:r>
              <w:t>3–2</w:t>
            </w:r>
            <w:r w:rsidRPr="00807FB9">
              <w:t>4</w:t>
            </w:r>
          </w:p>
        </w:tc>
        <w:tc>
          <w:tcPr>
            <w:tcW w:w="1890" w:type="dxa"/>
            <w:vAlign w:val="bottom"/>
          </w:tcPr>
          <w:p w:rsidR="009F4481" w:rsidRPr="00A5516F" w:rsidRDefault="009F4481" w:rsidP="009F4481">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015</w:t>
            </w:r>
          </w:p>
        </w:tc>
        <w:tc>
          <w:tcPr>
            <w:tcW w:w="2070" w:type="dxa"/>
          </w:tcPr>
          <w:p w:rsidR="009F4481" w:rsidRPr="00807FB9" w:rsidRDefault="009F4481" w:rsidP="009F4481">
            <w:pPr>
              <w:pStyle w:val="TableTextCentered"/>
            </w:pPr>
            <w:r w:rsidRPr="00807FB9">
              <w:t>2,233</w:t>
            </w:r>
          </w:p>
        </w:tc>
        <w:tc>
          <w:tcPr>
            <w:tcW w:w="1800" w:type="dxa"/>
            <w:vAlign w:val="bottom"/>
          </w:tcPr>
          <w:p w:rsidR="009F4481" w:rsidRPr="00A5516F" w:rsidRDefault="009F4481" w:rsidP="009F4481">
            <w:pPr>
              <w:pStyle w:val="TableTextCentered"/>
              <w:rPr>
                <w:rFonts w:cstheme="majorHAnsi"/>
              </w:rPr>
            </w:pPr>
            <w:r w:rsidRPr="00085539">
              <w:rPr>
                <w:rFonts w:cstheme="majorHAnsi"/>
                <w:color w:val="000000"/>
              </w:rPr>
              <w:t>-218</w:t>
            </w:r>
          </w:p>
        </w:tc>
        <w:tc>
          <w:tcPr>
            <w:tcW w:w="1795" w:type="dxa"/>
            <w:vAlign w:val="bottom"/>
          </w:tcPr>
          <w:p w:rsidR="009F4481" w:rsidRPr="00A5516F" w:rsidRDefault="009F4481" w:rsidP="009F4481">
            <w:pPr>
              <w:pStyle w:val="TableTextCentered"/>
              <w:rPr>
                <w:rFonts w:cstheme="majorHAnsi"/>
              </w:rPr>
            </w:pPr>
            <w:r w:rsidRPr="00085539">
              <w:rPr>
                <w:rFonts w:cstheme="majorHAnsi"/>
                <w:color w:val="000000"/>
              </w:rPr>
              <w:t>-9.78</w:t>
            </w:r>
            <w:r>
              <w:rPr>
                <w:rFonts w:cstheme="majorHAnsi"/>
                <w:color w:val="000000"/>
              </w:rPr>
              <w:t>%</w:t>
            </w:r>
          </w:p>
        </w:tc>
      </w:tr>
    </w:tbl>
    <w:p w:rsidR="00C157EC" w:rsidRDefault="009D575C" w:rsidP="0044224B">
      <w:pPr>
        <w:pStyle w:val="ExhibitTitle"/>
      </w:pPr>
      <w:proofErr w:type="gramStart"/>
      <w:r>
        <w:t>Figure 2</w:t>
      </w:r>
      <w:r w:rsidR="00DB10EA">
        <w:t>2</w:t>
      </w:r>
      <w:r w:rsidR="00C157EC">
        <w:t>.</w:t>
      </w:r>
      <w:proofErr w:type="gramEnd"/>
      <w:r w:rsidR="00C157EC">
        <w:t xml:space="preserve"> Historical and Projected Statewide Supply and Demand for Teachers </w:t>
      </w:r>
      <w:r w:rsidR="00617CD2">
        <w:t xml:space="preserve">Under 26 Years of Age </w:t>
      </w:r>
      <w:r w:rsidR="00C157EC">
        <w:t>in Terms of FTEs</w:t>
      </w:r>
      <w:r>
        <w:t>,</w:t>
      </w:r>
      <w:r w:rsidR="00C157EC">
        <w:t xml:space="preserve"> 2008</w:t>
      </w:r>
      <w:r>
        <w:t>–</w:t>
      </w:r>
      <w:r w:rsidR="00C157EC">
        <w:t>09</w:t>
      </w:r>
      <w:r w:rsidR="0092042A">
        <w:t xml:space="preserve"> Through </w:t>
      </w:r>
      <w:r w:rsidR="00C157EC">
        <w:t>2023</w:t>
      </w:r>
      <w:r>
        <w:t>–</w:t>
      </w:r>
      <w:r w:rsidR="00C157EC">
        <w:t>24</w:t>
      </w:r>
    </w:p>
    <w:p w:rsidR="00C157EC" w:rsidRDefault="007A056A" w:rsidP="0044224B">
      <w:pPr>
        <w:pStyle w:val="FigurePlacement"/>
      </w:pPr>
      <w:r w:rsidRPr="007A056A">
        <w:t xml:space="preserve"> </w:t>
      </w:r>
      <w:r w:rsidRPr="007A056A">
        <w:rPr>
          <w:noProof/>
          <w:lang w:eastAsia="zh-CN" w:bidi="km-KH"/>
        </w:rPr>
        <w:drawing>
          <wp:inline distT="0" distB="0" distL="0" distR="0">
            <wp:extent cx="5619750" cy="3656965"/>
            <wp:effectExtent l="19050" t="0" r="0" b="0"/>
            <wp:docPr id="19" name="Picture 19" descr="In general, projected supply is expected to exceed demand (suggesting a surplus) in most of the projected 10 years for all but two age groups (i.e., under 26 and ages 57–64). Moreover, demand is expected to exceed supply (shortage) in all 10 projected years for only the under 26 group. The results for the under 26 group can be seen in Table 21 and Figure 22, and additional tables and figures displaying these findings can be found in Appendix B.&#10;&#10;Figure 22. Historical and Projected Statewide Supply and Demand for Teachers Under 26 Years of Age in Terms of FTEs, 2008–09 Through 2023–24&#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90" r="2394" b="23251"/>
                    <a:stretch/>
                  </pic:blipFill>
                  <pic:spPr bwMode="auto">
                    <a:xfrm>
                      <a:off x="0" y="0"/>
                      <a:ext cx="5630865" cy="366419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44224B">
      <w:pPr>
        <w:pStyle w:val="BodyText"/>
      </w:pPr>
      <w:r>
        <w:t xml:space="preserve">However, it should be noted that, given the uncertainty surrounding the factors contributing to the supply and demand by age, and the possibility that those of retirement age may begin to retire over the coming years, an in-depth analysis of shortages and surpluses by age based on these projections may be inappropriate. </w:t>
      </w:r>
    </w:p>
    <w:p w:rsidR="00C157EC" w:rsidRDefault="00C157EC" w:rsidP="0044224B">
      <w:pPr>
        <w:pStyle w:val="Heading4"/>
      </w:pPr>
      <w:bookmarkStart w:id="94" w:name="_Toc435784259"/>
      <w:r>
        <w:t>Validity of Results by Age</w:t>
      </w:r>
      <w:bookmarkEnd w:id="94"/>
    </w:p>
    <w:p w:rsidR="00C157EC" w:rsidRPr="004056FD" w:rsidRDefault="00C157EC" w:rsidP="0044224B">
      <w:pPr>
        <w:pStyle w:val="Heading5"/>
      </w:pPr>
      <w:r>
        <w:t>Demand Projections</w:t>
      </w:r>
    </w:p>
    <w:p w:rsidR="00C157EC" w:rsidRDefault="00C157EC" w:rsidP="0044224B">
      <w:pPr>
        <w:pStyle w:val="Heading6"/>
      </w:pPr>
      <w:r>
        <w:t>Average Percent Errors (APEs) and Mean Absolute Percent Errors (MAPEs)</w:t>
      </w:r>
    </w:p>
    <w:p w:rsidR="00C157EC" w:rsidRDefault="00C157EC" w:rsidP="0044224B">
      <w:pPr>
        <w:pStyle w:val="BodyText"/>
      </w:pPr>
      <w:r>
        <w:t>For the analysis of results validity of the proportions of teachers in different age groups, the APEs and MAPEs for the models by age group</w:t>
      </w:r>
      <w:r w:rsidR="00F9470D">
        <w:t xml:space="preserve"> were examined</w:t>
      </w:r>
      <w:r>
        <w:t xml:space="preserve">. The results indicate </w:t>
      </w:r>
      <w:r w:rsidR="00F9470D">
        <w:t xml:space="preserve">a </w:t>
      </w:r>
      <w:r>
        <w:t>good fit, with the models for the middle</w:t>
      </w:r>
      <w:r w:rsidR="00F9470D">
        <w:t>-</w:t>
      </w:r>
      <w:r>
        <w:t xml:space="preserve">age groups having </w:t>
      </w:r>
      <w:r w:rsidR="00F9470D">
        <w:t xml:space="preserve">a </w:t>
      </w:r>
      <w:r>
        <w:t xml:space="preserve">better fit than the lowest and highest age groups, which have substantially fewer numbers of teachers within those categories. The three categories showing the largest bias, as indicated by APEs are the </w:t>
      </w:r>
      <w:r w:rsidR="00AE14C6">
        <w:t>under 26</w:t>
      </w:r>
      <w:r>
        <w:t>, 26</w:t>
      </w:r>
      <w:r w:rsidR="00815597">
        <w:t>–</w:t>
      </w:r>
      <w:r>
        <w:t xml:space="preserve">32, and </w:t>
      </w:r>
      <w:r w:rsidR="00AE14C6">
        <w:t>over 64</w:t>
      </w:r>
      <w:r>
        <w:t xml:space="preserve"> groups, which each have APEs near -2.5</w:t>
      </w:r>
      <w:r w:rsidR="00815597">
        <w:t>,</w:t>
      </w:r>
      <w:r>
        <w:t xml:space="preserve"> indicating downward bias in the estimates. This is particularly relevant for the </w:t>
      </w:r>
      <w:r w:rsidR="00AE14C6">
        <w:t>over 64</w:t>
      </w:r>
      <w:r>
        <w:t xml:space="preserve"> category</w:t>
      </w:r>
      <w:r w:rsidR="00815597">
        <w:t>,</w:t>
      </w:r>
      <w:r>
        <w:t xml:space="preserve"> for which the dramatic increase may be understated. The demand model with the largest MAPE is the </w:t>
      </w:r>
      <w:r w:rsidR="00AE14C6">
        <w:t>under 26</w:t>
      </w:r>
      <w:r>
        <w:t xml:space="preserve"> model</w:t>
      </w:r>
      <w:r w:rsidR="00815597">
        <w:t>,</w:t>
      </w:r>
      <w:r>
        <w:t xml:space="preserve"> with a MAPE of 5.0 percent, which is still well below the cutoff for what </w:t>
      </w:r>
      <w:r w:rsidR="00815597">
        <w:t xml:space="preserve">the team </w:t>
      </w:r>
      <w:r>
        <w:t>consider</w:t>
      </w:r>
      <w:r w:rsidR="00815597">
        <w:t>s a</w:t>
      </w:r>
      <w:r>
        <w:t xml:space="preserve"> good fit of 7.5 percent.</w:t>
      </w:r>
    </w:p>
    <w:p w:rsidR="00C157EC" w:rsidRDefault="00C157EC" w:rsidP="0044224B">
      <w:pPr>
        <w:pStyle w:val="Heading6"/>
      </w:pPr>
      <w:r>
        <w:t>Confidence Intervals</w:t>
      </w:r>
    </w:p>
    <w:p w:rsidR="00C157EC" w:rsidRDefault="00831890" w:rsidP="0044224B">
      <w:pPr>
        <w:pStyle w:val="BodyText"/>
      </w:pPr>
      <w:r>
        <w:t>T</w:t>
      </w:r>
      <w:r w:rsidR="00C157EC">
        <w:t>he 95 percent confidence intervals surrounding the district average predicted point estimates</w:t>
      </w:r>
      <w:r>
        <w:t xml:space="preserve"> were examined</w:t>
      </w:r>
      <w:r w:rsidR="00C157EC">
        <w:t xml:space="preserve">, and this analysis indicates substantial uncertainty in predictions as time goes on, particularly for the youngest and oldest age groups (i.e., </w:t>
      </w:r>
      <w:r w:rsidR="00AE14C6">
        <w:t>under 26</w:t>
      </w:r>
      <w:r w:rsidR="00C157EC">
        <w:t xml:space="preserve"> and </w:t>
      </w:r>
      <w:r w:rsidR="00AE14C6">
        <w:t>over 64</w:t>
      </w:r>
      <w:r w:rsidR="00C157EC">
        <w:t xml:space="preserve"> categories). Additionally, for six of seven categories</w:t>
      </w:r>
      <w:r>
        <w:t>,</w:t>
      </w:r>
      <w:r w:rsidR="00C157EC">
        <w:t xml:space="preserve"> the confidence intervals grow by more than three times from 2014</w:t>
      </w:r>
      <w:r>
        <w:t>–</w:t>
      </w:r>
      <w:r w:rsidR="00C157EC">
        <w:t xml:space="preserve">15 to 2023–24, with the largest increase in the </w:t>
      </w:r>
      <w:r w:rsidR="00AE14C6">
        <w:t>over 64</w:t>
      </w:r>
      <w:r w:rsidR="00C157EC">
        <w:t xml:space="preserve"> category </w:t>
      </w:r>
    </w:p>
    <w:p w:rsidR="00C157EC" w:rsidRDefault="00C157EC" w:rsidP="0044224B">
      <w:pPr>
        <w:pStyle w:val="Heading5"/>
      </w:pPr>
      <w:r>
        <w:t>Supply Projections</w:t>
      </w:r>
    </w:p>
    <w:p w:rsidR="00C157EC" w:rsidRDefault="00C157EC" w:rsidP="0044224B">
      <w:pPr>
        <w:pStyle w:val="Heading6"/>
      </w:pPr>
      <w:r>
        <w:t>Average Percent Errors (APEs) and Mean Absolute Percent Errors (MAPEs)</w:t>
      </w:r>
    </w:p>
    <w:p w:rsidR="00C157EC" w:rsidRDefault="00C157EC" w:rsidP="0044224B">
      <w:pPr>
        <w:pStyle w:val="BodyText"/>
      </w:pPr>
      <w:r>
        <w:t>The APEs and MAPEs for supply are quit</w:t>
      </w:r>
      <w:r w:rsidR="00E011CA">
        <w:t xml:space="preserve">e similar to those for demand. </w:t>
      </w:r>
      <w:r>
        <w:t xml:space="preserve">As with demand, the age category with the largest MAPE is the </w:t>
      </w:r>
      <w:r w:rsidR="00AE14C6">
        <w:t>under 26</w:t>
      </w:r>
      <w:r>
        <w:t xml:space="preserve"> c</w:t>
      </w:r>
      <w:r w:rsidR="006A379C">
        <w:t>ategory, which has a MAPE of 5.8</w:t>
      </w:r>
      <w:r w:rsidR="00857555">
        <w:t>8</w:t>
      </w:r>
      <w:r>
        <w:t xml:space="preserve"> percent for the supply model. This MAPE still falls below </w:t>
      </w:r>
      <w:r w:rsidR="00831890">
        <w:t xml:space="preserve">the team’s </w:t>
      </w:r>
      <w:r>
        <w:t xml:space="preserve">threshold for </w:t>
      </w:r>
      <w:r w:rsidR="00831890">
        <w:t xml:space="preserve">a </w:t>
      </w:r>
      <w:r>
        <w:t xml:space="preserve">good fit of 7.5 percent. </w:t>
      </w:r>
    </w:p>
    <w:p w:rsidR="00C157EC" w:rsidRPr="004056FD" w:rsidRDefault="00C157EC" w:rsidP="0044224B">
      <w:pPr>
        <w:pStyle w:val="Heading6"/>
      </w:pPr>
      <w:r>
        <w:t>Confidence Intervals</w:t>
      </w:r>
    </w:p>
    <w:p w:rsidR="00C157EC" w:rsidRDefault="00C157EC" w:rsidP="0044224B">
      <w:pPr>
        <w:pStyle w:val="BodyText"/>
      </w:pPr>
      <w:r>
        <w:t>As with demand by age, the analysis of confidence intervals of supply by age category indicates that confidence intervals are growing over time, and this growth is largest for the 41</w:t>
      </w:r>
      <w:r w:rsidR="003C7C1B">
        <w:t>–</w:t>
      </w:r>
      <w:r>
        <w:t xml:space="preserve">48 </w:t>
      </w:r>
      <w:r w:rsidR="003C7C1B">
        <w:t xml:space="preserve">age </w:t>
      </w:r>
      <w:r>
        <w:t>group</w:t>
      </w:r>
      <w:r w:rsidR="003C7C1B">
        <w:t>,</w:t>
      </w:r>
      <w:r>
        <w:t xml:space="preserve"> where the intervals more than triples over the projected years. However, when the relative sizes of the intervals are considered </w:t>
      </w:r>
      <w:r w:rsidR="003C7C1B">
        <w:t>it is found that</w:t>
      </w:r>
      <w:r>
        <w:t xml:space="preserve"> they are largest in the final projected year for the </w:t>
      </w:r>
      <w:r w:rsidR="00AE14C6">
        <w:t>under 26</w:t>
      </w:r>
      <w:r>
        <w:t xml:space="preserve"> group, and the intervals for the </w:t>
      </w:r>
      <w:r w:rsidR="00AE14C6">
        <w:t xml:space="preserve">over 64 </w:t>
      </w:r>
      <w:r>
        <w:t>group also are quite large.</w:t>
      </w:r>
      <w:r>
        <w:rPr>
          <w:rStyle w:val="FootnoteReference"/>
        </w:rPr>
        <w:footnoteReference w:id="27"/>
      </w:r>
    </w:p>
    <w:p w:rsidR="00C157EC" w:rsidRDefault="00C157EC" w:rsidP="00C157EC">
      <w:pPr>
        <w:pStyle w:val="Heading3"/>
      </w:pPr>
      <w:bookmarkStart w:id="95" w:name="_Toc434832155"/>
      <w:bookmarkStart w:id="96" w:name="_Toc435784260"/>
      <w:bookmarkStart w:id="97" w:name="_Toc436724295"/>
      <w:bookmarkStart w:id="98" w:name="_Toc437284994"/>
      <w:bookmarkStart w:id="99" w:name="_Toc434832158"/>
      <w:r>
        <w:t>Research Question</w:t>
      </w:r>
      <w:r w:rsidRPr="00336754">
        <w:t xml:space="preserve"> 5: Detailed </w:t>
      </w:r>
      <w:r>
        <w:t xml:space="preserve">Supply and Demand </w:t>
      </w:r>
      <w:r w:rsidRPr="00336754">
        <w:t>Projections by Region</w:t>
      </w:r>
      <w:bookmarkEnd w:id="95"/>
      <w:bookmarkEnd w:id="96"/>
      <w:bookmarkEnd w:id="97"/>
      <w:bookmarkEnd w:id="98"/>
    </w:p>
    <w:p w:rsidR="00C157EC" w:rsidRPr="006F181C" w:rsidRDefault="00C157EC" w:rsidP="006F181C">
      <w:pPr>
        <w:pStyle w:val="BodyText"/>
        <w:rPr>
          <w:i/>
        </w:rPr>
      </w:pPr>
      <w:r w:rsidRPr="006F181C">
        <w:rPr>
          <w:i/>
        </w:rPr>
        <w:t>What are the supply and demand projections of teachers in Massachusetts for the next 10 years by state region and locale?</w:t>
      </w:r>
    </w:p>
    <w:p w:rsidR="00C157EC" w:rsidRDefault="00C157EC" w:rsidP="006F181C">
      <w:pPr>
        <w:pStyle w:val="BodyText"/>
      </w:pPr>
      <w:r>
        <w:t xml:space="preserve">To address </w:t>
      </w:r>
      <w:r w:rsidR="00F37326">
        <w:t>R</w:t>
      </w:r>
      <w:r>
        <w:t xml:space="preserve">esearch </w:t>
      </w:r>
      <w:r w:rsidR="00F37326">
        <w:t>Q</w:t>
      </w:r>
      <w:r>
        <w:t>uestion 5</w:t>
      </w:r>
      <w:r w:rsidR="00F37326">
        <w:t>, the AIR research team</w:t>
      </w:r>
      <w:r>
        <w:t xml:space="preserve"> considered how the trends in supply and demand found in </w:t>
      </w:r>
      <w:r w:rsidR="00F37326">
        <w:t>R</w:t>
      </w:r>
      <w:r>
        <w:t xml:space="preserve">esearch </w:t>
      </w:r>
      <w:r w:rsidR="00F37326">
        <w:t>Q</w:t>
      </w:r>
      <w:r>
        <w:t>uestion</w:t>
      </w:r>
      <w:r w:rsidR="00F37326">
        <w:t>s</w:t>
      </w:r>
      <w:r>
        <w:t xml:space="preserve"> 1 and 2 vary by DSAC region and NCES locale, as well as in the geographic area surrounding key </w:t>
      </w:r>
      <w:r w:rsidR="003F4F9F">
        <w:t xml:space="preserve">SOs </w:t>
      </w:r>
      <w:r>
        <w:t>and by major metropolitan area.</w:t>
      </w:r>
    </w:p>
    <w:p w:rsidR="00C157EC" w:rsidRDefault="00F37326" w:rsidP="006F181C">
      <w:pPr>
        <w:pStyle w:val="BodyText"/>
      </w:pPr>
      <w:r>
        <w:t xml:space="preserve">The team </w:t>
      </w:r>
      <w:r w:rsidR="00C157EC">
        <w:t>first aggregated demand and supply for teachers for each of these groupings of districts. The results of this analysis are presented in detail in Appendix B. This section reports on key findings from a comparison of these aggregated supply and demand estimates for each district grouping.</w:t>
      </w:r>
      <w:r w:rsidR="00C157EC">
        <w:rPr>
          <w:rStyle w:val="FootnoteReference"/>
        </w:rPr>
        <w:footnoteReference w:id="28"/>
      </w:r>
    </w:p>
    <w:p w:rsidR="00C157EC" w:rsidRDefault="00C157EC" w:rsidP="006F181C">
      <w:pPr>
        <w:pStyle w:val="Heading4"/>
      </w:pPr>
      <w:bookmarkStart w:id="100" w:name="_Toc435784263"/>
      <w:r>
        <w:t>Comparing Supply and Demand Projections</w:t>
      </w:r>
      <w:bookmarkEnd w:id="100"/>
    </w:p>
    <w:p w:rsidR="00C157EC" w:rsidRDefault="00C157EC" w:rsidP="006F181C">
      <w:pPr>
        <w:pStyle w:val="BodyText"/>
      </w:pPr>
      <w:r>
        <w:t xml:space="preserve">A comparison of the supply and demand projections reported for </w:t>
      </w:r>
      <w:r w:rsidR="005D77FF">
        <w:t>R</w:t>
      </w:r>
      <w:r>
        <w:t xml:space="preserve">esearch </w:t>
      </w:r>
      <w:r w:rsidR="005D77FF">
        <w:t>Q</w:t>
      </w:r>
      <w:r>
        <w:t xml:space="preserve">uestion 5 shows there to be relatively few expected shortages. However, while there are few instances of expected teacher shortages, namely in the Commissioner’s Districts and in </w:t>
      </w:r>
      <w:r w:rsidR="005D77FF">
        <w:t>c</w:t>
      </w:r>
      <w:r>
        <w:t>ity locale districts, they are in areas that traditionally serve high proportions of disadvantaged and underperforming student populations, making these findings particularly concerning for policymakers.</w:t>
      </w:r>
    </w:p>
    <w:p w:rsidR="00C157EC" w:rsidRDefault="0042543F" w:rsidP="006F181C">
      <w:pPr>
        <w:pStyle w:val="BodyText"/>
      </w:pPr>
      <w:r>
        <w:t>Table 2</w:t>
      </w:r>
      <w:r w:rsidR="00DB10EA">
        <w:t>2</w:t>
      </w:r>
      <w:r w:rsidR="00C157EC">
        <w:t xml:space="preserve"> reconciles the supply and demand projections by region for the period 2014</w:t>
      </w:r>
      <w:r>
        <w:t>–</w:t>
      </w:r>
      <w:r w:rsidR="00C157EC">
        <w:t>15 to 2023</w:t>
      </w:r>
      <w:r>
        <w:t>–</w:t>
      </w:r>
      <w:r w:rsidR="00C157EC">
        <w:t xml:space="preserve">24. Here </w:t>
      </w:r>
      <w:r>
        <w:t>it is seen</w:t>
      </w:r>
      <w:r w:rsidR="00C157EC">
        <w:t xml:space="preserve"> that only the Commissioner’s Districts are expected to maintain a persistent and increasing shortage of teachers over time. In contrast, the Greater Boston area shows an initial shortage equal to that of the Commissioner’s Districts</w:t>
      </w:r>
      <w:r>
        <w:t>,</w:t>
      </w:r>
      <w:r w:rsidR="00C157EC">
        <w:t xml:space="preserve"> which is expected to decrease over time, while all other areas are expected to experience consistently increasing surpluses.</w:t>
      </w:r>
    </w:p>
    <w:p w:rsidR="00C157EC" w:rsidRDefault="0042543F" w:rsidP="006F181C">
      <w:pPr>
        <w:pStyle w:val="BodyText"/>
      </w:pPr>
      <w:r>
        <w:t>Figure 2</w:t>
      </w:r>
      <w:r w:rsidR="00DB10EA">
        <w:t>3</w:t>
      </w:r>
      <w:r w:rsidR="00C157EC">
        <w:t xml:space="preserve"> shows the difference in predicted supply and demand over time for the Commissioner’s Districts. Because this area represent</w:t>
      </w:r>
      <w:r>
        <w:t>s</w:t>
      </w:r>
      <w:r w:rsidR="00C157EC">
        <w:t xml:space="preserve"> the largest districts in the state and tend</w:t>
      </w:r>
      <w:r>
        <w:t>s</w:t>
      </w:r>
      <w:r w:rsidR="00C157EC">
        <w:t xml:space="preserve"> to serve more disadvantaged student populations, this finding may be particularly concerning to policymakers as the teacher shortages could lead to higher student</w:t>
      </w:r>
      <w:r>
        <w:t>–</w:t>
      </w:r>
      <w:r w:rsidR="00C157EC">
        <w:t>teacher ratios</w:t>
      </w:r>
      <w:r>
        <w:t xml:space="preserve">, </w:t>
      </w:r>
      <w:r w:rsidR="00C157EC">
        <w:t>less qualified teachers for the high-need districts in this area</w:t>
      </w:r>
      <w:r>
        <w:t>, or both</w:t>
      </w:r>
      <w:r w:rsidR="00C157EC">
        <w:t>.</w:t>
      </w:r>
    </w:p>
    <w:p w:rsidR="00C157EC" w:rsidRPr="00EB77C1" w:rsidRDefault="00322D28" w:rsidP="006F181C">
      <w:pPr>
        <w:pStyle w:val="ExhibitTitle"/>
        <w:pageBreakBefore/>
      </w:pPr>
      <w:proofErr w:type="gramStart"/>
      <w:r>
        <w:t>Table</w:t>
      </w:r>
      <w:r w:rsidR="0042543F">
        <w:t xml:space="preserve"> 2</w:t>
      </w:r>
      <w:r w:rsidR="00DB10EA">
        <w:t>2</w:t>
      </w:r>
      <w:r w:rsidR="00C157EC" w:rsidRPr="006D0A7C">
        <w:t>.</w:t>
      </w:r>
      <w:proofErr w:type="gramEnd"/>
      <w:r w:rsidR="00C157EC" w:rsidRPr="006D0A7C">
        <w:t xml:space="preserve"> </w:t>
      </w:r>
      <w:r w:rsidR="00090E9F">
        <w:t xml:space="preserve">Relative </w:t>
      </w:r>
      <w:r w:rsidR="00C157EC">
        <w:t xml:space="preserve">Difference </w:t>
      </w:r>
      <w:proofErr w:type="gramStart"/>
      <w:r w:rsidR="00C157EC">
        <w:t>Between</w:t>
      </w:r>
      <w:proofErr w:type="gramEnd"/>
      <w:r w:rsidR="00C157EC">
        <w:t xml:space="preserve"> Supply and Demand by </w:t>
      </w:r>
      <w:r w:rsidR="003C50C4">
        <w:t xml:space="preserve">DSAC </w:t>
      </w:r>
      <w:r w:rsidR="00C157EC">
        <w:t>Region</w:t>
      </w:r>
      <w:r w:rsidR="00E80E14">
        <w:t>, 2014–15</w:t>
      </w:r>
      <w:r w:rsidR="0092042A">
        <w:t xml:space="preserve"> Through </w:t>
      </w:r>
      <w:r w:rsidR="00E80E14">
        <w:t>2023–24</w:t>
      </w:r>
    </w:p>
    <w:tbl>
      <w:tblPr>
        <w:tblStyle w:val="AIRBlueTable"/>
        <w:tblW w:w="50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196"/>
        <w:gridCol w:w="1465"/>
        <w:gridCol w:w="1046"/>
        <w:gridCol w:w="1752"/>
        <w:gridCol w:w="966"/>
        <w:gridCol w:w="1147"/>
        <w:gridCol w:w="951"/>
        <w:gridCol w:w="1178"/>
      </w:tblGrid>
      <w:tr w:rsidR="006F181C" w:rsidTr="00434994">
        <w:trPr>
          <w:cnfStyle w:val="100000000000"/>
          <w:trHeight w:val="1025"/>
        </w:trPr>
        <w:tc>
          <w:tcPr>
            <w:tcW w:w="616" w:type="pct"/>
            <w:tcBorders>
              <w:bottom w:val="single" w:sz="4" w:space="0" w:color="auto"/>
            </w:tcBorders>
          </w:tcPr>
          <w:p w:rsidR="00C157EC" w:rsidRPr="00511F2C" w:rsidRDefault="00C157EC" w:rsidP="003C50C4">
            <w:pPr>
              <w:pStyle w:val="TableText"/>
              <w:jc w:val="center"/>
              <w:rPr>
                <w:sz w:val="19"/>
                <w:szCs w:val="19"/>
              </w:rPr>
            </w:pPr>
            <w:r w:rsidRPr="00511F2C">
              <w:rPr>
                <w:sz w:val="19"/>
                <w:szCs w:val="19"/>
              </w:rPr>
              <w:t>Year</w:t>
            </w:r>
          </w:p>
        </w:tc>
        <w:tc>
          <w:tcPr>
            <w:tcW w:w="755" w:type="pct"/>
            <w:tcBorders>
              <w:bottom w:val="single" w:sz="4" w:space="0" w:color="auto"/>
            </w:tcBorders>
          </w:tcPr>
          <w:p w:rsidR="00C157EC" w:rsidRPr="00511F2C" w:rsidRDefault="00C157EC" w:rsidP="00C00FE5">
            <w:pPr>
              <w:pStyle w:val="TableTextCentered"/>
              <w:rPr>
                <w:sz w:val="19"/>
                <w:szCs w:val="19"/>
              </w:rPr>
            </w:pPr>
            <w:r w:rsidRPr="00511F2C">
              <w:rPr>
                <w:sz w:val="19"/>
                <w:szCs w:val="19"/>
              </w:rPr>
              <w:t>Berkshires +</w:t>
            </w:r>
          </w:p>
        </w:tc>
        <w:tc>
          <w:tcPr>
            <w:tcW w:w="539" w:type="pct"/>
            <w:tcBorders>
              <w:bottom w:val="single" w:sz="4" w:space="0" w:color="auto"/>
            </w:tcBorders>
          </w:tcPr>
          <w:p w:rsidR="00C157EC" w:rsidRPr="00511F2C" w:rsidRDefault="00C157EC" w:rsidP="006F181C">
            <w:pPr>
              <w:pStyle w:val="TableTextCentered"/>
              <w:rPr>
                <w:sz w:val="19"/>
                <w:szCs w:val="19"/>
              </w:rPr>
            </w:pPr>
            <w:r w:rsidRPr="00511F2C">
              <w:rPr>
                <w:sz w:val="19"/>
                <w:szCs w:val="19"/>
              </w:rPr>
              <w:t>Central</w:t>
            </w:r>
          </w:p>
        </w:tc>
        <w:tc>
          <w:tcPr>
            <w:tcW w:w="903" w:type="pct"/>
            <w:tcBorders>
              <w:bottom w:val="single" w:sz="4" w:space="0" w:color="auto"/>
            </w:tcBorders>
          </w:tcPr>
          <w:p w:rsidR="00C157EC" w:rsidRPr="00511F2C" w:rsidRDefault="00C157EC" w:rsidP="006F181C">
            <w:pPr>
              <w:pStyle w:val="TableTextCentered"/>
              <w:rPr>
                <w:sz w:val="19"/>
                <w:szCs w:val="19"/>
              </w:rPr>
            </w:pPr>
            <w:r w:rsidRPr="00511F2C">
              <w:rPr>
                <w:sz w:val="19"/>
                <w:szCs w:val="19"/>
              </w:rPr>
              <w:t>Commissioner’s Districts</w:t>
            </w:r>
          </w:p>
        </w:tc>
        <w:tc>
          <w:tcPr>
            <w:tcW w:w="498" w:type="pct"/>
            <w:tcBorders>
              <w:bottom w:val="single" w:sz="4" w:space="0" w:color="auto"/>
            </w:tcBorders>
          </w:tcPr>
          <w:p w:rsidR="00C157EC" w:rsidRPr="00511F2C" w:rsidRDefault="00C157EC" w:rsidP="006F181C">
            <w:pPr>
              <w:pStyle w:val="TableTextCentered"/>
              <w:rPr>
                <w:sz w:val="19"/>
                <w:szCs w:val="19"/>
              </w:rPr>
            </w:pPr>
            <w:r w:rsidRPr="00511F2C">
              <w:rPr>
                <w:sz w:val="19"/>
                <w:szCs w:val="19"/>
              </w:rPr>
              <w:t>Greater Boston</w:t>
            </w:r>
          </w:p>
        </w:tc>
        <w:tc>
          <w:tcPr>
            <w:tcW w:w="591" w:type="pct"/>
            <w:tcBorders>
              <w:bottom w:val="single" w:sz="4" w:space="0" w:color="auto"/>
            </w:tcBorders>
          </w:tcPr>
          <w:p w:rsidR="00C157EC" w:rsidRPr="00511F2C" w:rsidRDefault="00C157EC" w:rsidP="006F181C">
            <w:pPr>
              <w:pStyle w:val="TableTextCentered"/>
              <w:rPr>
                <w:sz w:val="19"/>
                <w:szCs w:val="19"/>
              </w:rPr>
            </w:pPr>
            <w:r w:rsidRPr="00511F2C">
              <w:rPr>
                <w:sz w:val="19"/>
                <w:szCs w:val="19"/>
              </w:rPr>
              <w:t>Northeast</w:t>
            </w:r>
          </w:p>
        </w:tc>
        <w:tc>
          <w:tcPr>
            <w:tcW w:w="490" w:type="pct"/>
            <w:tcBorders>
              <w:bottom w:val="single" w:sz="4" w:space="0" w:color="auto"/>
            </w:tcBorders>
          </w:tcPr>
          <w:p w:rsidR="00C157EC" w:rsidRPr="00511F2C" w:rsidRDefault="00C157EC" w:rsidP="006F181C">
            <w:pPr>
              <w:pStyle w:val="TableTextCentered"/>
              <w:rPr>
                <w:sz w:val="19"/>
                <w:szCs w:val="19"/>
              </w:rPr>
            </w:pPr>
            <w:r w:rsidRPr="00511F2C">
              <w:rPr>
                <w:sz w:val="19"/>
                <w:szCs w:val="19"/>
              </w:rPr>
              <w:t>Pioneer Valley</w:t>
            </w:r>
          </w:p>
        </w:tc>
        <w:tc>
          <w:tcPr>
            <w:tcW w:w="607" w:type="pct"/>
            <w:tcBorders>
              <w:bottom w:val="single" w:sz="4" w:space="0" w:color="auto"/>
            </w:tcBorders>
          </w:tcPr>
          <w:p w:rsidR="00C157EC" w:rsidRPr="00511F2C" w:rsidRDefault="00C157EC" w:rsidP="006F181C">
            <w:pPr>
              <w:pStyle w:val="TableTextCentered"/>
              <w:rPr>
                <w:sz w:val="19"/>
                <w:szCs w:val="19"/>
              </w:rPr>
            </w:pPr>
            <w:r w:rsidRPr="00511F2C">
              <w:rPr>
                <w:sz w:val="19"/>
                <w:szCs w:val="19"/>
              </w:rPr>
              <w:t>Southeast</w:t>
            </w:r>
          </w:p>
        </w:tc>
      </w:tr>
      <w:tr w:rsidR="004573AC" w:rsidTr="00434994">
        <w:tc>
          <w:tcPr>
            <w:tcW w:w="616" w:type="pct"/>
            <w:tcBorders>
              <w:bottom w:val="single" w:sz="4" w:space="0" w:color="auto"/>
            </w:tcBorders>
          </w:tcPr>
          <w:p w:rsidR="004573AC" w:rsidRPr="00807FB9" w:rsidRDefault="004573AC" w:rsidP="003C50C4">
            <w:pPr>
              <w:pStyle w:val="TableText"/>
              <w:jc w:val="center"/>
            </w:pPr>
            <w:r w:rsidRPr="00807FB9">
              <w:t>201</w:t>
            </w:r>
            <w:r>
              <w:t>4–1</w:t>
            </w:r>
            <w:r w:rsidRPr="00807FB9">
              <w:t>5</w:t>
            </w:r>
          </w:p>
        </w:tc>
        <w:tc>
          <w:tcPr>
            <w:tcW w:w="755" w:type="pct"/>
            <w:tcBorders>
              <w:bottom w:val="single" w:sz="4" w:space="0" w:color="auto"/>
            </w:tcBorders>
          </w:tcPr>
          <w:p w:rsidR="004573AC" w:rsidRPr="00807FB9" w:rsidRDefault="004573AC" w:rsidP="004573AC">
            <w:pPr>
              <w:pStyle w:val="TableTextCentered"/>
            </w:pPr>
            <w:r w:rsidRPr="00807FB9">
              <w:t>3.73</w:t>
            </w:r>
          </w:p>
        </w:tc>
        <w:tc>
          <w:tcPr>
            <w:tcW w:w="539" w:type="pct"/>
            <w:tcBorders>
              <w:bottom w:val="single" w:sz="4" w:space="0" w:color="auto"/>
            </w:tcBorders>
          </w:tcPr>
          <w:p w:rsidR="004573AC" w:rsidRPr="004573AC" w:rsidRDefault="004573AC" w:rsidP="004573AC">
            <w:pPr>
              <w:pStyle w:val="TableTextCentered"/>
              <w:rPr>
                <w:rFonts w:cstheme="majorHAnsi"/>
              </w:rPr>
            </w:pPr>
            <w:r w:rsidRPr="00A46F58">
              <w:rPr>
                <w:rFonts w:cstheme="majorHAnsi"/>
                <w:color w:val="000000"/>
              </w:rPr>
              <w:t>1.11</w:t>
            </w:r>
          </w:p>
        </w:tc>
        <w:tc>
          <w:tcPr>
            <w:tcW w:w="903" w:type="pct"/>
            <w:tcBorders>
              <w:bottom w:val="single" w:sz="4" w:space="0" w:color="auto"/>
            </w:tcBorders>
          </w:tcPr>
          <w:p w:rsidR="004573AC" w:rsidRPr="00807FB9" w:rsidRDefault="004573AC" w:rsidP="004573AC">
            <w:pPr>
              <w:pStyle w:val="TableTextCentered"/>
            </w:pPr>
            <w:r w:rsidRPr="00807FB9">
              <w:t>-3.73</w:t>
            </w:r>
          </w:p>
        </w:tc>
        <w:tc>
          <w:tcPr>
            <w:tcW w:w="498" w:type="pct"/>
            <w:tcBorders>
              <w:bottom w:val="single" w:sz="4" w:space="0" w:color="auto"/>
            </w:tcBorders>
          </w:tcPr>
          <w:p w:rsidR="004573AC" w:rsidRPr="00807FB9" w:rsidRDefault="004573AC" w:rsidP="004573AC">
            <w:pPr>
              <w:pStyle w:val="TableTextCentered"/>
            </w:pPr>
            <w:r w:rsidRPr="00807FB9">
              <w:t>-3.73</w:t>
            </w:r>
          </w:p>
        </w:tc>
        <w:tc>
          <w:tcPr>
            <w:tcW w:w="591" w:type="pct"/>
            <w:tcBorders>
              <w:bottom w:val="single" w:sz="4" w:space="0" w:color="auto"/>
            </w:tcBorders>
          </w:tcPr>
          <w:p w:rsidR="004573AC" w:rsidRPr="00807FB9" w:rsidRDefault="004573AC" w:rsidP="004573AC">
            <w:pPr>
              <w:pStyle w:val="TableTextCentered"/>
            </w:pPr>
            <w:r w:rsidRPr="00807FB9">
              <w:t>3.9</w:t>
            </w:r>
            <w:r w:rsidR="006343EB">
              <w:t>0</w:t>
            </w:r>
          </w:p>
        </w:tc>
        <w:tc>
          <w:tcPr>
            <w:tcW w:w="490" w:type="pct"/>
            <w:tcBorders>
              <w:bottom w:val="single" w:sz="4" w:space="0" w:color="auto"/>
            </w:tcBorders>
          </w:tcPr>
          <w:p w:rsidR="004573AC" w:rsidRPr="00807FB9" w:rsidRDefault="004573AC" w:rsidP="004573AC">
            <w:pPr>
              <w:pStyle w:val="TableTextCentered"/>
            </w:pPr>
            <w:r w:rsidRPr="00807FB9">
              <w:t>5.03</w:t>
            </w:r>
          </w:p>
        </w:tc>
        <w:tc>
          <w:tcPr>
            <w:tcW w:w="607" w:type="pct"/>
            <w:tcBorders>
              <w:bottom w:val="single" w:sz="4" w:space="0" w:color="auto"/>
            </w:tcBorders>
          </w:tcPr>
          <w:p w:rsidR="004573AC" w:rsidRPr="00807FB9" w:rsidRDefault="004573AC" w:rsidP="004573AC">
            <w:pPr>
              <w:pStyle w:val="TableTextCentered"/>
            </w:pPr>
            <w:r w:rsidRPr="00807FB9">
              <w:t>2.31</w:t>
            </w:r>
          </w:p>
        </w:tc>
      </w:tr>
      <w:tr w:rsidR="004573AC" w:rsidTr="00434994">
        <w:tc>
          <w:tcPr>
            <w:tcW w:w="616" w:type="pct"/>
            <w:tcBorders>
              <w:bottom w:val="single" w:sz="4" w:space="0" w:color="auto"/>
            </w:tcBorders>
          </w:tcPr>
          <w:p w:rsidR="004573AC" w:rsidRPr="00807FB9" w:rsidRDefault="004573AC" w:rsidP="003C50C4">
            <w:pPr>
              <w:pStyle w:val="TableText"/>
              <w:jc w:val="center"/>
            </w:pPr>
            <w:r w:rsidRPr="00807FB9">
              <w:t>201</w:t>
            </w:r>
            <w:r>
              <w:t>5–1</w:t>
            </w:r>
            <w:r w:rsidRPr="00807FB9">
              <w:t>6</w:t>
            </w:r>
          </w:p>
        </w:tc>
        <w:tc>
          <w:tcPr>
            <w:tcW w:w="755" w:type="pct"/>
            <w:tcBorders>
              <w:bottom w:val="single" w:sz="4" w:space="0" w:color="auto"/>
            </w:tcBorders>
          </w:tcPr>
          <w:p w:rsidR="004573AC" w:rsidRPr="00807FB9" w:rsidRDefault="004573AC" w:rsidP="004573AC">
            <w:pPr>
              <w:pStyle w:val="TableTextCentered"/>
            </w:pPr>
            <w:r w:rsidRPr="00807FB9">
              <w:t>4.79</w:t>
            </w:r>
          </w:p>
        </w:tc>
        <w:tc>
          <w:tcPr>
            <w:tcW w:w="539" w:type="pct"/>
            <w:tcBorders>
              <w:bottom w:val="single" w:sz="4" w:space="0" w:color="auto"/>
            </w:tcBorders>
          </w:tcPr>
          <w:p w:rsidR="004573AC" w:rsidRPr="004573AC" w:rsidRDefault="004573AC" w:rsidP="004573AC">
            <w:pPr>
              <w:pStyle w:val="TableTextCentered"/>
              <w:rPr>
                <w:rFonts w:cstheme="majorHAnsi"/>
              </w:rPr>
            </w:pPr>
            <w:r w:rsidRPr="00A46F58">
              <w:rPr>
                <w:rFonts w:cstheme="majorHAnsi"/>
                <w:color w:val="000000"/>
              </w:rPr>
              <w:t>1.59</w:t>
            </w:r>
          </w:p>
        </w:tc>
        <w:tc>
          <w:tcPr>
            <w:tcW w:w="903" w:type="pct"/>
            <w:tcBorders>
              <w:bottom w:val="single" w:sz="4" w:space="0" w:color="auto"/>
            </w:tcBorders>
          </w:tcPr>
          <w:p w:rsidR="004573AC" w:rsidRPr="00807FB9" w:rsidRDefault="004573AC" w:rsidP="004573AC">
            <w:pPr>
              <w:pStyle w:val="TableTextCentered"/>
            </w:pPr>
            <w:r w:rsidRPr="00807FB9">
              <w:t>-4.34</w:t>
            </w:r>
          </w:p>
        </w:tc>
        <w:tc>
          <w:tcPr>
            <w:tcW w:w="498" w:type="pct"/>
            <w:tcBorders>
              <w:bottom w:val="single" w:sz="4" w:space="0" w:color="auto"/>
            </w:tcBorders>
          </w:tcPr>
          <w:p w:rsidR="004573AC" w:rsidRPr="00807FB9" w:rsidRDefault="004573AC" w:rsidP="004573AC">
            <w:pPr>
              <w:pStyle w:val="TableTextCentered"/>
            </w:pPr>
            <w:r w:rsidRPr="00807FB9">
              <w:t>-3.55</w:t>
            </w:r>
          </w:p>
        </w:tc>
        <w:tc>
          <w:tcPr>
            <w:tcW w:w="591" w:type="pct"/>
            <w:tcBorders>
              <w:bottom w:val="single" w:sz="4" w:space="0" w:color="auto"/>
            </w:tcBorders>
          </w:tcPr>
          <w:p w:rsidR="004573AC" w:rsidRPr="00807FB9" w:rsidRDefault="004573AC" w:rsidP="004573AC">
            <w:pPr>
              <w:pStyle w:val="TableTextCentered"/>
            </w:pPr>
            <w:r w:rsidRPr="00807FB9">
              <w:t>4.73</w:t>
            </w:r>
          </w:p>
        </w:tc>
        <w:tc>
          <w:tcPr>
            <w:tcW w:w="490" w:type="pct"/>
            <w:tcBorders>
              <w:bottom w:val="single" w:sz="4" w:space="0" w:color="auto"/>
            </w:tcBorders>
          </w:tcPr>
          <w:p w:rsidR="004573AC" w:rsidRPr="00807FB9" w:rsidRDefault="004573AC" w:rsidP="004573AC">
            <w:pPr>
              <w:pStyle w:val="TableTextCentered"/>
            </w:pPr>
            <w:r w:rsidRPr="00807FB9">
              <w:t>5.56</w:t>
            </w:r>
          </w:p>
        </w:tc>
        <w:tc>
          <w:tcPr>
            <w:tcW w:w="607" w:type="pct"/>
            <w:tcBorders>
              <w:bottom w:val="single" w:sz="4" w:space="0" w:color="auto"/>
            </w:tcBorders>
          </w:tcPr>
          <w:p w:rsidR="004573AC" w:rsidRPr="00807FB9" w:rsidRDefault="004573AC" w:rsidP="004573AC">
            <w:pPr>
              <w:pStyle w:val="TableTextCentered"/>
            </w:pPr>
            <w:r w:rsidRPr="00807FB9">
              <w:t>3.32</w:t>
            </w:r>
          </w:p>
        </w:tc>
      </w:tr>
      <w:tr w:rsidR="004573AC" w:rsidTr="00434994">
        <w:tc>
          <w:tcPr>
            <w:tcW w:w="616" w:type="pct"/>
            <w:tcBorders>
              <w:bottom w:val="single" w:sz="4" w:space="0" w:color="auto"/>
            </w:tcBorders>
          </w:tcPr>
          <w:p w:rsidR="004573AC" w:rsidRPr="00807FB9" w:rsidRDefault="004573AC" w:rsidP="003C50C4">
            <w:pPr>
              <w:pStyle w:val="TableText"/>
              <w:jc w:val="center"/>
            </w:pPr>
            <w:r w:rsidRPr="00807FB9">
              <w:t>201</w:t>
            </w:r>
            <w:r>
              <w:t>6–1</w:t>
            </w:r>
            <w:r w:rsidRPr="00807FB9">
              <w:t>7</w:t>
            </w:r>
          </w:p>
        </w:tc>
        <w:tc>
          <w:tcPr>
            <w:tcW w:w="755" w:type="pct"/>
            <w:tcBorders>
              <w:bottom w:val="single" w:sz="4" w:space="0" w:color="auto"/>
            </w:tcBorders>
          </w:tcPr>
          <w:p w:rsidR="004573AC" w:rsidRPr="00807FB9" w:rsidRDefault="004573AC" w:rsidP="004573AC">
            <w:pPr>
              <w:pStyle w:val="TableTextCentered"/>
            </w:pPr>
            <w:r w:rsidRPr="00807FB9">
              <w:t>5.41</w:t>
            </w:r>
          </w:p>
        </w:tc>
        <w:tc>
          <w:tcPr>
            <w:tcW w:w="539" w:type="pct"/>
            <w:tcBorders>
              <w:bottom w:val="single" w:sz="4" w:space="0" w:color="auto"/>
            </w:tcBorders>
          </w:tcPr>
          <w:p w:rsidR="004573AC" w:rsidRPr="004573AC" w:rsidRDefault="004573AC" w:rsidP="004573AC">
            <w:pPr>
              <w:pStyle w:val="TableTextCentered"/>
              <w:rPr>
                <w:rFonts w:cstheme="majorHAnsi"/>
              </w:rPr>
            </w:pPr>
            <w:r w:rsidRPr="00A46F58">
              <w:rPr>
                <w:rFonts w:cstheme="majorHAnsi"/>
                <w:color w:val="000000"/>
              </w:rPr>
              <w:t>2.26</w:t>
            </w:r>
          </w:p>
        </w:tc>
        <w:tc>
          <w:tcPr>
            <w:tcW w:w="903" w:type="pct"/>
            <w:tcBorders>
              <w:bottom w:val="single" w:sz="4" w:space="0" w:color="auto"/>
            </w:tcBorders>
          </w:tcPr>
          <w:p w:rsidR="004573AC" w:rsidRPr="00807FB9" w:rsidRDefault="004573AC" w:rsidP="004573AC">
            <w:pPr>
              <w:pStyle w:val="TableTextCentered"/>
            </w:pPr>
            <w:r w:rsidRPr="00807FB9">
              <w:t>-4.91</w:t>
            </w:r>
          </w:p>
        </w:tc>
        <w:tc>
          <w:tcPr>
            <w:tcW w:w="498" w:type="pct"/>
            <w:tcBorders>
              <w:bottom w:val="single" w:sz="4" w:space="0" w:color="auto"/>
            </w:tcBorders>
          </w:tcPr>
          <w:p w:rsidR="004573AC" w:rsidRPr="00807FB9" w:rsidRDefault="004573AC" w:rsidP="004573AC">
            <w:pPr>
              <w:pStyle w:val="TableTextCentered"/>
            </w:pPr>
            <w:r w:rsidRPr="00807FB9">
              <w:t>-3.22</w:t>
            </w:r>
          </w:p>
        </w:tc>
        <w:tc>
          <w:tcPr>
            <w:tcW w:w="591" w:type="pct"/>
            <w:tcBorders>
              <w:bottom w:val="single" w:sz="4" w:space="0" w:color="auto"/>
            </w:tcBorders>
          </w:tcPr>
          <w:p w:rsidR="004573AC" w:rsidRPr="00807FB9" w:rsidRDefault="004573AC" w:rsidP="004573AC">
            <w:pPr>
              <w:pStyle w:val="TableTextCentered"/>
            </w:pPr>
            <w:r w:rsidRPr="00807FB9">
              <w:t>5.52</w:t>
            </w:r>
          </w:p>
        </w:tc>
        <w:tc>
          <w:tcPr>
            <w:tcW w:w="490" w:type="pct"/>
            <w:tcBorders>
              <w:bottom w:val="single" w:sz="4" w:space="0" w:color="auto"/>
            </w:tcBorders>
          </w:tcPr>
          <w:p w:rsidR="004573AC" w:rsidRPr="00807FB9" w:rsidRDefault="004573AC" w:rsidP="004573AC">
            <w:pPr>
              <w:pStyle w:val="TableTextCentered"/>
            </w:pPr>
            <w:r w:rsidRPr="00807FB9">
              <w:t>6.04</w:t>
            </w:r>
          </w:p>
        </w:tc>
        <w:tc>
          <w:tcPr>
            <w:tcW w:w="607" w:type="pct"/>
            <w:tcBorders>
              <w:bottom w:val="single" w:sz="4" w:space="0" w:color="auto"/>
            </w:tcBorders>
          </w:tcPr>
          <w:p w:rsidR="004573AC" w:rsidRPr="00807FB9" w:rsidRDefault="004573AC" w:rsidP="004573AC">
            <w:pPr>
              <w:pStyle w:val="TableTextCentered"/>
            </w:pPr>
            <w:r w:rsidRPr="00807FB9">
              <w:t>4.62</w:t>
            </w:r>
          </w:p>
        </w:tc>
      </w:tr>
      <w:tr w:rsidR="004573AC" w:rsidTr="00434994">
        <w:tc>
          <w:tcPr>
            <w:tcW w:w="616" w:type="pct"/>
            <w:tcBorders>
              <w:bottom w:val="single" w:sz="4" w:space="0" w:color="auto"/>
            </w:tcBorders>
          </w:tcPr>
          <w:p w:rsidR="004573AC" w:rsidRPr="00807FB9" w:rsidRDefault="004573AC" w:rsidP="003C50C4">
            <w:pPr>
              <w:pStyle w:val="TableText"/>
              <w:jc w:val="center"/>
            </w:pPr>
            <w:r w:rsidRPr="00807FB9">
              <w:t>201</w:t>
            </w:r>
            <w:r>
              <w:t>7–1</w:t>
            </w:r>
            <w:r w:rsidRPr="00807FB9">
              <w:t>8</w:t>
            </w:r>
          </w:p>
        </w:tc>
        <w:tc>
          <w:tcPr>
            <w:tcW w:w="755" w:type="pct"/>
            <w:tcBorders>
              <w:bottom w:val="single" w:sz="4" w:space="0" w:color="auto"/>
            </w:tcBorders>
          </w:tcPr>
          <w:p w:rsidR="004573AC" w:rsidRPr="00807FB9" w:rsidRDefault="004573AC" w:rsidP="004573AC">
            <w:pPr>
              <w:pStyle w:val="TableTextCentered"/>
            </w:pPr>
            <w:r w:rsidRPr="00807FB9">
              <w:t>6.16</w:t>
            </w:r>
          </w:p>
        </w:tc>
        <w:tc>
          <w:tcPr>
            <w:tcW w:w="539" w:type="pct"/>
            <w:tcBorders>
              <w:bottom w:val="single" w:sz="4" w:space="0" w:color="auto"/>
            </w:tcBorders>
          </w:tcPr>
          <w:p w:rsidR="004573AC" w:rsidRPr="004573AC" w:rsidRDefault="004573AC" w:rsidP="004573AC">
            <w:pPr>
              <w:pStyle w:val="TableTextCentered"/>
              <w:rPr>
                <w:rFonts w:cstheme="majorHAnsi"/>
              </w:rPr>
            </w:pPr>
            <w:r w:rsidRPr="00A46F58">
              <w:rPr>
                <w:rFonts w:cstheme="majorHAnsi"/>
                <w:color w:val="000000"/>
              </w:rPr>
              <w:t>2.64</w:t>
            </w:r>
          </w:p>
        </w:tc>
        <w:tc>
          <w:tcPr>
            <w:tcW w:w="903" w:type="pct"/>
            <w:tcBorders>
              <w:bottom w:val="single" w:sz="4" w:space="0" w:color="auto"/>
            </w:tcBorders>
          </w:tcPr>
          <w:p w:rsidR="004573AC" w:rsidRPr="00807FB9" w:rsidRDefault="004573AC" w:rsidP="004573AC">
            <w:pPr>
              <w:pStyle w:val="TableTextCentered"/>
            </w:pPr>
            <w:r w:rsidRPr="00807FB9">
              <w:t>-5.53</w:t>
            </w:r>
          </w:p>
        </w:tc>
        <w:tc>
          <w:tcPr>
            <w:tcW w:w="498" w:type="pct"/>
            <w:tcBorders>
              <w:bottom w:val="single" w:sz="4" w:space="0" w:color="auto"/>
            </w:tcBorders>
          </w:tcPr>
          <w:p w:rsidR="004573AC" w:rsidRPr="00807FB9" w:rsidRDefault="004573AC" w:rsidP="004573AC">
            <w:pPr>
              <w:pStyle w:val="TableTextCentered"/>
            </w:pPr>
            <w:r w:rsidRPr="00807FB9">
              <w:t>-2.98</w:t>
            </w:r>
          </w:p>
        </w:tc>
        <w:tc>
          <w:tcPr>
            <w:tcW w:w="591" w:type="pct"/>
            <w:tcBorders>
              <w:bottom w:val="single" w:sz="4" w:space="0" w:color="auto"/>
            </w:tcBorders>
          </w:tcPr>
          <w:p w:rsidR="004573AC" w:rsidRPr="00807FB9" w:rsidRDefault="004573AC" w:rsidP="004573AC">
            <w:pPr>
              <w:pStyle w:val="TableTextCentered"/>
            </w:pPr>
            <w:r w:rsidRPr="00807FB9">
              <w:t>6.32</w:t>
            </w:r>
          </w:p>
        </w:tc>
        <w:tc>
          <w:tcPr>
            <w:tcW w:w="490" w:type="pct"/>
            <w:tcBorders>
              <w:bottom w:val="single" w:sz="4" w:space="0" w:color="auto"/>
            </w:tcBorders>
          </w:tcPr>
          <w:p w:rsidR="004573AC" w:rsidRPr="00807FB9" w:rsidRDefault="004573AC" w:rsidP="004573AC">
            <w:pPr>
              <w:pStyle w:val="TableTextCentered"/>
            </w:pPr>
            <w:r w:rsidRPr="00807FB9">
              <w:t>6.4</w:t>
            </w:r>
            <w:r w:rsidR="006343EB">
              <w:t>0</w:t>
            </w:r>
          </w:p>
        </w:tc>
        <w:tc>
          <w:tcPr>
            <w:tcW w:w="607" w:type="pct"/>
            <w:tcBorders>
              <w:bottom w:val="single" w:sz="4" w:space="0" w:color="auto"/>
            </w:tcBorders>
          </w:tcPr>
          <w:p w:rsidR="004573AC" w:rsidRPr="00807FB9" w:rsidRDefault="004573AC" w:rsidP="004573AC">
            <w:pPr>
              <w:pStyle w:val="TableTextCentered"/>
            </w:pPr>
            <w:r w:rsidRPr="00807FB9">
              <w:t>5.78</w:t>
            </w:r>
          </w:p>
        </w:tc>
      </w:tr>
      <w:tr w:rsidR="004573AC" w:rsidTr="00434994">
        <w:tc>
          <w:tcPr>
            <w:tcW w:w="616" w:type="pct"/>
            <w:tcBorders>
              <w:bottom w:val="single" w:sz="4" w:space="0" w:color="auto"/>
            </w:tcBorders>
          </w:tcPr>
          <w:p w:rsidR="004573AC" w:rsidRPr="00807FB9" w:rsidRDefault="004573AC" w:rsidP="003C50C4">
            <w:pPr>
              <w:pStyle w:val="TableText"/>
              <w:jc w:val="center"/>
            </w:pPr>
            <w:r w:rsidRPr="00807FB9">
              <w:t>201</w:t>
            </w:r>
            <w:r>
              <w:t>8–1</w:t>
            </w:r>
            <w:r w:rsidRPr="00807FB9">
              <w:t>9</w:t>
            </w:r>
          </w:p>
        </w:tc>
        <w:tc>
          <w:tcPr>
            <w:tcW w:w="755" w:type="pct"/>
            <w:tcBorders>
              <w:bottom w:val="single" w:sz="4" w:space="0" w:color="auto"/>
            </w:tcBorders>
          </w:tcPr>
          <w:p w:rsidR="004573AC" w:rsidRPr="00807FB9" w:rsidRDefault="004573AC" w:rsidP="004573AC">
            <w:pPr>
              <w:pStyle w:val="TableTextCentered"/>
            </w:pPr>
            <w:r w:rsidRPr="00807FB9">
              <w:t>7.05</w:t>
            </w:r>
          </w:p>
        </w:tc>
        <w:tc>
          <w:tcPr>
            <w:tcW w:w="539" w:type="pct"/>
            <w:tcBorders>
              <w:bottom w:val="single" w:sz="4" w:space="0" w:color="auto"/>
            </w:tcBorders>
          </w:tcPr>
          <w:p w:rsidR="004573AC" w:rsidRPr="004573AC" w:rsidRDefault="004573AC" w:rsidP="004573AC">
            <w:pPr>
              <w:pStyle w:val="TableTextCentered"/>
              <w:rPr>
                <w:rFonts w:cstheme="majorHAnsi"/>
              </w:rPr>
            </w:pPr>
            <w:r w:rsidRPr="00A46F58">
              <w:rPr>
                <w:rFonts w:cstheme="majorHAnsi"/>
                <w:color w:val="000000"/>
              </w:rPr>
              <w:t>3.44</w:t>
            </w:r>
          </w:p>
        </w:tc>
        <w:tc>
          <w:tcPr>
            <w:tcW w:w="903" w:type="pct"/>
            <w:tcBorders>
              <w:bottom w:val="single" w:sz="4" w:space="0" w:color="auto"/>
            </w:tcBorders>
          </w:tcPr>
          <w:p w:rsidR="004573AC" w:rsidRPr="00807FB9" w:rsidRDefault="004573AC" w:rsidP="004573AC">
            <w:pPr>
              <w:pStyle w:val="TableTextCentered"/>
            </w:pPr>
            <w:r w:rsidRPr="00807FB9">
              <w:t>-6.05</w:t>
            </w:r>
          </w:p>
        </w:tc>
        <w:tc>
          <w:tcPr>
            <w:tcW w:w="498" w:type="pct"/>
            <w:tcBorders>
              <w:bottom w:val="single" w:sz="4" w:space="0" w:color="auto"/>
            </w:tcBorders>
          </w:tcPr>
          <w:p w:rsidR="004573AC" w:rsidRPr="00807FB9" w:rsidRDefault="004573AC" w:rsidP="004573AC">
            <w:pPr>
              <w:pStyle w:val="TableTextCentered"/>
            </w:pPr>
            <w:r w:rsidRPr="00807FB9">
              <w:t>-2.66</w:t>
            </w:r>
          </w:p>
        </w:tc>
        <w:tc>
          <w:tcPr>
            <w:tcW w:w="591" w:type="pct"/>
            <w:tcBorders>
              <w:bottom w:val="single" w:sz="4" w:space="0" w:color="auto"/>
            </w:tcBorders>
          </w:tcPr>
          <w:p w:rsidR="004573AC" w:rsidRPr="00807FB9" w:rsidRDefault="004573AC" w:rsidP="004573AC">
            <w:pPr>
              <w:pStyle w:val="TableTextCentered"/>
            </w:pPr>
            <w:r w:rsidRPr="00807FB9">
              <w:t>7.16</w:t>
            </w:r>
          </w:p>
        </w:tc>
        <w:tc>
          <w:tcPr>
            <w:tcW w:w="490" w:type="pct"/>
            <w:tcBorders>
              <w:bottom w:val="single" w:sz="4" w:space="0" w:color="auto"/>
            </w:tcBorders>
          </w:tcPr>
          <w:p w:rsidR="004573AC" w:rsidRPr="00807FB9" w:rsidRDefault="004573AC" w:rsidP="004573AC">
            <w:pPr>
              <w:pStyle w:val="TableTextCentered"/>
            </w:pPr>
            <w:r w:rsidRPr="00807FB9">
              <w:t>6.89</w:t>
            </w:r>
          </w:p>
        </w:tc>
        <w:tc>
          <w:tcPr>
            <w:tcW w:w="607" w:type="pct"/>
            <w:tcBorders>
              <w:bottom w:val="single" w:sz="4" w:space="0" w:color="auto"/>
            </w:tcBorders>
          </w:tcPr>
          <w:p w:rsidR="004573AC" w:rsidRPr="00807FB9" w:rsidRDefault="004573AC" w:rsidP="004573AC">
            <w:pPr>
              <w:pStyle w:val="TableTextCentered"/>
            </w:pPr>
            <w:r w:rsidRPr="00807FB9">
              <w:t>7.2</w:t>
            </w:r>
            <w:r w:rsidR="006343EB">
              <w:t>0</w:t>
            </w:r>
          </w:p>
        </w:tc>
      </w:tr>
      <w:tr w:rsidR="004573AC" w:rsidTr="00434994">
        <w:tc>
          <w:tcPr>
            <w:tcW w:w="616" w:type="pct"/>
            <w:tcBorders>
              <w:bottom w:val="single" w:sz="4" w:space="0" w:color="auto"/>
            </w:tcBorders>
          </w:tcPr>
          <w:p w:rsidR="004573AC" w:rsidRPr="00807FB9" w:rsidRDefault="004573AC" w:rsidP="003C50C4">
            <w:pPr>
              <w:pStyle w:val="TableText"/>
              <w:jc w:val="center"/>
            </w:pPr>
            <w:r w:rsidRPr="00807FB9">
              <w:t>20</w:t>
            </w:r>
            <w:r>
              <w:t>19–</w:t>
            </w:r>
            <w:r w:rsidRPr="00807FB9">
              <w:t>20</w:t>
            </w:r>
          </w:p>
        </w:tc>
        <w:tc>
          <w:tcPr>
            <w:tcW w:w="755" w:type="pct"/>
            <w:tcBorders>
              <w:bottom w:val="single" w:sz="4" w:space="0" w:color="auto"/>
            </w:tcBorders>
          </w:tcPr>
          <w:p w:rsidR="004573AC" w:rsidRPr="00807FB9" w:rsidRDefault="004573AC" w:rsidP="004573AC">
            <w:pPr>
              <w:pStyle w:val="TableTextCentered"/>
            </w:pPr>
            <w:r w:rsidRPr="00807FB9">
              <w:t>7.88</w:t>
            </w:r>
          </w:p>
        </w:tc>
        <w:tc>
          <w:tcPr>
            <w:tcW w:w="539" w:type="pct"/>
            <w:tcBorders>
              <w:bottom w:val="single" w:sz="4" w:space="0" w:color="auto"/>
            </w:tcBorders>
          </w:tcPr>
          <w:p w:rsidR="004573AC" w:rsidRPr="004573AC" w:rsidRDefault="004573AC" w:rsidP="004573AC">
            <w:pPr>
              <w:pStyle w:val="TableTextCentered"/>
              <w:rPr>
                <w:rFonts w:cstheme="majorHAnsi"/>
              </w:rPr>
            </w:pPr>
            <w:r w:rsidRPr="00A46F58">
              <w:rPr>
                <w:rFonts w:cstheme="majorHAnsi"/>
                <w:color w:val="000000"/>
              </w:rPr>
              <w:t>4.01</w:t>
            </w:r>
          </w:p>
        </w:tc>
        <w:tc>
          <w:tcPr>
            <w:tcW w:w="903" w:type="pct"/>
            <w:tcBorders>
              <w:bottom w:val="single" w:sz="4" w:space="0" w:color="auto"/>
            </w:tcBorders>
          </w:tcPr>
          <w:p w:rsidR="004573AC" w:rsidRPr="00807FB9" w:rsidRDefault="004573AC" w:rsidP="004573AC">
            <w:pPr>
              <w:pStyle w:val="TableTextCentered"/>
            </w:pPr>
            <w:r w:rsidRPr="00807FB9">
              <w:t>-6.53</w:t>
            </w:r>
          </w:p>
        </w:tc>
        <w:tc>
          <w:tcPr>
            <w:tcW w:w="498" w:type="pct"/>
            <w:tcBorders>
              <w:bottom w:val="single" w:sz="4" w:space="0" w:color="auto"/>
            </w:tcBorders>
          </w:tcPr>
          <w:p w:rsidR="004573AC" w:rsidRPr="00807FB9" w:rsidRDefault="004573AC" w:rsidP="004573AC">
            <w:pPr>
              <w:pStyle w:val="TableTextCentered"/>
            </w:pPr>
            <w:r w:rsidRPr="00807FB9">
              <w:t>-2.33</w:t>
            </w:r>
          </w:p>
        </w:tc>
        <w:tc>
          <w:tcPr>
            <w:tcW w:w="591" w:type="pct"/>
            <w:tcBorders>
              <w:bottom w:val="single" w:sz="4" w:space="0" w:color="auto"/>
            </w:tcBorders>
          </w:tcPr>
          <w:p w:rsidR="004573AC" w:rsidRPr="00807FB9" w:rsidRDefault="004573AC" w:rsidP="004573AC">
            <w:pPr>
              <w:pStyle w:val="TableTextCentered"/>
            </w:pPr>
            <w:r w:rsidRPr="00807FB9">
              <w:t>7.92</w:t>
            </w:r>
          </w:p>
        </w:tc>
        <w:tc>
          <w:tcPr>
            <w:tcW w:w="490" w:type="pct"/>
            <w:tcBorders>
              <w:bottom w:val="single" w:sz="4" w:space="0" w:color="auto"/>
            </w:tcBorders>
          </w:tcPr>
          <w:p w:rsidR="004573AC" w:rsidRPr="00807FB9" w:rsidRDefault="004573AC" w:rsidP="004573AC">
            <w:pPr>
              <w:pStyle w:val="TableTextCentered"/>
            </w:pPr>
            <w:r w:rsidRPr="00807FB9">
              <w:t>7.26</w:t>
            </w:r>
          </w:p>
        </w:tc>
        <w:tc>
          <w:tcPr>
            <w:tcW w:w="607" w:type="pct"/>
            <w:tcBorders>
              <w:bottom w:val="single" w:sz="4" w:space="0" w:color="auto"/>
            </w:tcBorders>
          </w:tcPr>
          <w:p w:rsidR="004573AC" w:rsidRPr="00807FB9" w:rsidRDefault="004573AC" w:rsidP="004573AC">
            <w:pPr>
              <w:pStyle w:val="TableTextCentered"/>
            </w:pPr>
            <w:r w:rsidRPr="00807FB9">
              <w:t>8.55</w:t>
            </w:r>
          </w:p>
        </w:tc>
      </w:tr>
      <w:tr w:rsidR="004573AC" w:rsidTr="00434994">
        <w:tc>
          <w:tcPr>
            <w:tcW w:w="616" w:type="pct"/>
            <w:tcBorders>
              <w:bottom w:val="single" w:sz="4" w:space="0" w:color="auto"/>
            </w:tcBorders>
          </w:tcPr>
          <w:p w:rsidR="004573AC" w:rsidRPr="00807FB9" w:rsidRDefault="004573AC" w:rsidP="003C50C4">
            <w:pPr>
              <w:pStyle w:val="TableText"/>
              <w:jc w:val="center"/>
            </w:pPr>
            <w:r w:rsidRPr="00807FB9">
              <w:t>202</w:t>
            </w:r>
            <w:r>
              <w:t>0–2</w:t>
            </w:r>
            <w:r w:rsidRPr="00807FB9">
              <w:t>1</w:t>
            </w:r>
          </w:p>
        </w:tc>
        <w:tc>
          <w:tcPr>
            <w:tcW w:w="755" w:type="pct"/>
            <w:tcBorders>
              <w:bottom w:val="single" w:sz="4" w:space="0" w:color="auto"/>
            </w:tcBorders>
          </w:tcPr>
          <w:p w:rsidR="004573AC" w:rsidRPr="00807FB9" w:rsidRDefault="004573AC" w:rsidP="004573AC">
            <w:pPr>
              <w:pStyle w:val="TableTextCentered"/>
            </w:pPr>
            <w:r w:rsidRPr="00807FB9">
              <w:t>8.64</w:t>
            </w:r>
          </w:p>
        </w:tc>
        <w:tc>
          <w:tcPr>
            <w:tcW w:w="539" w:type="pct"/>
            <w:tcBorders>
              <w:bottom w:val="single" w:sz="4" w:space="0" w:color="auto"/>
            </w:tcBorders>
          </w:tcPr>
          <w:p w:rsidR="004573AC" w:rsidRPr="004573AC" w:rsidRDefault="004573AC" w:rsidP="004573AC">
            <w:pPr>
              <w:pStyle w:val="TableTextCentered"/>
              <w:rPr>
                <w:rFonts w:cstheme="majorHAnsi"/>
              </w:rPr>
            </w:pPr>
            <w:r w:rsidRPr="00A46F58">
              <w:rPr>
                <w:rFonts w:cstheme="majorHAnsi"/>
                <w:color w:val="000000"/>
              </w:rPr>
              <w:t>4.4</w:t>
            </w:r>
            <w:r w:rsidR="006343EB">
              <w:rPr>
                <w:rFonts w:cstheme="majorHAnsi"/>
                <w:color w:val="000000"/>
              </w:rPr>
              <w:t>0</w:t>
            </w:r>
          </w:p>
        </w:tc>
        <w:tc>
          <w:tcPr>
            <w:tcW w:w="903" w:type="pct"/>
            <w:tcBorders>
              <w:bottom w:val="single" w:sz="4" w:space="0" w:color="auto"/>
            </w:tcBorders>
          </w:tcPr>
          <w:p w:rsidR="004573AC" w:rsidRPr="00807FB9" w:rsidRDefault="004573AC" w:rsidP="004573AC">
            <w:pPr>
              <w:pStyle w:val="TableTextCentered"/>
            </w:pPr>
            <w:r w:rsidRPr="00807FB9">
              <w:t>-7.13</w:t>
            </w:r>
          </w:p>
        </w:tc>
        <w:tc>
          <w:tcPr>
            <w:tcW w:w="498" w:type="pct"/>
            <w:tcBorders>
              <w:bottom w:val="single" w:sz="4" w:space="0" w:color="auto"/>
            </w:tcBorders>
          </w:tcPr>
          <w:p w:rsidR="004573AC" w:rsidRPr="00807FB9" w:rsidRDefault="004573AC" w:rsidP="004573AC">
            <w:pPr>
              <w:pStyle w:val="TableTextCentered"/>
            </w:pPr>
            <w:r w:rsidRPr="00807FB9">
              <w:t>-1.97</w:t>
            </w:r>
          </w:p>
        </w:tc>
        <w:tc>
          <w:tcPr>
            <w:tcW w:w="591" w:type="pct"/>
            <w:tcBorders>
              <w:bottom w:val="single" w:sz="4" w:space="0" w:color="auto"/>
            </w:tcBorders>
          </w:tcPr>
          <w:p w:rsidR="004573AC" w:rsidRPr="00807FB9" w:rsidRDefault="004573AC" w:rsidP="004573AC">
            <w:pPr>
              <w:pStyle w:val="TableTextCentered"/>
            </w:pPr>
            <w:r w:rsidRPr="00807FB9">
              <w:t>8.79</w:t>
            </w:r>
          </w:p>
        </w:tc>
        <w:tc>
          <w:tcPr>
            <w:tcW w:w="490" w:type="pct"/>
            <w:tcBorders>
              <w:bottom w:val="single" w:sz="4" w:space="0" w:color="auto"/>
            </w:tcBorders>
          </w:tcPr>
          <w:p w:rsidR="004573AC" w:rsidRPr="00807FB9" w:rsidRDefault="004573AC" w:rsidP="004573AC">
            <w:pPr>
              <w:pStyle w:val="TableTextCentered"/>
            </w:pPr>
            <w:r w:rsidRPr="00807FB9">
              <w:t>7.58</w:t>
            </w:r>
          </w:p>
        </w:tc>
        <w:tc>
          <w:tcPr>
            <w:tcW w:w="607" w:type="pct"/>
            <w:tcBorders>
              <w:bottom w:val="single" w:sz="4" w:space="0" w:color="auto"/>
            </w:tcBorders>
          </w:tcPr>
          <w:p w:rsidR="004573AC" w:rsidRPr="00807FB9" w:rsidRDefault="004573AC" w:rsidP="004573AC">
            <w:pPr>
              <w:pStyle w:val="TableTextCentered"/>
            </w:pPr>
            <w:r w:rsidRPr="00807FB9">
              <w:t>9.95</w:t>
            </w:r>
          </w:p>
        </w:tc>
      </w:tr>
      <w:tr w:rsidR="004573AC" w:rsidTr="00434994">
        <w:tc>
          <w:tcPr>
            <w:tcW w:w="616" w:type="pct"/>
            <w:tcBorders>
              <w:bottom w:val="single" w:sz="4" w:space="0" w:color="auto"/>
            </w:tcBorders>
          </w:tcPr>
          <w:p w:rsidR="004573AC" w:rsidRPr="00807FB9" w:rsidRDefault="004573AC" w:rsidP="003C50C4">
            <w:pPr>
              <w:pStyle w:val="TableText"/>
              <w:jc w:val="center"/>
            </w:pPr>
            <w:r w:rsidRPr="00807FB9">
              <w:t>202</w:t>
            </w:r>
            <w:r>
              <w:t>1–2</w:t>
            </w:r>
            <w:r w:rsidRPr="00807FB9">
              <w:t>2</w:t>
            </w:r>
          </w:p>
        </w:tc>
        <w:tc>
          <w:tcPr>
            <w:tcW w:w="755" w:type="pct"/>
            <w:tcBorders>
              <w:bottom w:val="single" w:sz="4" w:space="0" w:color="auto"/>
            </w:tcBorders>
          </w:tcPr>
          <w:p w:rsidR="004573AC" w:rsidRPr="00807FB9" w:rsidRDefault="004573AC" w:rsidP="004573AC">
            <w:pPr>
              <w:pStyle w:val="TableTextCentered"/>
            </w:pPr>
            <w:r w:rsidRPr="00807FB9">
              <w:t>9.68</w:t>
            </w:r>
          </w:p>
        </w:tc>
        <w:tc>
          <w:tcPr>
            <w:tcW w:w="539" w:type="pct"/>
            <w:tcBorders>
              <w:bottom w:val="single" w:sz="4" w:space="0" w:color="auto"/>
            </w:tcBorders>
          </w:tcPr>
          <w:p w:rsidR="004573AC" w:rsidRPr="004573AC" w:rsidRDefault="004573AC" w:rsidP="004573AC">
            <w:pPr>
              <w:pStyle w:val="TableTextCentered"/>
              <w:rPr>
                <w:rFonts w:cstheme="majorHAnsi"/>
              </w:rPr>
            </w:pPr>
            <w:r w:rsidRPr="00A46F58">
              <w:rPr>
                <w:rFonts w:cstheme="majorHAnsi"/>
                <w:color w:val="000000"/>
              </w:rPr>
              <w:t>5.04</w:t>
            </w:r>
          </w:p>
        </w:tc>
        <w:tc>
          <w:tcPr>
            <w:tcW w:w="903" w:type="pct"/>
            <w:tcBorders>
              <w:bottom w:val="single" w:sz="4" w:space="0" w:color="auto"/>
            </w:tcBorders>
          </w:tcPr>
          <w:p w:rsidR="004573AC" w:rsidRPr="00807FB9" w:rsidRDefault="004573AC" w:rsidP="004573AC">
            <w:pPr>
              <w:pStyle w:val="TableTextCentered"/>
            </w:pPr>
            <w:r w:rsidRPr="00807FB9">
              <w:t>-7.6</w:t>
            </w:r>
            <w:r w:rsidR="006343EB">
              <w:t>0</w:t>
            </w:r>
          </w:p>
        </w:tc>
        <w:tc>
          <w:tcPr>
            <w:tcW w:w="498" w:type="pct"/>
            <w:tcBorders>
              <w:bottom w:val="single" w:sz="4" w:space="0" w:color="auto"/>
            </w:tcBorders>
          </w:tcPr>
          <w:p w:rsidR="004573AC" w:rsidRPr="00807FB9" w:rsidRDefault="004573AC" w:rsidP="004573AC">
            <w:pPr>
              <w:pStyle w:val="TableTextCentered"/>
            </w:pPr>
            <w:r w:rsidRPr="00807FB9">
              <w:t>-1.64</w:t>
            </w:r>
          </w:p>
        </w:tc>
        <w:tc>
          <w:tcPr>
            <w:tcW w:w="591" w:type="pct"/>
            <w:tcBorders>
              <w:bottom w:val="single" w:sz="4" w:space="0" w:color="auto"/>
            </w:tcBorders>
          </w:tcPr>
          <w:p w:rsidR="004573AC" w:rsidRPr="00807FB9" w:rsidRDefault="004573AC" w:rsidP="004573AC">
            <w:pPr>
              <w:pStyle w:val="TableTextCentered"/>
            </w:pPr>
            <w:r w:rsidRPr="00807FB9">
              <w:t>9.74</w:t>
            </w:r>
          </w:p>
        </w:tc>
        <w:tc>
          <w:tcPr>
            <w:tcW w:w="490" w:type="pct"/>
            <w:tcBorders>
              <w:bottom w:val="single" w:sz="4" w:space="0" w:color="auto"/>
            </w:tcBorders>
          </w:tcPr>
          <w:p w:rsidR="004573AC" w:rsidRPr="00807FB9" w:rsidRDefault="004573AC" w:rsidP="004573AC">
            <w:pPr>
              <w:pStyle w:val="TableTextCentered"/>
            </w:pPr>
            <w:r w:rsidRPr="00807FB9">
              <w:t>7.84</w:t>
            </w:r>
          </w:p>
        </w:tc>
        <w:tc>
          <w:tcPr>
            <w:tcW w:w="607" w:type="pct"/>
            <w:tcBorders>
              <w:bottom w:val="single" w:sz="4" w:space="0" w:color="auto"/>
            </w:tcBorders>
          </w:tcPr>
          <w:p w:rsidR="004573AC" w:rsidRPr="00807FB9" w:rsidRDefault="004573AC" w:rsidP="004573AC">
            <w:pPr>
              <w:pStyle w:val="TableTextCentered"/>
            </w:pPr>
            <w:r w:rsidRPr="00807FB9">
              <w:t>11.52</w:t>
            </w:r>
          </w:p>
        </w:tc>
      </w:tr>
      <w:tr w:rsidR="004573AC" w:rsidTr="00434994">
        <w:tc>
          <w:tcPr>
            <w:tcW w:w="616" w:type="pct"/>
            <w:tcBorders>
              <w:bottom w:val="single" w:sz="4" w:space="0" w:color="auto"/>
            </w:tcBorders>
          </w:tcPr>
          <w:p w:rsidR="004573AC" w:rsidRPr="00807FB9" w:rsidRDefault="004573AC" w:rsidP="003C50C4">
            <w:pPr>
              <w:pStyle w:val="TableText"/>
              <w:jc w:val="center"/>
            </w:pPr>
            <w:r w:rsidRPr="00807FB9">
              <w:t>202</w:t>
            </w:r>
            <w:r>
              <w:t>2–2</w:t>
            </w:r>
            <w:r w:rsidRPr="00807FB9">
              <w:t>3</w:t>
            </w:r>
          </w:p>
        </w:tc>
        <w:tc>
          <w:tcPr>
            <w:tcW w:w="755" w:type="pct"/>
            <w:tcBorders>
              <w:bottom w:val="single" w:sz="4" w:space="0" w:color="auto"/>
            </w:tcBorders>
          </w:tcPr>
          <w:p w:rsidR="004573AC" w:rsidRPr="00807FB9" w:rsidRDefault="004573AC" w:rsidP="004573AC">
            <w:pPr>
              <w:pStyle w:val="TableTextCentered"/>
            </w:pPr>
            <w:r w:rsidRPr="00807FB9">
              <w:t>10.61</w:t>
            </w:r>
          </w:p>
        </w:tc>
        <w:tc>
          <w:tcPr>
            <w:tcW w:w="539" w:type="pct"/>
            <w:tcBorders>
              <w:bottom w:val="single" w:sz="4" w:space="0" w:color="auto"/>
            </w:tcBorders>
          </w:tcPr>
          <w:p w:rsidR="004573AC" w:rsidRPr="004573AC" w:rsidRDefault="004573AC" w:rsidP="004573AC">
            <w:pPr>
              <w:pStyle w:val="TableTextCentered"/>
              <w:rPr>
                <w:rFonts w:cstheme="majorHAnsi"/>
              </w:rPr>
            </w:pPr>
            <w:r w:rsidRPr="00A46F58">
              <w:rPr>
                <w:rFonts w:cstheme="majorHAnsi"/>
                <w:color w:val="000000"/>
              </w:rPr>
              <w:t>5.56</w:t>
            </w:r>
          </w:p>
        </w:tc>
        <w:tc>
          <w:tcPr>
            <w:tcW w:w="903" w:type="pct"/>
            <w:tcBorders>
              <w:bottom w:val="single" w:sz="4" w:space="0" w:color="auto"/>
            </w:tcBorders>
          </w:tcPr>
          <w:p w:rsidR="004573AC" w:rsidRPr="00807FB9" w:rsidRDefault="004573AC" w:rsidP="004573AC">
            <w:pPr>
              <w:pStyle w:val="TableTextCentered"/>
            </w:pPr>
            <w:r w:rsidRPr="00807FB9">
              <w:t>-8.03</w:t>
            </w:r>
          </w:p>
        </w:tc>
        <w:tc>
          <w:tcPr>
            <w:tcW w:w="498" w:type="pct"/>
            <w:tcBorders>
              <w:bottom w:val="single" w:sz="4" w:space="0" w:color="auto"/>
            </w:tcBorders>
          </w:tcPr>
          <w:p w:rsidR="004573AC" w:rsidRPr="00807FB9" w:rsidRDefault="004573AC" w:rsidP="004573AC">
            <w:pPr>
              <w:pStyle w:val="TableTextCentered"/>
            </w:pPr>
            <w:r w:rsidRPr="00807FB9">
              <w:t>-1.2</w:t>
            </w:r>
            <w:r w:rsidR="006343EB">
              <w:t>0</w:t>
            </w:r>
          </w:p>
        </w:tc>
        <w:tc>
          <w:tcPr>
            <w:tcW w:w="591" w:type="pct"/>
            <w:tcBorders>
              <w:bottom w:val="single" w:sz="4" w:space="0" w:color="auto"/>
            </w:tcBorders>
          </w:tcPr>
          <w:p w:rsidR="004573AC" w:rsidRPr="00807FB9" w:rsidRDefault="004573AC" w:rsidP="004573AC">
            <w:pPr>
              <w:pStyle w:val="TableTextCentered"/>
            </w:pPr>
            <w:r w:rsidRPr="00807FB9">
              <w:t>10.65</w:t>
            </w:r>
          </w:p>
        </w:tc>
        <w:tc>
          <w:tcPr>
            <w:tcW w:w="490" w:type="pct"/>
            <w:tcBorders>
              <w:bottom w:val="single" w:sz="4" w:space="0" w:color="auto"/>
            </w:tcBorders>
          </w:tcPr>
          <w:p w:rsidR="004573AC" w:rsidRPr="00807FB9" w:rsidRDefault="004573AC" w:rsidP="004573AC">
            <w:pPr>
              <w:pStyle w:val="TableTextCentered"/>
            </w:pPr>
            <w:r w:rsidRPr="00807FB9">
              <w:t>8.29</w:t>
            </w:r>
          </w:p>
        </w:tc>
        <w:tc>
          <w:tcPr>
            <w:tcW w:w="607" w:type="pct"/>
            <w:tcBorders>
              <w:bottom w:val="single" w:sz="4" w:space="0" w:color="auto"/>
            </w:tcBorders>
          </w:tcPr>
          <w:p w:rsidR="004573AC" w:rsidRPr="00807FB9" w:rsidRDefault="004573AC" w:rsidP="004573AC">
            <w:pPr>
              <w:pStyle w:val="TableTextCentered"/>
            </w:pPr>
            <w:r w:rsidRPr="00807FB9">
              <w:t>13.17</w:t>
            </w:r>
          </w:p>
        </w:tc>
      </w:tr>
      <w:tr w:rsidR="004573AC" w:rsidTr="00434994">
        <w:tc>
          <w:tcPr>
            <w:tcW w:w="616" w:type="pct"/>
          </w:tcPr>
          <w:p w:rsidR="004573AC" w:rsidRPr="00807FB9" w:rsidRDefault="004573AC" w:rsidP="003C50C4">
            <w:pPr>
              <w:pStyle w:val="TableText"/>
              <w:jc w:val="center"/>
            </w:pPr>
            <w:r w:rsidRPr="00807FB9">
              <w:t>202</w:t>
            </w:r>
            <w:r>
              <w:t>3–2</w:t>
            </w:r>
            <w:r w:rsidRPr="00807FB9">
              <w:t>4</w:t>
            </w:r>
          </w:p>
        </w:tc>
        <w:tc>
          <w:tcPr>
            <w:tcW w:w="755" w:type="pct"/>
          </w:tcPr>
          <w:p w:rsidR="004573AC" w:rsidRPr="00807FB9" w:rsidRDefault="004573AC" w:rsidP="004573AC">
            <w:pPr>
              <w:pStyle w:val="TableTextCentered"/>
            </w:pPr>
            <w:r w:rsidRPr="00807FB9">
              <w:t>11.16</w:t>
            </w:r>
          </w:p>
        </w:tc>
        <w:tc>
          <w:tcPr>
            <w:tcW w:w="539" w:type="pct"/>
          </w:tcPr>
          <w:p w:rsidR="004573AC" w:rsidRPr="004573AC" w:rsidRDefault="004573AC" w:rsidP="004573AC">
            <w:pPr>
              <w:pStyle w:val="TableTextCentered"/>
              <w:rPr>
                <w:rFonts w:cstheme="majorHAnsi"/>
              </w:rPr>
            </w:pPr>
            <w:r w:rsidRPr="00A46F58">
              <w:rPr>
                <w:rFonts w:cstheme="majorHAnsi"/>
                <w:color w:val="000000"/>
              </w:rPr>
              <w:t>6.05</w:t>
            </w:r>
          </w:p>
        </w:tc>
        <w:tc>
          <w:tcPr>
            <w:tcW w:w="903" w:type="pct"/>
          </w:tcPr>
          <w:p w:rsidR="004573AC" w:rsidRPr="00807FB9" w:rsidRDefault="004573AC" w:rsidP="004573AC">
            <w:pPr>
              <w:pStyle w:val="TableTextCentered"/>
            </w:pPr>
            <w:r w:rsidRPr="00807FB9">
              <w:t>-8.34</w:t>
            </w:r>
          </w:p>
        </w:tc>
        <w:tc>
          <w:tcPr>
            <w:tcW w:w="498" w:type="pct"/>
          </w:tcPr>
          <w:p w:rsidR="004573AC" w:rsidRPr="00807FB9" w:rsidRDefault="004573AC" w:rsidP="004573AC">
            <w:pPr>
              <w:pStyle w:val="TableTextCentered"/>
            </w:pPr>
            <w:r w:rsidRPr="00807FB9">
              <w:t>-</w:t>
            </w:r>
            <w:r w:rsidR="006343EB">
              <w:t>0</w:t>
            </w:r>
            <w:r w:rsidRPr="00807FB9">
              <w:t>.77</w:t>
            </w:r>
          </w:p>
        </w:tc>
        <w:tc>
          <w:tcPr>
            <w:tcW w:w="591" w:type="pct"/>
          </w:tcPr>
          <w:p w:rsidR="004573AC" w:rsidRPr="00807FB9" w:rsidRDefault="004573AC" w:rsidP="004573AC">
            <w:pPr>
              <w:pStyle w:val="TableTextCentered"/>
            </w:pPr>
            <w:r w:rsidRPr="00807FB9">
              <w:t>11.65</w:t>
            </w:r>
          </w:p>
        </w:tc>
        <w:tc>
          <w:tcPr>
            <w:tcW w:w="490" w:type="pct"/>
          </w:tcPr>
          <w:p w:rsidR="004573AC" w:rsidRPr="00807FB9" w:rsidRDefault="004573AC" w:rsidP="004573AC">
            <w:pPr>
              <w:pStyle w:val="TableTextCentered"/>
            </w:pPr>
            <w:r w:rsidRPr="00807FB9">
              <w:t>8.97</w:t>
            </w:r>
          </w:p>
        </w:tc>
        <w:tc>
          <w:tcPr>
            <w:tcW w:w="607" w:type="pct"/>
          </w:tcPr>
          <w:p w:rsidR="004573AC" w:rsidRPr="00807FB9" w:rsidRDefault="004573AC" w:rsidP="004573AC">
            <w:pPr>
              <w:pStyle w:val="TableTextCentered"/>
            </w:pPr>
            <w:r w:rsidRPr="00807FB9">
              <w:t>14.78</w:t>
            </w:r>
          </w:p>
        </w:tc>
      </w:tr>
    </w:tbl>
    <w:p w:rsidR="00322D28" w:rsidRPr="00B55A5C" w:rsidRDefault="00322D28" w:rsidP="00B55A5C">
      <w:pPr>
        <w:pStyle w:val="BodyText"/>
        <w:spacing w:before="0" w:after="0"/>
        <w:rPr>
          <w:rFonts w:asciiTheme="majorHAnsi" w:hAnsiTheme="majorHAnsi" w:cstheme="majorHAnsi"/>
          <w:i/>
          <w:sz w:val="20"/>
          <w:szCs w:val="20"/>
        </w:rPr>
      </w:pPr>
      <w:r w:rsidRPr="00B55A5C">
        <w:rPr>
          <w:rFonts w:asciiTheme="majorHAnsi" w:hAnsiTheme="majorHAnsi" w:cstheme="majorHAnsi"/>
          <w:i/>
          <w:sz w:val="20"/>
          <w:szCs w:val="20"/>
        </w:rPr>
        <w:t xml:space="preserve">Note. </w:t>
      </w:r>
      <w:r w:rsidR="00090E9F" w:rsidRPr="00B55A5C">
        <w:rPr>
          <w:rFonts w:asciiTheme="majorHAnsi" w:hAnsiTheme="majorHAnsi" w:cstheme="majorHAnsi"/>
          <w:sz w:val="20"/>
          <w:szCs w:val="20"/>
        </w:rPr>
        <w:t>Relative</w:t>
      </w:r>
      <w:r w:rsidRPr="00B55A5C">
        <w:rPr>
          <w:rFonts w:asciiTheme="majorHAnsi" w:hAnsiTheme="majorHAnsi" w:cstheme="majorHAnsi"/>
          <w:sz w:val="20"/>
          <w:szCs w:val="20"/>
        </w:rPr>
        <w:t xml:space="preserve"> </w:t>
      </w:r>
      <w:r w:rsidR="009C29CD" w:rsidRPr="00B55A5C">
        <w:rPr>
          <w:rFonts w:asciiTheme="majorHAnsi" w:hAnsiTheme="majorHAnsi" w:cstheme="majorHAnsi"/>
          <w:sz w:val="20"/>
          <w:szCs w:val="20"/>
        </w:rPr>
        <w:t>D</w:t>
      </w:r>
      <w:r w:rsidRPr="00B55A5C">
        <w:rPr>
          <w:rFonts w:asciiTheme="majorHAnsi" w:hAnsiTheme="majorHAnsi" w:cstheme="majorHAnsi"/>
          <w:sz w:val="20"/>
          <w:szCs w:val="20"/>
        </w:rPr>
        <w:t>ifference = (Supply-Demand)/Demand</w:t>
      </w:r>
      <w:r w:rsidR="008D26E3" w:rsidRPr="00B55A5C">
        <w:rPr>
          <w:rFonts w:asciiTheme="majorHAnsi" w:hAnsiTheme="majorHAnsi" w:cstheme="majorHAnsi"/>
          <w:sz w:val="20"/>
          <w:szCs w:val="20"/>
        </w:rPr>
        <w:t>.</w:t>
      </w:r>
    </w:p>
    <w:p w:rsidR="00B55A5C" w:rsidRDefault="00322D28" w:rsidP="00B55A5C">
      <w:pPr>
        <w:pStyle w:val="ExhibitTitle"/>
      </w:pPr>
      <w:proofErr w:type="gramStart"/>
      <w:r>
        <w:t>Figure 2</w:t>
      </w:r>
      <w:r w:rsidR="00DB10EA">
        <w:t>3</w:t>
      </w:r>
      <w:r w:rsidR="00C157EC" w:rsidRPr="006D0A7C">
        <w:t>.</w:t>
      </w:r>
      <w:proofErr w:type="gramEnd"/>
      <w:r w:rsidR="00C157EC" w:rsidRPr="006D0A7C">
        <w:t xml:space="preserve"> </w:t>
      </w:r>
      <w:r w:rsidR="00C157EC">
        <w:t>Historical and Projected Statewide Supply and Demand</w:t>
      </w:r>
      <w:r w:rsidR="00AB1442">
        <w:t xml:space="preserve"> for Teachers</w:t>
      </w:r>
      <w:r w:rsidR="00C157EC">
        <w:t xml:space="preserve"> in the Commissioner’s Districts in Terms of FTEs</w:t>
      </w:r>
      <w:r>
        <w:t xml:space="preserve">, </w:t>
      </w:r>
      <w:r w:rsidR="00C157EC">
        <w:t>2008</w:t>
      </w:r>
      <w:r>
        <w:t>–</w:t>
      </w:r>
      <w:r w:rsidR="00C157EC">
        <w:t>09</w:t>
      </w:r>
      <w:r w:rsidR="0092042A">
        <w:t xml:space="preserve"> Through </w:t>
      </w:r>
      <w:r w:rsidR="00C157EC">
        <w:t>2023</w:t>
      </w:r>
      <w:r>
        <w:t>–</w:t>
      </w:r>
      <w:r w:rsidR="00C157EC">
        <w:t>24</w:t>
      </w:r>
    </w:p>
    <w:p w:rsidR="00C157EC" w:rsidRDefault="00C157EC" w:rsidP="00B55A5C">
      <w:pPr>
        <w:pStyle w:val="ExhibitTitle"/>
      </w:pPr>
      <w:r w:rsidRPr="006D33A8">
        <w:rPr>
          <w:noProof/>
          <w:lang w:eastAsia="zh-CN" w:bidi="km-KH"/>
        </w:rPr>
        <w:drawing>
          <wp:inline distT="0" distB="0" distL="0" distR="0">
            <wp:extent cx="5614035" cy="3657533"/>
            <wp:effectExtent l="19050" t="0" r="5715" b="0"/>
            <wp:docPr id="39" name="Picture 39" descr="Figure 23 shows the difference in predicted supply and demand over time for the Commissioner’s Districts. Because this area represents the largest districts in the state and tends to serve more disadvantaged student populations, this finding may be particularly concerning to policymakers as the teacher shortages could lead to higher student–teacher ratios, less qualified teachers for the high-need districts in this area, or both.&#10;&#10;Figure 23. Historical and Projected Statewide Supply and Demand for Teachers in the Commissioner’s Districts in Terms of FTE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56" t="2837" r="3191" b="6835"/>
                    <a:stretch/>
                  </pic:blipFill>
                  <pic:spPr bwMode="auto">
                    <a:xfrm>
                      <a:off x="0" y="0"/>
                      <a:ext cx="5614138"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6731F1" w:rsidRPr="00B55A5C">
        <w:rPr>
          <w:rFonts w:asciiTheme="minorHAnsi" w:hAnsiTheme="minorHAnsi"/>
          <w:b w:val="0"/>
          <w:sz w:val="24"/>
        </w:rPr>
        <w:t>Table 2</w:t>
      </w:r>
      <w:r w:rsidR="00DB10EA" w:rsidRPr="00B55A5C">
        <w:rPr>
          <w:rFonts w:asciiTheme="minorHAnsi" w:hAnsiTheme="minorHAnsi"/>
          <w:b w:val="0"/>
          <w:sz w:val="24"/>
        </w:rPr>
        <w:t>3</w:t>
      </w:r>
      <w:r w:rsidRPr="00B55A5C">
        <w:rPr>
          <w:rFonts w:asciiTheme="minorHAnsi" w:hAnsiTheme="minorHAnsi"/>
          <w:b w:val="0"/>
          <w:sz w:val="24"/>
        </w:rPr>
        <w:t xml:space="preserve"> shows the </w:t>
      </w:r>
      <w:r w:rsidR="00090E9F" w:rsidRPr="00B55A5C">
        <w:rPr>
          <w:rFonts w:asciiTheme="minorHAnsi" w:hAnsiTheme="minorHAnsi"/>
          <w:b w:val="0"/>
          <w:sz w:val="24"/>
        </w:rPr>
        <w:t xml:space="preserve">relative </w:t>
      </w:r>
      <w:r w:rsidRPr="00B55A5C">
        <w:rPr>
          <w:rFonts w:asciiTheme="minorHAnsi" w:hAnsiTheme="minorHAnsi"/>
          <w:b w:val="0"/>
          <w:sz w:val="24"/>
        </w:rPr>
        <w:t xml:space="preserve">differences between supply and demand by NCES locale. Not surprisingly, the </w:t>
      </w:r>
      <w:r w:rsidR="00011AFF" w:rsidRPr="00B55A5C">
        <w:rPr>
          <w:rFonts w:asciiTheme="minorHAnsi" w:hAnsiTheme="minorHAnsi"/>
          <w:b w:val="0"/>
          <w:sz w:val="24"/>
        </w:rPr>
        <w:t>C</w:t>
      </w:r>
      <w:r w:rsidRPr="00B55A5C">
        <w:rPr>
          <w:rFonts w:asciiTheme="minorHAnsi" w:hAnsiTheme="minorHAnsi"/>
          <w:b w:val="0"/>
          <w:sz w:val="24"/>
        </w:rPr>
        <w:t>ity locale also shows a shortage of teachers</w:t>
      </w:r>
      <w:r w:rsidR="006731F1" w:rsidRPr="00B55A5C">
        <w:rPr>
          <w:rFonts w:asciiTheme="minorHAnsi" w:hAnsiTheme="minorHAnsi"/>
          <w:b w:val="0"/>
          <w:sz w:val="24"/>
        </w:rPr>
        <w:t>,</w:t>
      </w:r>
      <w:r w:rsidRPr="00B55A5C">
        <w:rPr>
          <w:rFonts w:asciiTheme="minorHAnsi" w:hAnsiTheme="minorHAnsi"/>
          <w:b w:val="0"/>
          <w:sz w:val="24"/>
        </w:rPr>
        <w:t xml:space="preserve"> which grows over time, as many of the largest urban districts are located both in </w:t>
      </w:r>
      <w:r w:rsidR="00090E9F" w:rsidRPr="00B55A5C">
        <w:rPr>
          <w:rFonts w:asciiTheme="minorHAnsi" w:hAnsiTheme="minorHAnsi"/>
          <w:b w:val="0"/>
          <w:sz w:val="24"/>
        </w:rPr>
        <w:t>C</w:t>
      </w:r>
      <w:r w:rsidRPr="00B55A5C">
        <w:rPr>
          <w:rFonts w:asciiTheme="minorHAnsi" w:hAnsiTheme="minorHAnsi"/>
          <w:b w:val="0"/>
          <w:sz w:val="24"/>
        </w:rPr>
        <w:t xml:space="preserve">ity locales and the Commissioner’s District region. As with the Commissioner’s Districts, </w:t>
      </w:r>
      <w:r w:rsidR="00090E9F" w:rsidRPr="00B55A5C">
        <w:rPr>
          <w:rFonts w:asciiTheme="minorHAnsi" w:hAnsiTheme="minorHAnsi"/>
          <w:b w:val="0"/>
          <w:sz w:val="24"/>
        </w:rPr>
        <w:t>C</w:t>
      </w:r>
      <w:r w:rsidRPr="00B55A5C">
        <w:rPr>
          <w:rFonts w:asciiTheme="minorHAnsi" w:hAnsiTheme="minorHAnsi"/>
          <w:b w:val="0"/>
          <w:sz w:val="24"/>
        </w:rPr>
        <w:t xml:space="preserve">ity locales tend to have districts serving students with relatively higher needs. Again, this makes the shortage of teachers in these areas particularly concerning; while three out of the four locales show expected surplus trends, the one locale </w:t>
      </w:r>
      <w:r w:rsidR="006731F1" w:rsidRPr="00B55A5C">
        <w:rPr>
          <w:rFonts w:asciiTheme="minorHAnsi" w:hAnsiTheme="minorHAnsi"/>
          <w:b w:val="0"/>
          <w:sz w:val="24"/>
        </w:rPr>
        <w:t xml:space="preserve">that </w:t>
      </w:r>
      <w:r w:rsidRPr="00B55A5C">
        <w:rPr>
          <w:rFonts w:asciiTheme="minorHAnsi" w:hAnsiTheme="minorHAnsi"/>
          <w:b w:val="0"/>
          <w:sz w:val="24"/>
        </w:rPr>
        <w:t>is expected to have shortages over the foreseeable future is where a shortage might have the largest impact on those students with higher needs.</w:t>
      </w:r>
    </w:p>
    <w:p w:rsidR="00C157EC" w:rsidRPr="009C6A89" w:rsidRDefault="006731F1" w:rsidP="00B55A5C">
      <w:pPr>
        <w:pStyle w:val="ExhibitTitle"/>
        <w:spacing w:before="120"/>
      </w:pPr>
      <w:proofErr w:type="gramStart"/>
      <w:r>
        <w:t>Table 2</w:t>
      </w:r>
      <w:r w:rsidR="00DB10EA">
        <w:t>3</w:t>
      </w:r>
      <w:r w:rsidR="00C157EC" w:rsidRPr="006D0A7C">
        <w:t>.</w:t>
      </w:r>
      <w:proofErr w:type="gramEnd"/>
      <w:r w:rsidR="00C157EC" w:rsidRPr="006D0A7C">
        <w:t xml:space="preserve"> </w:t>
      </w:r>
      <w:r w:rsidR="00090E9F">
        <w:t xml:space="preserve">Relative </w:t>
      </w:r>
      <w:r w:rsidR="00C157EC">
        <w:t xml:space="preserve">Difference </w:t>
      </w:r>
      <w:proofErr w:type="gramStart"/>
      <w:r w:rsidR="00C157EC">
        <w:t>Between</w:t>
      </w:r>
      <w:proofErr w:type="gramEnd"/>
      <w:r w:rsidR="00C157EC">
        <w:t xml:space="preserve"> Supply and Demand by Locale</w:t>
      </w:r>
      <w:r w:rsidR="00E80E14">
        <w:t>, 2014–15</w:t>
      </w:r>
      <w:r w:rsidR="0092042A">
        <w:t xml:space="preserve"> Through </w:t>
      </w:r>
      <w:r w:rsidR="00E80E14">
        <w:t>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004"/>
        <w:gridCol w:w="1897"/>
        <w:gridCol w:w="1897"/>
        <w:gridCol w:w="1897"/>
        <w:gridCol w:w="1895"/>
      </w:tblGrid>
      <w:tr w:rsidR="009C6A89" w:rsidTr="00434994">
        <w:trPr>
          <w:cnfStyle w:val="100000000000"/>
          <w:trHeight w:val="575"/>
        </w:trPr>
        <w:tc>
          <w:tcPr>
            <w:tcW w:w="1045" w:type="pct"/>
            <w:tcBorders>
              <w:bottom w:val="single" w:sz="4" w:space="0" w:color="auto"/>
            </w:tcBorders>
          </w:tcPr>
          <w:p w:rsidR="00C157EC" w:rsidRPr="00CE5007" w:rsidRDefault="00C157EC" w:rsidP="00191C0D">
            <w:pPr>
              <w:pStyle w:val="TableText"/>
              <w:jc w:val="center"/>
            </w:pPr>
            <w:r>
              <w:t>Year</w:t>
            </w:r>
          </w:p>
        </w:tc>
        <w:tc>
          <w:tcPr>
            <w:tcW w:w="989" w:type="pct"/>
            <w:tcBorders>
              <w:bottom w:val="single" w:sz="4" w:space="0" w:color="auto"/>
            </w:tcBorders>
          </w:tcPr>
          <w:p w:rsidR="00C157EC" w:rsidRPr="00CE5007" w:rsidRDefault="00C157EC" w:rsidP="009C6A89">
            <w:pPr>
              <w:pStyle w:val="TableTextCentered"/>
            </w:pPr>
            <w:r w:rsidRPr="00CE5007">
              <w:t>City</w:t>
            </w:r>
          </w:p>
        </w:tc>
        <w:tc>
          <w:tcPr>
            <w:tcW w:w="989" w:type="pct"/>
            <w:tcBorders>
              <w:bottom w:val="single" w:sz="4" w:space="0" w:color="auto"/>
            </w:tcBorders>
          </w:tcPr>
          <w:p w:rsidR="00C157EC" w:rsidRPr="00CE5007" w:rsidRDefault="00C157EC" w:rsidP="009C6A89">
            <w:pPr>
              <w:pStyle w:val="TableTextCentered"/>
            </w:pPr>
            <w:r w:rsidRPr="00CE5007">
              <w:t>Suburb</w:t>
            </w:r>
          </w:p>
        </w:tc>
        <w:tc>
          <w:tcPr>
            <w:tcW w:w="989" w:type="pct"/>
            <w:tcBorders>
              <w:bottom w:val="single" w:sz="4" w:space="0" w:color="auto"/>
            </w:tcBorders>
          </w:tcPr>
          <w:p w:rsidR="00C157EC" w:rsidRPr="00CE5007" w:rsidRDefault="00C157EC" w:rsidP="009C6A89">
            <w:pPr>
              <w:pStyle w:val="TableTextCentered"/>
            </w:pPr>
            <w:r w:rsidRPr="00CE5007">
              <w:t>Town</w:t>
            </w:r>
          </w:p>
        </w:tc>
        <w:tc>
          <w:tcPr>
            <w:tcW w:w="989" w:type="pct"/>
            <w:tcBorders>
              <w:bottom w:val="single" w:sz="4" w:space="0" w:color="auto"/>
            </w:tcBorders>
          </w:tcPr>
          <w:p w:rsidR="00C157EC" w:rsidRPr="00CE5007" w:rsidRDefault="00C157EC" w:rsidP="009C6A89">
            <w:pPr>
              <w:pStyle w:val="TableTextCentered"/>
            </w:pPr>
            <w:r w:rsidRPr="00CE5007">
              <w:t>Rural</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201</w:t>
            </w:r>
            <w:r>
              <w:t>4</w:t>
            </w:r>
            <w:r w:rsidR="006731F1">
              <w:t>–</w:t>
            </w:r>
            <w:r>
              <w:t>1</w:t>
            </w:r>
            <w:r w:rsidRPr="00807FB9">
              <w:t>5</w:t>
            </w:r>
          </w:p>
        </w:tc>
        <w:tc>
          <w:tcPr>
            <w:tcW w:w="989" w:type="pct"/>
            <w:tcBorders>
              <w:bottom w:val="single" w:sz="4" w:space="0" w:color="auto"/>
            </w:tcBorders>
          </w:tcPr>
          <w:p w:rsidR="00C157EC" w:rsidRPr="00CE5007" w:rsidRDefault="00C157EC" w:rsidP="009C6A89">
            <w:pPr>
              <w:pStyle w:val="TableTextCentered"/>
            </w:pPr>
            <w:r w:rsidRPr="00CE5007">
              <w:t>-2.82</w:t>
            </w:r>
          </w:p>
        </w:tc>
        <w:tc>
          <w:tcPr>
            <w:tcW w:w="989" w:type="pct"/>
            <w:tcBorders>
              <w:bottom w:val="single" w:sz="4" w:space="0" w:color="auto"/>
            </w:tcBorders>
          </w:tcPr>
          <w:p w:rsidR="00C157EC" w:rsidRPr="00CE5007" w:rsidRDefault="006343EB" w:rsidP="009C6A89">
            <w:pPr>
              <w:pStyle w:val="TableTextCentered"/>
            </w:pPr>
            <w:r>
              <w:t>0</w:t>
            </w:r>
            <w:r w:rsidR="00C157EC" w:rsidRPr="00CE5007">
              <w:t>.06</w:t>
            </w:r>
          </w:p>
        </w:tc>
        <w:tc>
          <w:tcPr>
            <w:tcW w:w="989" w:type="pct"/>
            <w:tcBorders>
              <w:bottom w:val="single" w:sz="4" w:space="0" w:color="auto"/>
            </w:tcBorders>
          </w:tcPr>
          <w:p w:rsidR="00C157EC" w:rsidRPr="00CE5007" w:rsidRDefault="00C157EC" w:rsidP="009C6A89">
            <w:pPr>
              <w:pStyle w:val="TableTextCentered"/>
            </w:pPr>
            <w:r w:rsidRPr="00CE5007">
              <w:t>1.51</w:t>
            </w:r>
          </w:p>
        </w:tc>
        <w:tc>
          <w:tcPr>
            <w:tcW w:w="989" w:type="pct"/>
            <w:tcBorders>
              <w:bottom w:val="single" w:sz="4" w:space="0" w:color="auto"/>
            </w:tcBorders>
          </w:tcPr>
          <w:p w:rsidR="00C157EC" w:rsidRPr="00CE5007" w:rsidRDefault="00C157EC" w:rsidP="009C6A89">
            <w:pPr>
              <w:pStyle w:val="TableTextCentered"/>
            </w:pPr>
            <w:r w:rsidRPr="00CE5007">
              <w:t>3.9</w:t>
            </w:r>
            <w:r w:rsidR="006343EB">
              <w:t>0</w:t>
            </w:r>
          </w:p>
        </w:tc>
      </w:tr>
      <w:tr w:rsidR="00C157EC" w:rsidTr="00191C0D">
        <w:tc>
          <w:tcPr>
            <w:tcW w:w="1045" w:type="pct"/>
            <w:tcBorders>
              <w:bottom w:val="single" w:sz="4" w:space="0" w:color="auto"/>
            </w:tcBorders>
          </w:tcPr>
          <w:p w:rsidR="00C157EC" w:rsidRPr="00CE5007" w:rsidRDefault="00C157EC" w:rsidP="00191C0D">
            <w:pPr>
              <w:pStyle w:val="TableText"/>
              <w:jc w:val="center"/>
            </w:pPr>
            <w:r w:rsidRPr="00807FB9">
              <w:t>201</w:t>
            </w:r>
            <w:r>
              <w:t>5</w:t>
            </w:r>
            <w:r w:rsidR="006731F1">
              <w:t>–</w:t>
            </w:r>
            <w:r>
              <w:t>1</w:t>
            </w:r>
            <w:r w:rsidRPr="00807FB9">
              <w:t>6</w:t>
            </w:r>
          </w:p>
        </w:tc>
        <w:tc>
          <w:tcPr>
            <w:tcW w:w="989" w:type="pct"/>
            <w:tcBorders>
              <w:bottom w:val="single" w:sz="4" w:space="0" w:color="auto"/>
            </w:tcBorders>
          </w:tcPr>
          <w:p w:rsidR="00C157EC" w:rsidRPr="00CE5007" w:rsidRDefault="00C157EC" w:rsidP="009C6A89">
            <w:pPr>
              <w:pStyle w:val="TableTextCentered"/>
            </w:pPr>
            <w:r w:rsidRPr="00CE5007">
              <w:t>-3.25</w:t>
            </w:r>
          </w:p>
        </w:tc>
        <w:tc>
          <w:tcPr>
            <w:tcW w:w="989" w:type="pct"/>
            <w:tcBorders>
              <w:bottom w:val="single" w:sz="4" w:space="0" w:color="auto"/>
            </w:tcBorders>
          </w:tcPr>
          <w:p w:rsidR="00C157EC" w:rsidRPr="00CE5007" w:rsidRDefault="006343EB" w:rsidP="009C6A89">
            <w:pPr>
              <w:pStyle w:val="TableTextCentered"/>
            </w:pPr>
            <w:r>
              <w:t>0</w:t>
            </w:r>
            <w:r w:rsidR="00C157EC" w:rsidRPr="00CE5007">
              <w:t>.53</w:t>
            </w:r>
          </w:p>
        </w:tc>
        <w:tc>
          <w:tcPr>
            <w:tcW w:w="989" w:type="pct"/>
            <w:tcBorders>
              <w:bottom w:val="single" w:sz="4" w:space="0" w:color="auto"/>
            </w:tcBorders>
          </w:tcPr>
          <w:p w:rsidR="00C157EC" w:rsidRPr="00CE5007" w:rsidRDefault="00C157EC" w:rsidP="009C6A89">
            <w:pPr>
              <w:pStyle w:val="TableTextCentered"/>
            </w:pPr>
            <w:r w:rsidRPr="00CE5007">
              <w:t>2.63</w:t>
            </w:r>
          </w:p>
        </w:tc>
        <w:tc>
          <w:tcPr>
            <w:tcW w:w="989" w:type="pct"/>
            <w:tcBorders>
              <w:bottom w:val="single" w:sz="4" w:space="0" w:color="auto"/>
            </w:tcBorders>
          </w:tcPr>
          <w:p w:rsidR="00C157EC" w:rsidRPr="00CE5007" w:rsidRDefault="00C157EC" w:rsidP="009C6A89">
            <w:pPr>
              <w:pStyle w:val="TableTextCentered"/>
            </w:pPr>
            <w:r w:rsidRPr="00CE5007">
              <w:t>4.72</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201</w:t>
            </w:r>
            <w:r>
              <w:t>6</w:t>
            </w:r>
            <w:r w:rsidR="006731F1">
              <w:t>–</w:t>
            </w:r>
            <w:r>
              <w:t>1</w:t>
            </w:r>
            <w:r w:rsidRPr="00807FB9">
              <w:t>7</w:t>
            </w:r>
          </w:p>
        </w:tc>
        <w:tc>
          <w:tcPr>
            <w:tcW w:w="989" w:type="pct"/>
            <w:tcBorders>
              <w:bottom w:val="single" w:sz="4" w:space="0" w:color="auto"/>
            </w:tcBorders>
          </w:tcPr>
          <w:p w:rsidR="00C157EC" w:rsidRPr="00CE5007" w:rsidRDefault="00C157EC" w:rsidP="009C6A89">
            <w:pPr>
              <w:pStyle w:val="TableTextCentered"/>
            </w:pPr>
            <w:r w:rsidRPr="00CE5007">
              <w:t>-3.6</w:t>
            </w:r>
            <w:r w:rsidR="006343EB">
              <w:t>0</w:t>
            </w:r>
          </w:p>
        </w:tc>
        <w:tc>
          <w:tcPr>
            <w:tcW w:w="989" w:type="pct"/>
            <w:tcBorders>
              <w:bottom w:val="single" w:sz="4" w:space="0" w:color="auto"/>
            </w:tcBorders>
          </w:tcPr>
          <w:p w:rsidR="00C157EC" w:rsidRPr="00CE5007" w:rsidRDefault="00C157EC" w:rsidP="009C6A89">
            <w:pPr>
              <w:pStyle w:val="TableTextCentered"/>
            </w:pPr>
            <w:r w:rsidRPr="00CE5007">
              <w:t>1.12</w:t>
            </w:r>
          </w:p>
        </w:tc>
        <w:tc>
          <w:tcPr>
            <w:tcW w:w="989" w:type="pct"/>
            <w:tcBorders>
              <w:bottom w:val="single" w:sz="4" w:space="0" w:color="auto"/>
            </w:tcBorders>
          </w:tcPr>
          <w:p w:rsidR="00C157EC" w:rsidRPr="00CE5007" w:rsidRDefault="00C157EC" w:rsidP="009C6A89">
            <w:pPr>
              <w:pStyle w:val="TableTextCentered"/>
            </w:pPr>
            <w:r w:rsidRPr="00CE5007">
              <w:t>3.48</w:t>
            </w:r>
          </w:p>
        </w:tc>
        <w:tc>
          <w:tcPr>
            <w:tcW w:w="989" w:type="pct"/>
            <w:tcBorders>
              <w:bottom w:val="single" w:sz="4" w:space="0" w:color="auto"/>
            </w:tcBorders>
          </w:tcPr>
          <w:p w:rsidR="00C157EC" w:rsidRPr="00CE5007" w:rsidRDefault="00C157EC" w:rsidP="009C6A89">
            <w:pPr>
              <w:pStyle w:val="TableTextCentered"/>
            </w:pPr>
            <w:r w:rsidRPr="00CE5007">
              <w:t>5.57</w:t>
            </w:r>
          </w:p>
        </w:tc>
      </w:tr>
      <w:tr w:rsidR="00C157EC" w:rsidTr="00191C0D">
        <w:tc>
          <w:tcPr>
            <w:tcW w:w="1045" w:type="pct"/>
            <w:tcBorders>
              <w:bottom w:val="single" w:sz="4" w:space="0" w:color="auto"/>
            </w:tcBorders>
          </w:tcPr>
          <w:p w:rsidR="00C157EC" w:rsidRPr="00CE5007" w:rsidRDefault="00C157EC" w:rsidP="00191C0D">
            <w:pPr>
              <w:pStyle w:val="TableText"/>
              <w:jc w:val="center"/>
            </w:pPr>
            <w:r w:rsidRPr="00807FB9">
              <w:t>201</w:t>
            </w:r>
            <w:r>
              <w:t>7</w:t>
            </w:r>
            <w:r w:rsidR="006731F1">
              <w:t>–</w:t>
            </w:r>
            <w:r>
              <w:t>1</w:t>
            </w:r>
            <w:r w:rsidRPr="00807FB9">
              <w:t>8</w:t>
            </w:r>
          </w:p>
        </w:tc>
        <w:tc>
          <w:tcPr>
            <w:tcW w:w="989" w:type="pct"/>
            <w:tcBorders>
              <w:bottom w:val="single" w:sz="4" w:space="0" w:color="auto"/>
            </w:tcBorders>
          </w:tcPr>
          <w:p w:rsidR="00C157EC" w:rsidRPr="00CE5007" w:rsidRDefault="00C157EC" w:rsidP="009C6A89">
            <w:pPr>
              <w:pStyle w:val="TableTextCentered"/>
            </w:pPr>
            <w:r w:rsidRPr="00CE5007">
              <w:t>-4.03</w:t>
            </w:r>
          </w:p>
        </w:tc>
        <w:tc>
          <w:tcPr>
            <w:tcW w:w="989" w:type="pct"/>
            <w:tcBorders>
              <w:bottom w:val="single" w:sz="4" w:space="0" w:color="auto"/>
            </w:tcBorders>
          </w:tcPr>
          <w:p w:rsidR="00C157EC" w:rsidRPr="00CE5007" w:rsidRDefault="00C157EC" w:rsidP="009C6A89">
            <w:pPr>
              <w:pStyle w:val="TableTextCentered"/>
            </w:pPr>
            <w:r w:rsidRPr="00CE5007">
              <w:t>1.62</w:t>
            </w:r>
          </w:p>
        </w:tc>
        <w:tc>
          <w:tcPr>
            <w:tcW w:w="989" w:type="pct"/>
            <w:tcBorders>
              <w:bottom w:val="single" w:sz="4" w:space="0" w:color="auto"/>
            </w:tcBorders>
          </w:tcPr>
          <w:p w:rsidR="00C157EC" w:rsidRPr="00CE5007" w:rsidRDefault="00C157EC" w:rsidP="009C6A89">
            <w:pPr>
              <w:pStyle w:val="TableTextCentered"/>
            </w:pPr>
            <w:r w:rsidRPr="00CE5007">
              <w:t>4.43</w:t>
            </w:r>
          </w:p>
        </w:tc>
        <w:tc>
          <w:tcPr>
            <w:tcW w:w="989" w:type="pct"/>
            <w:tcBorders>
              <w:bottom w:val="single" w:sz="4" w:space="0" w:color="auto"/>
            </w:tcBorders>
          </w:tcPr>
          <w:p w:rsidR="00C157EC" w:rsidRPr="00CE5007" w:rsidRDefault="00C157EC" w:rsidP="009C6A89">
            <w:pPr>
              <w:pStyle w:val="TableTextCentered"/>
            </w:pPr>
            <w:r w:rsidRPr="00CE5007">
              <w:t>6.22</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201</w:t>
            </w:r>
            <w:r>
              <w:t>8</w:t>
            </w:r>
            <w:r w:rsidR="006731F1">
              <w:t>–</w:t>
            </w:r>
            <w:r>
              <w:t>1</w:t>
            </w:r>
            <w:r w:rsidRPr="00807FB9">
              <w:t>9</w:t>
            </w:r>
          </w:p>
        </w:tc>
        <w:tc>
          <w:tcPr>
            <w:tcW w:w="989" w:type="pct"/>
            <w:tcBorders>
              <w:bottom w:val="single" w:sz="4" w:space="0" w:color="auto"/>
            </w:tcBorders>
          </w:tcPr>
          <w:p w:rsidR="00C157EC" w:rsidRPr="00CE5007" w:rsidRDefault="00C157EC" w:rsidP="009C6A89">
            <w:pPr>
              <w:pStyle w:val="TableTextCentered"/>
            </w:pPr>
            <w:r w:rsidRPr="00CE5007">
              <w:t>-4.27</w:t>
            </w:r>
          </w:p>
        </w:tc>
        <w:tc>
          <w:tcPr>
            <w:tcW w:w="989" w:type="pct"/>
            <w:tcBorders>
              <w:bottom w:val="single" w:sz="4" w:space="0" w:color="auto"/>
            </w:tcBorders>
          </w:tcPr>
          <w:p w:rsidR="00C157EC" w:rsidRPr="00CE5007" w:rsidRDefault="00C157EC" w:rsidP="009C6A89">
            <w:pPr>
              <w:pStyle w:val="TableTextCentered"/>
            </w:pPr>
            <w:r w:rsidRPr="00CE5007">
              <w:t>2.23</w:t>
            </w:r>
          </w:p>
        </w:tc>
        <w:tc>
          <w:tcPr>
            <w:tcW w:w="989" w:type="pct"/>
            <w:tcBorders>
              <w:bottom w:val="single" w:sz="4" w:space="0" w:color="auto"/>
            </w:tcBorders>
          </w:tcPr>
          <w:p w:rsidR="00C157EC" w:rsidRPr="00CE5007" w:rsidRDefault="00C157EC" w:rsidP="009C6A89">
            <w:pPr>
              <w:pStyle w:val="TableTextCentered"/>
            </w:pPr>
            <w:r w:rsidRPr="00CE5007">
              <w:t>5.49</w:t>
            </w:r>
          </w:p>
        </w:tc>
        <w:tc>
          <w:tcPr>
            <w:tcW w:w="989" w:type="pct"/>
            <w:tcBorders>
              <w:bottom w:val="single" w:sz="4" w:space="0" w:color="auto"/>
            </w:tcBorders>
          </w:tcPr>
          <w:p w:rsidR="00C157EC" w:rsidRPr="00CE5007" w:rsidRDefault="00C157EC" w:rsidP="009C6A89">
            <w:pPr>
              <w:pStyle w:val="TableTextCentered"/>
            </w:pPr>
            <w:r w:rsidRPr="00CE5007">
              <w:t>7.29</w:t>
            </w:r>
          </w:p>
        </w:tc>
      </w:tr>
      <w:tr w:rsidR="00C157EC" w:rsidTr="00191C0D">
        <w:tc>
          <w:tcPr>
            <w:tcW w:w="1045" w:type="pct"/>
            <w:tcBorders>
              <w:bottom w:val="single" w:sz="4" w:space="0" w:color="auto"/>
            </w:tcBorders>
          </w:tcPr>
          <w:p w:rsidR="00C157EC" w:rsidRPr="00CE5007" w:rsidRDefault="00C157EC" w:rsidP="00191C0D">
            <w:pPr>
              <w:pStyle w:val="TableText"/>
              <w:jc w:val="center"/>
            </w:pPr>
            <w:r w:rsidRPr="00807FB9">
              <w:t>20</w:t>
            </w:r>
            <w:r>
              <w:t>19</w:t>
            </w:r>
            <w:r w:rsidR="006731F1">
              <w:t>–</w:t>
            </w:r>
            <w:r w:rsidRPr="00807FB9">
              <w:t>20</w:t>
            </w:r>
          </w:p>
        </w:tc>
        <w:tc>
          <w:tcPr>
            <w:tcW w:w="989" w:type="pct"/>
            <w:tcBorders>
              <w:bottom w:val="single" w:sz="4" w:space="0" w:color="auto"/>
            </w:tcBorders>
          </w:tcPr>
          <w:p w:rsidR="00C157EC" w:rsidRPr="00CE5007" w:rsidRDefault="00C157EC" w:rsidP="009C6A89">
            <w:pPr>
              <w:pStyle w:val="TableTextCentered"/>
            </w:pPr>
            <w:r w:rsidRPr="00CE5007">
              <w:t>-4.48</w:t>
            </w:r>
          </w:p>
        </w:tc>
        <w:tc>
          <w:tcPr>
            <w:tcW w:w="989" w:type="pct"/>
            <w:tcBorders>
              <w:bottom w:val="single" w:sz="4" w:space="0" w:color="auto"/>
            </w:tcBorders>
          </w:tcPr>
          <w:p w:rsidR="00C157EC" w:rsidRPr="00CE5007" w:rsidRDefault="00C157EC" w:rsidP="009C6A89">
            <w:pPr>
              <w:pStyle w:val="TableTextCentered"/>
            </w:pPr>
            <w:r w:rsidRPr="00CE5007">
              <w:t>2.81</w:t>
            </w:r>
          </w:p>
        </w:tc>
        <w:tc>
          <w:tcPr>
            <w:tcW w:w="989" w:type="pct"/>
            <w:tcBorders>
              <w:bottom w:val="single" w:sz="4" w:space="0" w:color="auto"/>
            </w:tcBorders>
          </w:tcPr>
          <w:p w:rsidR="00C157EC" w:rsidRPr="00CE5007" w:rsidRDefault="00C157EC" w:rsidP="009C6A89">
            <w:pPr>
              <w:pStyle w:val="TableTextCentered"/>
            </w:pPr>
            <w:r w:rsidRPr="00CE5007">
              <w:t>6.36</w:t>
            </w:r>
          </w:p>
        </w:tc>
        <w:tc>
          <w:tcPr>
            <w:tcW w:w="989" w:type="pct"/>
            <w:tcBorders>
              <w:bottom w:val="single" w:sz="4" w:space="0" w:color="auto"/>
            </w:tcBorders>
          </w:tcPr>
          <w:p w:rsidR="00C157EC" w:rsidRPr="00CE5007" w:rsidRDefault="00C157EC" w:rsidP="009C6A89">
            <w:pPr>
              <w:pStyle w:val="TableTextCentered"/>
            </w:pPr>
            <w:r w:rsidRPr="00CE5007">
              <w:t>8.09</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202</w:t>
            </w:r>
            <w:r>
              <w:t>0</w:t>
            </w:r>
            <w:r w:rsidR="006731F1">
              <w:t>–</w:t>
            </w:r>
            <w:r>
              <w:t>2</w:t>
            </w:r>
            <w:r w:rsidRPr="00807FB9">
              <w:t>1</w:t>
            </w:r>
          </w:p>
        </w:tc>
        <w:tc>
          <w:tcPr>
            <w:tcW w:w="989" w:type="pct"/>
            <w:tcBorders>
              <w:bottom w:val="single" w:sz="4" w:space="0" w:color="auto"/>
            </w:tcBorders>
          </w:tcPr>
          <w:p w:rsidR="00C157EC" w:rsidRPr="00CE5007" w:rsidRDefault="00C157EC" w:rsidP="009C6A89">
            <w:pPr>
              <w:pStyle w:val="TableTextCentered"/>
            </w:pPr>
            <w:r w:rsidRPr="00CE5007">
              <w:t>-4.79</w:t>
            </w:r>
          </w:p>
        </w:tc>
        <w:tc>
          <w:tcPr>
            <w:tcW w:w="989" w:type="pct"/>
            <w:tcBorders>
              <w:bottom w:val="single" w:sz="4" w:space="0" w:color="auto"/>
            </w:tcBorders>
          </w:tcPr>
          <w:p w:rsidR="00C157EC" w:rsidRPr="00CE5007" w:rsidRDefault="00C157EC" w:rsidP="009C6A89">
            <w:pPr>
              <w:pStyle w:val="TableTextCentered"/>
            </w:pPr>
            <w:r w:rsidRPr="00CE5007">
              <w:t>3.37</w:t>
            </w:r>
          </w:p>
        </w:tc>
        <w:tc>
          <w:tcPr>
            <w:tcW w:w="989" w:type="pct"/>
            <w:tcBorders>
              <w:bottom w:val="single" w:sz="4" w:space="0" w:color="auto"/>
            </w:tcBorders>
          </w:tcPr>
          <w:p w:rsidR="00C157EC" w:rsidRPr="00CE5007" w:rsidRDefault="00C157EC" w:rsidP="009C6A89">
            <w:pPr>
              <w:pStyle w:val="TableTextCentered"/>
            </w:pPr>
            <w:r w:rsidRPr="00CE5007">
              <w:t>7.44</w:t>
            </w:r>
          </w:p>
        </w:tc>
        <w:tc>
          <w:tcPr>
            <w:tcW w:w="989" w:type="pct"/>
            <w:tcBorders>
              <w:bottom w:val="single" w:sz="4" w:space="0" w:color="auto"/>
            </w:tcBorders>
          </w:tcPr>
          <w:p w:rsidR="00C157EC" w:rsidRPr="00CE5007" w:rsidRDefault="00C157EC" w:rsidP="009C6A89">
            <w:pPr>
              <w:pStyle w:val="TableTextCentered"/>
            </w:pPr>
            <w:r w:rsidRPr="00CE5007">
              <w:t>8.93</w:t>
            </w:r>
          </w:p>
        </w:tc>
      </w:tr>
      <w:tr w:rsidR="00C157EC" w:rsidTr="00191C0D">
        <w:tc>
          <w:tcPr>
            <w:tcW w:w="1045" w:type="pct"/>
            <w:tcBorders>
              <w:bottom w:val="single" w:sz="4" w:space="0" w:color="auto"/>
            </w:tcBorders>
          </w:tcPr>
          <w:p w:rsidR="00C157EC" w:rsidRPr="00CE5007" w:rsidRDefault="00C157EC" w:rsidP="00191C0D">
            <w:pPr>
              <w:pStyle w:val="TableText"/>
              <w:jc w:val="center"/>
            </w:pPr>
            <w:r w:rsidRPr="00807FB9">
              <w:t>202</w:t>
            </w:r>
            <w:r>
              <w:t>1</w:t>
            </w:r>
            <w:r w:rsidR="006731F1">
              <w:t>–</w:t>
            </w:r>
            <w:r>
              <w:t>2</w:t>
            </w:r>
            <w:r w:rsidRPr="00807FB9">
              <w:t>2</w:t>
            </w:r>
          </w:p>
        </w:tc>
        <w:tc>
          <w:tcPr>
            <w:tcW w:w="989" w:type="pct"/>
            <w:tcBorders>
              <w:bottom w:val="single" w:sz="4" w:space="0" w:color="auto"/>
            </w:tcBorders>
          </w:tcPr>
          <w:p w:rsidR="00C157EC" w:rsidRPr="00CE5007" w:rsidRDefault="00C157EC" w:rsidP="009C6A89">
            <w:pPr>
              <w:pStyle w:val="TableTextCentered"/>
            </w:pPr>
            <w:r w:rsidRPr="00CE5007">
              <w:t>-4.97</w:t>
            </w:r>
          </w:p>
        </w:tc>
        <w:tc>
          <w:tcPr>
            <w:tcW w:w="989" w:type="pct"/>
            <w:tcBorders>
              <w:bottom w:val="single" w:sz="4" w:space="0" w:color="auto"/>
            </w:tcBorders>
          </w:tcPr>
          <w:p w:rsidR="00C157EC" w:rsidRPr="00CE5007" w:rsidRDefault="00C157EC" w:rsidP="009C6A89">
            <w:pPr>
              <w:pStyle w:val="TableTextCentered"/>
            </w:pPr>
            <w:r w:rsidRPr="00CE5007">
              <w:t>4.02</w:t>
            </w:r>
          </w:p>
        </w:tc>
        <w:tc>
          <w:tcPr>
            <w:tcW w:w="989" w:type="pct"/>
            <w:tcBorders>
              <w:bottom w:val="single" w:sz="4" w:space="0" w:color="auto"/>
            </w:tcBorders>
          </w:tcPr>
          <w:p w:rsidR="00C157EC" w:rsidRPr="00CE5007" w:rsidRDefault="00C157EC" w:rsidP="009C6A89">
            <w:pPr>
              <w:pStyle w:val="TableTextCentered"/>
            </w:pPr>
            <w:r w:rsidRPr="00CE5007">
              <w:t>8.72</w:t>
            </w:r>
          </w:p>
        </w:tc>
        <w:tc>
          <w:tcPr>
            <w:tcW w:w="989" w:type="pct"/>
            <w:tcBorders>
              <w:bottom w:val="single" w:sz="4" w:space="0" w:color="auto"/>
            </w:tcBorders>
          </w:tcPr>
          <w:p w:rsidR="00C157EC" w:rsidRPr="00CE5007" w:rsidRDefault="00C157EC" w:rsidP="009C6A89">
            <w:pPr>
              <w:pStyle w:val="TableTextCentered"/>
            </w:pPr>
            <w:r w:rsidRPr="00CE5007">
              <w:t>9.86</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202</w:t>
            </w:r>
            <w:r>
              <w:t>2</w:t>
            </w:r>
            <w:r w:rsidR="006731F1">
              <w:t>–</w:t>
            </w:r>
            <w:r>
              <w:t>2</w:t>
            </w:r>
            <w:r w:rsidRPr="00807FB9">
              <w:t>3</w:t>
            </w:r>
          </w:p>
        </w:tc>
        <w:tc>
          <w:tcPr>
            <w:tcW w:w="989" w:type="pct"/>
            <w:tcBorders>
              <w:bottom w:val="single" w:sz="4" w:space="0" w:color="auto"/>
            </w:tcBorders>
          </w:tcPr>
          <w:p w:rsidR="00C157EC" w:rsidRPr="00CE5007" w:rsidRDefault="00C157EC" w:rsidP="009C6A89">
            <w:pPr>
              <w:pStyle w:val="TableTextCentered"/>
            </w:pPr>
            <w:r w:rsidRPr="00CE5007">
              <w:t>-5.1</w:t>
            </w:r>
            <w:r w:rsidR="006343EB">
              <w:t>0</w:t>
            </w:r>
          </w:p>
        </w:tc>
        <w:tc>
          <w:tcPr>
            <w:tcW w:w="989" w:type="pct"/>
            <w:tcBorders>
              <w:bottom w:val="single" w:sz="4" w:space="0" w:color="auto"/>
            </w:tcBorders>
          </w:tcPr>
          <w:p w:rsidR="00C157EC" w:rsidRPr="00CE5007" w:rsidRDefault="00C157EC" w:rsidP="009C6A89">
            <w:pPr>
              <w:pStyle w:val="TableTextCentered"/>
            </w:pPr>
            <w:r w:rsidRPr="00CE5007">
              <w:t>4.69</w:t>
            </w:r>
          </w:p>
        </w:tc>
        <w:tc>
          <w:tcPr>
            <w:tcW w:w="989" w:type="pct"/>
            <w:tcBorders>
              <w:bottom w:val="single" w:sz="4" w:space="0" w:color="auto"/>
            </w:tcBorders>
          </w:tcPr>
          <w:p w:rsidR="00C157EC" w:rsidRPr="00CE5007" w:rsidRDefault="00C157EC" w:rsidP="009C6A89">
            <w:pPr>
              <w:pStyle w:val="TableTextCentered"/>
            </w:pPr>
            <w:r w:rsidRPr="00CE5007">
              <w:t>10.64</w:t>
            </w:r>
          </w:p>
        </w:tc>
        <w:tc>
          <w:tcPr>
            <w:tcW w:w="989" w:type="pct"/>
            <w:tcBorders>
              <w:bottom w:val="single" w:sz="4" w:space="0" w:color="auto"/>
            </w:tcBorders>
          </w:tcPr>
          <w:p w:rsidR="00C157EC" w:rsidRPr="00CE5007" w:rsidRDefault="00C157EC" w:rsidP="009C6A89">
            <w:pPr>
              <w:pStyle w:val="TableTextCentered"/>
            </w:pPr>
            <w:r w:rsidRPr="00CE5007">
              <w:t>10.82</w:t>
            </w:r>
          </w:p>
        </w:tc>
      </w:tr>
      <w:tr w:rsidR="00C157EC" w:rsidTr="00191C0D">
        <w:tc>
          <w:tcPr>
            <w:tcW w:w="1045" w:type="pct"/>
          </w:tcPr>
          <w:p w:rsidR="00C157EC" w:rsidRPr="00CE5007" w:rsidRDefault="00C157EC" w:rsidP="00191C0D">
            <w:pPr>
              <w:pStyle w:val="TableText"/>
              <w:jc w:val="center"/>
            </w:pPr>
            <w:r w:rsidRPr="00807FB9">
              <w:t>202</w:t>
            </w:r>
            <w:r>
              <w:t>3</w:t>
            </w:r>
            <w:r w:rsidR="006731F1">
              <w:t>–</w:t>
            </w:r>
            <w:r>
              <w:t>2</w:t>
            </w:r>
            <w:r w:rsidRPr="00807FB9">
              <w:t>4</w:t>
            </w:r>
          </w:p>
        </w:tc>
        <w:tc>
          <w:tcPr>
            <w:tcW w:w="989" w:type="pct"/>
          </w:tcPr>
          <w:p w:rsidR="00C157EC" w:rsidRPr="00CE5007" w:rsidRDefault="00C157EC" w:rsidP="009C6A89">
            <w:pPr>
              <w:pStyle w:val="TableTextCentered"/>
            </w:pPr>
            <w:r w:rsidRPr="00CE5007">
              <w:t>-5.07</w:t>
            </w:r>
          </w:p>
        </w:tc>
        <w:tc>
          <w:tcPr>
            <w:tcW w:w="989" w:type="pct"/>
          </w:tcPr>
          <w:p w:rsidR="00C157EC" w:rsidRPr="00CE5007" w:rsidRDefault="00C157EC" w:rsidP="009C6A89">
            <w:pPr>
              <w:pStyle w:val="TableTextCentered"/>
            </w:pPr>
            <w:r w:rsidRPr="00CE5007">
              <w:t>5.37</w:t>
            </w:r>
          </w:p>
        </w:tc>
        <w:tc>
          <w:tcPr>
            <w:tcW w:w="989" w:type="pct"/>
          </w:tcPr>
          <w:p w:rsidR="00C157EC" w:rsidRPr="00CE5007" w:rsidRDefault="00C157EC" w:rsidP="009C6A89">
            <w:pPr>
              <w:pStyle w:val="TableTextCentered"/>
            </w:pPr>
            <w:r w:rsidRPr="00CE5007">
              <w:t>12.18</w:t>
            </w:r>
          </w:p>
        </w:tc>
        <w:tc>
          <w:tcPr>
            <w:tcW w:w="989" w:type="pct"/>
          </w:tcPr>
          <w:p w:rsidR="00C157EC" w:rsidRPr="00CE5007" w:rsidRDefault="00C157EC" w:rsidP="009C6A89">
            <w:pPr>
              <w:pStyle w:val="TableTextCentered"/>
            </w:pPr>
            <w:r w:rsidRPr="00CE5007">
              <w:t>11.72</w:t>
            </w:r>
          </w:p>
        </w:tc>
      </w:tr>
    </w:tbl>
    <w:p w:rsidR="006731F1" w:rsidRPr="00B55A5C" w:rsidRDefault="006731F1" w:rsidP="00B55A5C">
      <w:pPr>
        <w:pStyle w:val="BodyText"/>
        <w:spacing w:before="0" w:after="0"/>
        <w:rPr>
          <w:rFonts w:asciiTheme="majorHAnsi" w:hAnsiTheme="majorHAnsi" w:cstheme="majorHAnsi"/>
          <w:i/>
          <w:sz w:val="20"/>
          <w:szCs w:val="20"/>
        </w:rPr>
      </w:pPr>
      <w:r w:rsidRPr="00B55A5C">
        <w:rPr>
          <w:rFonts w:asciiTheme="majorHAnsi" w:hAnsiTheme="majorHAnsi" w:cstheme="majorHAnsi"/>
          <w:i/>
          <w:sz w:val="20"/>
          <w:szCs w:val="20"/>
        </w:rPr>
        <w:t xml:space="preserve">Note. </w:t>
      </w:r>
      <w:r w:rsidR="00090E9F" w:rsidRPr="00B55A5C">
        <w:rPr>
          <w:rFonts w:asciiTheme="majorHAnsi" w:hAnsiTheme="majorHAnsi" w:cstheme="majorHAnsi"/>
          <w:sz w:val="20"/>
          <w:szCs w:val="20"/>
        </w:rPr>
        <w:t>Relative</w:t>
      </w:r>
      <w:r w:rsidRPr="00B55A5C">
        <w:rPr>
          <w:rFonts w:asciiTheme="majorHAnsi" w:hAnsiTheme="majorHAnsi" w:cstheme="majorHAnsi"/>
          <w:sz w:val="20"/>
          <w:szCs w:val="20"/>
        </w:rPr>
        <w:t xml:space="preserve"> </w:t>
      </w:r>
      <w:r w:rsidR="009C29CD" w:rsidRPr="00B55A5C">
        <w:rPr>
          <w:rFonts w:asciiTheme="majorHAnsi" w:hAnsiTheme="majorHAnsi" w:cstheme="majorHAnsi"/>
          <w:sz w:val="20"/>
          <w:szCs w:val="20"/>
        </w:rPr>
        <w:t>D</w:t>
      </w:r>
      <w:r w:rsidRPr="00B55A5C">
        <w:rPr>
          <w:rFonts w:asciiTheme="majorHAnsi" w:hAnsiTheme="majorHAnsi" w:cstheme="majorHAnsi"/>
          <w:sz w:val="20"/>
          <w:szCs w:val="20"/>
        </w:rPr>
        <w:t>ifference = (Supply-Demand)/Demand</w:t>
      </w:r>
      <w:r w:rsidR="008D26E3" w:rsidRPr="00B55A5C">
        <w:rPr>
          <w:rFonts w:asciiTheme="majorHAnsi" w:hAnsiTheme="majorHAnsi" w:cstheme="majorHAnsi"/>
          <w:sz w:val="20"/>
          <w:szCs w:val="20"/>
        </w:rPr>
        <w:t>.</w:t>
      </w:r>
    </w:p>
    <w:p w:rsidR="00C157EC" w:rsidRDefault="00C157EC" w:rsidP="009C6A89">
      <w:pPr>
        <w:pStyle w:val="BodyText"/>
      </w:pPr>
      <w:r>
        <w:t xml:space="preserve">As shown in </w:t>
      </w:r>
      <w:r w:rsidR="006731F1">
        <w:t>Table 2</w:t>
      </w:r>
      <w:r w:rsidR="00DB10EA">
        <w:t>4</w:t>
      </w:r>
      <w:r>
        <w:t xml:space="preserve">, none of the areas surrounding the top five </w:t>
      </w:r>
      <w:r w:rsidR="003F4F9F">
        <w:t xml:space="preserve">SOs </w:t>
      </w:r>
      <w:r>
        <w:t xml:space="preserve">show teacher shortages of any substantial magnitude. The results by </w:t>
      </w:r>
      <w:r w:rsidR="009C4B08">
        <w:t xml:space="preserve">SO </w:t>
      </w:r>
      <w:r>
        <w:t>area do not show particularly large teacher surpluses either, indicating that teacher supply and demand is relatively balanced within these areas.</w:t>
      </w:r>
    </w:p>
    <w:p w:rsidR="00C157EC" w:rsidRPr="009C6A89" w:rsidRDefault="008D26E3" w:rsidP="00B55A5C">
      <w:pPr>
        <w:pStyle w:val="ExhibitTitle"/>
        <w:spacing w:before="120"/>
      </w:pPr>
      <w:proofErr w:type="gramStart"/>
      <w:r>
        <w:t>Table 2</w:t>
      </w:r>
      <w:r w:rsidR="00DB10EA">
        <w:t>4</w:t>
      </w:r>
      <w:r w:rsidR="00C157EC" w:rsidRPr="006D0A7C">
        <w:t>.</w:t>
      </w:r>
      <w:proofErr w:type="gramEnd"/>
      <w:r w:rsidR="00C157EC" w:rsidRPr="006D0A7C">
        <w:t xml:space="preserve"> </w:t>
      </w:r>
      <w:r w:rsidR="00090E9F">
        <w:t xml:space="preserve">Relative </w:t>
      </w:r>
      <w:r w:rsidR="00C157EC">
        <w:t>Difference</w:t>
      </w:r>
      <w:r>
        <w:t xml:space="preserve"> </w:t>
      </w:r>
      <w:proofErr w:type="gramStart"/>
      <w:r w:rsidR="00C157EC">
        <w:t>Between</w:t>
      </w:r>
      <w:proofErr w:type="gramEnd"/>
      <w:r w:rsidR="00C157EC">
        <w:t xml:space="preserve"> Supply and Demand by </w:t>
      </w:r>
      <w:r w:rsidR="009C4B08">
        <w:t xml:space="preserve">SO </w:t>
      </w:r>
      <w:r w:rsidR="00C157EC">
        <w:t>Area</w:t>
      </w:r>
      <w:r w:rsidR="00E80E14">
        <w:t>, 2014–15</w:t>
      </w:r>
      <w:r w:rsidR="0092042A">
        <w:t xml:space="preserve"> Through </w:t>
      </w:r>
      <w:r w:rsidR="00E80E14">
        <w:t>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005"/>
        <w:gridCol w:w="1445"/>
        <w:gridCol w:w="1535"/>
        <w:gridCol w:w="1535"/>
        <w:gridCol w:w="1535"/>
        <w:gridCol w:w="1535"/>
      </w:tblGrid>
      <w:tr w:rsidR="009C6A89" w:rsidTr="00511F2C">
        <w:trPr>
          <w:cnfStyle w:val="100000000000"/>
          <w:trHeight w:val="863"/>
        </w:trPr>
        <w:tc>
          <w:tcPr>
            <w:tcW w:w="1045" w:type="pct"/>
            <w:tcBorders>
              <w:bottom w:val="single" w:sz="4" w:space="0" w:color="auto"/>
            </w:tcBorders>
          </w:tcPr>
          <w:p w:rsidR="00C157EC" w:rsidRPr="00CE5007" w:rsidRDefault="00C157EC" w:rsidP="00191C0D">
            <w:pPr>
              <w:pStyle w:val="TableText"/>
              <w:jc w:val="center"/>
            </w:pPr>
            <w:r>
              <w:t>Year</w:t>
            </w:r>
          </w:p>
        </w:tc>
        <w:tc>
          <w:tcPr>
            <w:tcW w:w="753" w:type="pct"/>
            <w:tcBorders>
              <w:bottom w:val="single" w:sz="4" w:space="0" w:color="auto"/>
            </w:tcBorders>
          </w:tcPr>
          <w:p w:rsidR="00C157EC" w:rsidRPr="00CE5007" w:rsidRDefault="00C157EC" w:rsidP="009C6A89">
            <w:pPr>
              <w:pStyle w:val="TableTextCentered"/>
            </w:pPr>
            <w:r w:rsidRPr="00CE5007">
              <w:t>American International</w:t>
            </w:r>
          </w:p>
        </w:tc>
        <w:tc>
          <w:tcPr>
            <w:tcW w:w="800" w:type="pct"/>
            <w:tcBorders>
              <w:bottom w:val="single" w:sz="4" w:space="0" w:color="auto"/>
            </w:tcBorders>
          </w:tcPr>
          <w:p w:rsidR="00C157EC" w:rsidRPr="00CE5007" w:rsidRDefault="00C157EC" w:rsidP="009C6A89">
            <w:pPr>
              <w:pStyle w:val="TableTextCentered"/>
            </w:pPr>
            <w:r w:rsidRPr="00CE5007">
              <w:t>Boston U</w:t>
            </w:r>
            <w:r w:rsidR="008D26E3">
              <w:t>niversity</w:t>
            </w:r>
          </w:p>
        </w:tc>
        <w:tc>
          <w:tcPr>
            <w:tcW w:w="800" w:type="pct"/>
            <w:tcBorders>
              <w:bottom w:val="single" w:sz="4" w:space="0" w:color="auto"/>
            </w:tcBorders>
          </w:tcPr>
          <w:p w:rsidR="00C157EC" w:rsidRPr="00CE5007" w:rsidRDefault="00C157EC" w:rsidP="009C6A89">
            <w:pPr>
              <w:pStyle w:val="TableTextCentered"/>
            </w:pPr>
            <w:r w:rsidRPr="00CE5007">
              <w:t>Bridgewater State</w:t>
            </w:r>
          </w:p>
        </w:tc>
        <w:tc>
          <w:tcPr>
            <w:tcW w:w="800" w:type="pct"/>
            <w:tcBorders>
              <w:bottom w:val="single" w:sz="4" w:space="0" w:color="auto"/>
            </w:tcBorders>
          </w:tcPr>
          <w:p w:rsidR="00C157EC" w:rsidRPr="00CE5007" w:rsidRDefault="00C157EC" w:rsidP="003C50C4">
            <w:pPr>
              <w:pStyle w:val="TableTextCentered"/>
            </w:pPr>
            <w:r w:rsidRPr="00CE5007">
              <w:t>Sal</w:t>
            </w:r>
            <w:r w:rsidR="003C50C4">
              <w:t>e</w:t>
            </w:r>
            <w:r w:rsidRPr="00CE5007">
              <w:t>m State</w:t>
            </w:r>
          </w:p>
        </w:tc>
        <w:tc>
          <w:tcPr>
            <w:tcW w:w="800" w:type="pct"/>
            <w:tcBorders>
              <w:bottom w:val="single" w:sz="4" w:space="0" w:color="auto"/>
            </w:tcBorders>
          </w:tcPr>
          <w:p w:rsidR="00C157EC" w:rsidRPr="00CE5007" w:rsidRDefault="00C157EC" w:rsidP="009C6A89">
            <w:pPr>
              <w:pStyle w:val="TableTextCentered"/>
            </w:pPr>
            <w:r w:rsidRPr="00CE5007">
              <w:t>Lesley U</w:t>
            </w:r>
            <w:r w:rsidR="008D26E3">
              <w:t>niversity</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201</w:t>
            </w:r>
            <w:r>
              <w:t>4</w:t>
            </w:r>
            <w:r w:rsidR="008D26E3">
              <w:t>–</w:t>
            </w:r>
            <w:r>
              <w:t>1</w:t>
            </w:r>
            <w:r w:rsidRPr="00807FB9">
              <w:t>5</w:t>
            </w:r>
          </w:p>
        </w:tc>
        <w:tc>
          <w:tcPr>
            <w:tcW w:w="753" w:type="pct"/>
            <w:tcBorders>
              <w:bottom w:val="single" w:sz="4" w:space="0" w:color="auto"/>
            </w:tcBorders>
          </w:tcPr>
          <w:p w:rsidR="00C157EC" w:rsidRPr="00CE5007" w:rsidRDefault="00C157EC" w:rsidP="009C6A89">
            <w:pPr>
              <w:pStyle w:val="TableTextCentered"/>
            </w:pPr>
            <w:r w:rsidRPr="00CE5007">
              <w:t>2.26</w:t>
            </w:r>
          </w:p>
        </w:tc>
        <w:tc>
          <w:tcPr>
            <w:tcW w:w="800" w:type="pct"/>
            <w:tcBorders>
              <w:bottom w:val="single" w:sz="4" w:space="0" w:color="auto"/>
            </w:tcBorders>
          </w:tcPr>
          <w:p w:rsidR="00C157EC" w:rsidRPr="00CE5007" w:rsidRDefault="006343EB" w:rsidP="009C6A89">
            <w:pPr>
              <w:pStyle w:val="TableTextCentered"/>
            </w:pPr>
            <w:r>
              <w:t>0</w:t>
            </w:r>
            <w:r w:rsidR="00C157EC" w:rsidRPr="00CE5007">
              <w:t>.01</w:t>
            </w:r>
          </w:p>
        </w:tc>
        <w:tc>
          <w:tcPr>
            <w:tcW w:w="800" w:type="pct"/>
            <w:tcBorders>
              <w:bottom w:val="single" w:sz="4" w:space="0" w:color="auto"/>
            </w:tcBorders>
          </w:tcPr>
          <w:p w:rsidR="00C157EC" w:rsidRPr="00CE5007" w:rsidRDefault="00C157EC" w:rsidP="009C6A89">
            <w:pPr>
              <w:pStyle w:val="TableTextCentered"/>
            </w:pPr>
            <w:r w:rsidRPr="00CE5007">
              <w:t>-1.03</w:t>
            </w:r>
          </w:p>
        </w:tc>
        <w:tc>
          <w:tcPr>
            <w:tcW w:w="800" w:type="pct"/>
            <w:tcBorders>
              <w:bottom w:val="single" w:sz="4" w:space="0" w:color="auto"/>
            </w:tcBorders>
          </w:tcPr>
          <w:p w:rsidR="00C157EC" w:rsidRPr="00CE5007" w:rsidRDefault="00C157EC" w:rsidP="009C6A89">
            <w:pPr>
              <w:pStyle w:val="TableTextCentered"/>
            </w:pPr>
            <w:r w:rsidRPr="00CE5007">
              <w:t>-1.62</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.91</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201</w:t>
            </w:r>
            <w:r>
              <w:t>5</w:t>
            </w:r>
            <w:r w:rsidR="008D26E3">
              <w:t>–</w:t>
            </w:r>
            <w:r>
              <w:t>1</w:t>
            </w:r>
            <w:r w:rsidRPr="00807FB9">
              <w:t>6</w:t>
            </w:r>
          </w:p>
        </w:tc>
        <w:tc>
          <w:tcPr>
            <w:tcW w:w="753" w:type="pct"/>
            <w:tcBorders>
              <w:bottom w:val="single" w:sz="4" w:space="0" w:color="auto"/>
            </w:tcBorders>
          </w:tcPr>
          <w:p w:rsidR="00C157EC" w:rsidRPr="00CE5007" w:rsidRDefault="00C157EC" w:rsidP="009C6A89">
            <w:pPr>
              <w:pStyle w:val="TableTextCentered"/>
            </w:pPr>
            <w:r w:rsidRPr="00CE5007">
              <w:t>3.26</w:t>
            </w:r>
          </w:p>
        </w:tc>
        <w:tc>
          <w:tcPr>
            <w:tcW w:w="800" w:type="pct"/>
            <w:tcBorders>
              <w:bottom w:val="single" w:sz="4" w:space="0" w:color="auto"/>
            </w:tcBorders>
          </w:tcPr>
          <w:p w:rsidR="00C157EC" w:rsidRPr="00CE5007" w:rsidRDefault="006343EB" w:rsidP="009C6A89">
            <w:pPr>
              <w:pStyle w:val="TableTextCentered"/>
            </w:pPr>
            <w:r>
              <w:t>0</w:t>
            </w:r>
            <w:r w:rsidR="00C157EC" w:rsidRPr="00CE5007">
              <w:t>.35</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.87</w:t>
            </w:r>
          </w:p>
        </w:tc>
        <w:tc>
          <w:tcPr>
            <w:tcW w:w="800" w:type="pct"/>
            <w:tcBorders>
              <w:bottom w:val="single" w:sz="4" w:space="0" w:color="auto"/>
            </w:tcBorders>
          </w:tcPr>
          <w:p w:rsidR="00C157EC" w:rsidRPr="00CE5007" w:rsidRDefault="00C157EC" w:rsidP="009C6A89">
            <w:pPr>
              <w:pStyle w:val="TableTextCentered"/>
            </w:pPr>
            <w:r w:rsidRPr="00CE5007">
              <w:t>-1.6</w:t>
            </w:r>
            <w:r w:rsidR="006343EB">
              <w:t>0</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.86</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201</w:t>
            </w:r>
            <w:r>
              <w:t>6</w:t>
            </w:r>
            <w:r w:rsidR="008D26E3">
              <w:t>–</w:t>
            </w:r>
            <w:r>
              <w:t>1</w:t>
            </w:r>
            <w:r w:rsidRPr="00807FB9">
              <w:t>7</w:t>
            </w:r>
          </w:p>
        </w:tc>
        <w:tc>
          <w:tcPr>
            <w:tcW w:w="753" w:type="pct"/>
            <w:tcBorders>
              <w:bottom w:val="single" w:sz="4" w:space="0" w:color="auto"/>
            </w:tcBorders>
          </w:tcPr>
          <w:p w:rsidR="00C157EC" w:rsidRPr="00CE5007" w:rsidRDefault="00C157EC" w:rsidP="009C6A89">
            <w:pPr>
              <w:pStyle w:val="TableTextCentered"/>
            </w:pPr>
            <w:r w:rsidRPr="00CE5007">
              <w:t>4.08</w:t>
            </w:r>
          </w:p>
        </w:tc>
        <w:tc>
          <w:tcPr>
            <w:tcW w:w="800" w:type="pct"/>
            <w:tcBorders>
              <w:bottom w:val="single" w:sz="4" w:space="0" w:color="auto"/>
            </w:tcBorders>
          </w:tcPr>
          <w:p w:rsidR="00C157EC" w:rsidRPr="00CE5007" w:rsidRDefault="006343EB" w:rsidP="009C6A89">
            <w:pPr>
              <w:pStyle w:val="TableTextCentered"/>
            </w:pPr>
            <w:r>
              <w:t>0</w:t>
            </w:r>
            <w:r w:rsidR="00C157EC" w:rsidRPr="00CE5007">
              <w:t>.9</w:t>
            </w:r>
            <w:r>
              <w:t>0</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.59</w:t>
            </w:r>
          </w:p>
        </w:tc>
        <w:tc>
          <w:tcPr>
            <w:tcW w:w="800" w:type="pct"/>
            <w:tcBorders>
              <w:bottom w:val="single" w:sz="4" w:space="0" w:color="auto"/>
            </w:tcBorders>
          </w:tcPr>
          <w:p w:rsidR="00C157EC" w:rsidRPr="00CE5007" w:rsidRDefault="00C157EC" w:rsidP="009C6A89">
            <w:pPr>
              <w:pStyle w:val="TableTextCentered"/>
            </w:pPr>
            <w:r w:rsidRPr="00CE5007">
              <w:t>-1.39</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.74</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201</w:t>
            </w:r>
            <w:r>
              <w:t>7</w:t>
            </w:r>
            <w:r w:rsidR="008D26E3">
              <w:t>–</w:t>
            </w:r>
            <w:r>
              <w:t>1</w:t>
            </w:r>
            <w:r w:rsidRPr="00807FB9">
              <w:t>8</w:t>
            </w:r>
          </w:p>
        </w:tc>
        <w:tc>
          <w:tcPr>
            <w:tcW w:w="753" w:type="pct"/>
            <w:tcBorders>
              <w:bottom w:val="single" w:sz="4" w:space="0" w:color="auto"/>
            </w:tcBorders>
          </w:tcPr>
          <w:p w:rsidR="00C157EC" w:rsidRPr="00CE5007" w:rsidRDefault="00C157EC" w:rsidP="009C6A89">
            <w:pPr>
              <w:pStyle w:val="TableTextCentered"/>
            </w:pPr>
            <w:r w:rsidRPr="00CE5007">
              <w:t>4.9</w:t>
            </w:r>
            <w:r w:rsidR="006343EB">
              <w:t>0</w:t>
            </w:r>
          </w:p>
        </w:tc>
        <w:tc>
          <w:tcPr>
            <w:tcW w:w="800" w:type="pct"/>
            <w:tcBorders>
              <w:bottom w:val="single" w:sz="4" w:space="0" w:color="auto"/>
            </w:tcBorders>
          </w:tcPr>
          <w:p w:rsidR="00C157EC" w:rsidRPr="00CE5007" w:rsidRDefault="00C157EC" w:rsidP="009C6A89">
            <w:pPr>
              <w:pStyle w:val="TableTextCentered"/>
            </w:pPr>
            <w:r w:rsidRPr="00CE5007">
              <w:t>1.33</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.4</w:t>
            </w:r>
            <w:r w:rsidR="006343EB">
              <w:t>0</w:t>
            </w:r>
          </w:p>
        </w:tc>
        <w:tc>
          <w:tcPr>
            <w:tcW w:w="800" w:type="pct"/>
            <w:tcBorders>
              <w:bottom w:val="single" w:sz="4" w:space="0" w:color="auto"/>
            </w:tcBorders>
          </w:tcPr>
          <w:p w:rsidR="00C157EC" w:rsidRPr="00CE5007" w:rsidRDefault="00C157EC" w:rsidP="009C6A89">
            <w:pPr>
              <w:pStyle w:val="TableTextCentered"/>
            </w:pPr>
            <w:r w:rsidRPr="00CE5007">
              <w:t>-1.42</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.66</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201</w:t>
            </w:r>
            <w:r>
              <w:t>8</w:t>
            </w:r>
            <w:r w:rsidR="008D26E3">
              <w:t>–</w:t>
            </w:r>
            <w:r>
              <w:t>1</w:t>
            </w:r>
            <w:r w:rsidRPr="00807FB9">
              <w:t>9</w:t>
            </w:r>
          </w:p>
        </w:tc>
        <w:tc>
          <w:tcPr>
            <w:tcW w:w="753" w:type="pct"/>
            <w:tcBorders>
              <w:bottom w:val="single" w:sz="4" w:space="0" w:color="auto"/>
            </w:tcBorders>
          </w:tcPr>
          <w:p w:rsidR="00C157EC" w:rsidRPr="00CE5007" w:rsidRDefault="00C157EC" w:rsidP="009C6A89">
            <w:pPr>
              <w:pStyle w:val="TableTextCentered"/>
            </w:pPr>
            <w:r w:rsidRPr="00CE5007">
              <w:t>5.83</w:t>
            </w:r>
          </w:p>
        </w:tc>
        <w:tc>
          <w:tcPr>
            <w:tcW w:w="800" w:type="pct"/>
            <w:tcBorders>
              <w:bottom w:val="single" w:sz="4" w:space="0" w:color="auto"/>
            </w:tcBorders>
          </w:tcPr>
          <w:p w:rsidR="00C157EC" w:rsidRPr="00CE5007" w:rsidRDefault="00C157EC" w:rsidP="009C6A89">
            <w:pPr>
              <w:pStyle w:val="TableTextCentered"/>
            </w:pPr>
            <w:r w:rsidRPr="00CE5007">
              <w:t>1.91</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.09</w:t>
            </w:r>
          </w:p>
        </w:tc>
        <w:tc>
          <w:tcPr>
            <w:tcW w:w="800" w:type="pct"/>
            <w:tcBorders>
              <w:bottom w:val="single" w:sz="4" w:space="0" w:color="auto"/>
            </w:tcBorders>
          </w:tcPr>
          <w:p w:rsidR="00C157EC" w:rsidRPr="00CE5007" w:rsidRDefault="00C157EC" w:rsidP="009C6A89">
            <w:pPr>
              <w:pStyle w:val="TableTextCentered"/>
            </w:pPr>
            <w:r w:rsidRPr="00CE5007">
              <w:t>-1.16</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.5</w:t>
            </w:r>
            <w:r w:rsidR="006343EB">
              <w:t>0</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w:t>
            </w:r>
            <w:r>
              <w:t>19</w:t>
            </w:r>
            <w:r w:rsidR="008D26E3">
              <w:t>–</w:t>
            </w:r>
            <w:r w:rsidRPr="00807FB9">
              <w:t>20</w:t>
            </w:r>
          </w:p>
        </w:tc>
        <w:tc>
          <w:tcPr>
            <w:tcW w:w="753" w:type="pct"/>
            <w:tcBorders>
              <w:bottom w:val="single" w:sz="4" w:space="0" w:color="auto"/>
            </w:tcBorders>
          </w:tcPr>
          <w:p w:rsidR="00C157EC" w:rsidRPr="00CE5007" w:rsidRDefault="00C157EC" w:rsidP="009C6A89">
            <w:pPr>
              <w:pStyle w:val="TableTextCentered"/>
            </w:pPr>
            <w:r w:rsidRPr="00CE5007">
              <w:t>6.71</w:t>
            </w:r>
          </w:p>
        </w:tc>
        <w:tc>
          <w:tcPr>
            <w:tcW w:w="800" w:type="pct"/>
            <w:tcBorders>
              <w:bottom w:val="single" w:sz="4" w:space="0" w:color="auto"/>
            </w:tcBorders>
          </w:tcPr>
          <w:p w:rsidR="00C157EC" w:rsidRPr="00CE5007" w:rsidRDefault="00C157EC" w:rsidP="009C6A89">
            <w:pPr>
              <w:pStyle w:val="TableTextCentered"/>
            </w:pPr>
            <w:r w:rsidRPr="00CE5007">
              <w:t>2.48</w:t>
            </w:r>
          </w:p>
        </w:tc>
        <w:tc>
          <w:tcPr>
            <w:tcW w:w="800" w:type="pct"/>
            <w:tcBorders>
              <w:bottom w:val="single" w:sz="4" w:space="0" w:color="auto"/>
            </w:tcBorders>
          </w:tcPr>
          <w:p w:rsidR="00C157EC" w:rsidRPr="00CE5007" w:rsidRDefault="006343EB" w:rsidP="009C6A89">
            <w:pPr>
              <w:pStyle w:val="TableTextCentered"/>
            </w:pPr>
            <w:r>
              <w:t>0</w:t>
            </w:r>
            <w:r w:rsidR="00C157EC" w:rsidRPr="00CE5007">
              <w:t>.2</w:t>
            </w:r>
            <w:r>
              <w:t>0</w:t>
            </w:r>
          </w:p>
        </w:tc>
        <w:tc>
          <w:tcPr>
            <w:tcW w:w="800" w:type="pct"/>
            <w:tcBorders>
              <w:bottom w:val="single" w:sz="4" w:space="0" w:color="auto"/>
            </w:tcBorders>
          </w:tcPr>
          <w:p w:rsidR="00C157EC" w:rsidRPr="00CE5007" w:rsidRDefault="00C157EC" w:rsidP="009C6A89">
            <w:pPr>
              <w:pStyle w:val="TableTextCentered"/>
            </w:pPr>
            <w:r w:rsidRPr="00CE5007">
              <w:t>-1.06</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.32</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202</w:t>
            </w:r>
            <w:r>
              <w:t>0</w:t>
            </w:r>
            <w:r w:rsidR="008D26E3">
              <w:t>–</w:t>
            </w:r>
            <w:r>
              <w:t>2</w:t>
            </w:r>
            <w:r w:rsidRPr="00807FB9">
              <w:t>1</w:t>
            </w:r>
          </w:p>
        </w:tc>
        <w:tc>
          <w:tcPr>
            <w:tcW w:w="753" w:type="pct"/>
            <w:tcBorders>
              <w:bottom w:val="single" w:sz="4" w:space="0" w:color="auto"/>
            </w:tcBorders>
          </w:tcPr>
          <w:p w:rsidR="00C157EC" w:rsidRPr="00CE5007" w:rsidRDefault="00C157EC" w:rsidP="009C6A89">
            <w:pPr>
              <w:pStyle w:val="TableTextCentered"/>
            </w:pPr>
            <w:r w:rsidRPr="00CE5007">
              <w:t>7.38</w:t>
            </w:r>
          </w:p>
        </w:tc>
        <w:tc>
          <w:tcPr>
            <w:tcW w:w="800" w:type="pct"/>
            <w:tcBorders>
              <w:bottom w:val="single" w:sz="4" w:space="0" w:color="auto"/>
            </w:tcBorders>
          </w:tcPr>
          <w:p w:rsidR="00C157EC" w:rsidRPr="00CE5007" w:rsidRDefault="00C157EC" w:rsidP="009C6A89">
            <w:pPr>
              <w:pStyle w:val="TableTextCentered"/>
            </w:pPr>
            <w:r w:rsidRPr="00CE5007">
              <w:t>3</w:t>
            </w:r>
            <w:r w:rsidR="006343EB">
              <w:t>.00</w:t>
            </w:r>
          </w:p>
        </w:tc>
        <w:tc>
          <w:tcPr>
            <w:tcW w:w="800" w:type="pct"/>
            <w:tcBorders>
              <w:bottom w:val="single" w:sz="4" w:space="0" w:color="auto"/>
            </w:tcBorders>
          </w:tcPr>
          <w:p w:rsidR="00C157EC" w:rsidRPr="00CE5007" w:rsidRDefault="006343EB" w:rsidP="009C6A89">
            <w:pPr>
              <w:pStyle w:val="TableTextCentered"/>
            </w:pPr>
            <w:r>
              <w:t>0</w:t>
            </w:r>
            <w:r w:rsidR="00C157EC" w:rsidRPr="00CE5007">
              <w:t>.48</w:t>
            </w:r>
          </w:p>
        </w:tc>
        <w:tc>
          <w:tcPr>
            <w:tcW w:w="800" w:type="pct"/>
            <w:tcBorders>
              <w:bottom w:val="single" w:sz="4" w:space="0" w:color="auto"/>
            </w:tcBorders>
          </w:tcPr>
          <w:p w:rsidR="00C157EC" w:rsidRPr="00CE5007" w:rsidRDefault="00C157EC" w:rsidP="009C6A89">
            <w:pPr>
              <w:pStyle w:val="TableTextCentered"/>
            </w:pPr>
            <w:r w:rsidRPr="00CE5007">
              <w:t>-1.01</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.15</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202</w:t>
            </w:r>
            <w:r>
              <w:t>1</w:t>
            </w:r>
            <w:r w:rsidR="008D26E3">
              <w:t>–</w:t>
            </w:r>
            <w:r>
              <w:t>2</w:t>
            </w:r>
            <w:r w:rsidRPr="00807FB9">
              <w:t>2</w:t>
            </w:r>
          </w:p>
        </w:tc>
        <w:tc>
          <w:tcPr>
            <w:tcW w:w="753" w:type="pct"/>
            <w:tcBorders>
              <w:bottom w:val="single" w:sz="4" w:space="0" w:color="auto"/>
            </w:tcBorders>
          </w:tcPr>
          <w:p w:rsidR="00C157EC" w:rsidRPr="00CE5007" w:rsidRDefault="00C157EC" w:rsidP="009C6A89">
            <w:pPr>
              <w:pStyle w:val="TableTextCentered"/>
            </w:pPr>
            <w:r w:rsidRPr="00CE5007">
              <w:t>8.14</w:t>
            </w:r>
          </w:p>
        </w:tc>
        <w:tc>
          <w:tcPr>
            <w:tcW w:w="800" w:type="pct"/>
            <w:tcBorders>
              <w:bottom w:val="single" w:sz="4" w:space="0" w:color="auto"/>
            </w:tcBorders>
          </w:tcPr>
          <w:p w:rsidR="00C157EC" w:rsidRPr="00CE5007" w:rsidRDefault="00C157EC" w:rsidP="009C6A89">
            <w:pPr>
              <w:pStyle w:val="TableTextCentered"/>
            </w:pPr>
            <w:r w:rsidRPr="00CE5007">
              <w:t>3.67</w:t>
            </w:r>
          </w:p>
        </w:tc>
        <w:tc>
          <w:tcPr>
            <w:tcW w:w="800" w:type="pct"/>
            <w:tcBorders>
              <w:bottom w:val="single" w:sz="4" w:space="0" w:color="auto"/>
            </w:tcBorders>
          </w:tcPr>
          <w:p w:rsidR="00C157EC" w:rsidRPr="00CE5007" w:rsidRDefault="006343EB" w:rsidP="009C6A89">
            <w:pPr>
              <w:pStyle w:val="TableTextCentered"/>
            </w:pPr>
            <w:r>
              <w:t>0</w:t>
            </w:r>
            <w:r w:rsidR="00C157EC" w:rsidRPr="00CE5007">
              <w:t>.85</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.87</w:t>
            </w:r>
          </w:p>
        </w:tc>
        <w:tc>
          <w:tcPr>
            <w:tcW w:w="800" w:type="pct"/>
            <w:tcBorders>
              <w:bottom w:val="single" w:sz="4" w:space="0" w:color="auto"/>
            </w:tcBorders>
          </w:tcPr>
          <w:p w:rsidR="00C157EC" w:rsidRPr="00CE5007" w:rsidRDefault="006343EB" w:rsidP="009C6A89">
            <w:pPr>
              <w:pStyle w:val="TableTextCentered"/>
            </w:pPr>
            <w:r>
              <w:t>0</w:t>
            </w:r>
            <w:r w:rsidR="00C157EC" w:rsidRPr="00CE5007">
              <w:t>.12</w:t>
            </w:r>
          </w:p>
        </w:tc>
      </w:tr>
      <w:tr w:rsidR="009C6A89" w:rsidTr="00191C0D">
        <w:tc>
          <w:tcPr>
            <w:tcW w:w="1045" w:type="pct"/>
            <w:tcBorders>
              <w:bottom w:val="single" w:sz="4" w:space="0" w:color="auto"/>
            </w:tcBorders>
          </w:tcPr>
          <w:p w:rsidR="00C157EC" w:rsidRPr="00CE5007" w:rsidRDefault="00C157EC" w:rsidP="00191C0D">
            <w:pPr>
              <w:pStyle w:val="TableText"/>
              <w:jc w:val="center"/>
            </w:pPr>
            <w:r w:rsidRPr="00807FB9">
              <w:t>202</w:t>
            </w:r>
            <w:r>
              <w:t>2</w:t>
            </w:r>
            <w:r w:rsidR="008D26E3">
              <w:t>–</w:t>
            </w:r>
            <w:r>
              <w:t>2</w:t>
            </w:r>
            <w:r w:rsidRPr="00807FB9">
              <w:t>3</w:t>
            </w:r>
          </w:p>
        </w:tc>
        <w:tc>
          <w:tcPr>
            <w:tcW w:w="753" w:type="pct"/>
            <w:tcBorders>
              <w:bottom w:val="single" w:sz="4" w:space="0" w:color="auto"/>
            </w:tcBorders>
          </w:tcPr>
          <w:p w:rsidR="00C157EC" w:rsidRPr="00CE5007" w:rsidRDefault="00C157EC" w:rsidP="009C6A89">
            <w:pPr>
              <w:pStyle w:val="TableTextCentered"/>
            </w:pPr>
            <w:r w:rsidRPr="00CE5007">
              <w:t>8.95</w:t>
            </w:r>
          </w:p>
        </w:tc>
        <w:tc>
          <w:tcPr>
            <w:tcW w:w="800" w:type="pct"/>
            <w:tcBorders>
              <w:bottom w:val="single" w:sz="4" w:space="0" w:color="auto"/>
            </w:tcBorders>
          </w:tcPr>
          <w:p w:rsidR="00C157EC" w:rsidRPr="00CE5007" w:rsidRDefault="00C157EC" w:rsidP="009C6A89">
            <w:pPr>
              <w:pStyle w:val="TableTextCentered"/>
            </w:pPr>
            <w:r w:rsidRPr="00CE5007">
              <w:t>4.43</w:t>
            </w:r>
          </w:p>
        </w:tc>
        <w:tc>
          <w:tcPr>
            <w:tcW w:w="800" w:type="pct"/>
            <w:tcBorders>
              <w:bottom w:val="single" w:sz="4" w:space="0" w:color="auto"/>
            </w:tcBorders>
          </w:tcPr>
          <w:p w:rsidR="00C157EC" w:rsidRPr="00CE5007" w:rsidRDefault="00C157EC" w:rsidP="009C6A89">
            <w:pPr>
              <w:pStyle w:val="TableTextCentered"/>
            </w:pPr>
            <w:r w:rsidRPr="00CE5007">
              <w:t>1.26</w:t>
            </w:r>
          </w:p>
        </w:tc>
        <w:tc>
          <w:tcPr>
            <w:tcW w:w="800" w:type="pct"/>
            <w:tcBorders>
              <w:bottom w:val="single" w:sz="4" w:space="0" w:color="auto"/>
            </w:tcBorders>
          </w:tcPr>
          <w:p w:rsidR="00C157EC" w:rsidRPr="00CE5007" w:rsidRDefault="00C157EC" w:rsidP="009C6A89">
            <w:pPr>
              <w:pStyle w:val="TableTextCentered"/>
            </w:pPr>
            <w:r w:rsidRPr="00CE5007">
              <w:t>-</w:t>
            </w:r>
            <w:r w:rsidR="006343EB">
              <w:t>0</w:t>
            </w:r>
            <w:r w:rsidRPr="00CE5007">
              <w:t>.78</w:t>
            </w:r>
          </w:p>
        </w:tc>
        <w:tc>
          <w:tcPr>
            <w:tcW w:w="800" w:type="pct"/>
            <w:tcBorders>
              <w:bottom w:val="single" w:sz="4" w:space="0" w:color="auto"/>
            </w:tcBorders>
          </w:tcPr>
          <w:p w:rsidR="00C157EC" w:rsidRPr="00CE5007" w:rsidRDefault="006343EB" w:rsidP="009C6A89">
            <w:pPr>
              <w:pStyle w:val="TableTextCentered"/>
            </w:pPr>
            <w:r>
              <w:t>0</w:t>
            </w:r>
            <w:r w:rsidR="00C157EC" w:rsidRPr="00CE5007">
              <w:t>.42</w:t>
            </w:r>
          </w:p>
        </w:tc>
      </w:tr>
      <w:tr w:rsidR="009C6A89" w:rsidTr="00191C0D">
        <w:tc>
          <w:tcPr>
            <w:tcW w:w="1045" w:type="pct"/>
          </w:tcPr>
          <w:p w:rsidR="00C157EC" w:rsidRPr="00CE5007" w:rsidRDefault="00C157EC" w:rsidP="00191C0D">
            <w:pPr>
              <w:pStyle w:val="TableText"/>
              <w:jc w:val="center"/>
            </w:pPr>
            <w:r w:rsidRPr="00807FB9">
              <w:t>202</w:t>
            </w:r>
            <w:r>
              <w:t>3</w:t>
            </w:r>
            <w:r w:rsidR="008D26E3">
              <w:t>–</w:t>
            </w:r>
            <w:r>
              <w:t>2</w:t>
            </w:r>
            <w:r w:rsidRPr="00807FB9">
              <w:t>4</w:t>
            </w:r>
          </w:p>
        </w:tc>
        <w:tc>
          <w:tcPr>
            <w:tcW w:w="753" w:type="pct"/>
          </w:tcPr>
          <w:p w:rsidR="00C157EC" w:rsidRPr="00CE5007" w:rsidRDefault="00C157EC" w:rsidP="009C6A89">
            <w:pPr>
              <w:pStyle w:val="TableTextCentered"/>
            </w:pPr>
            <w:r w:rsidRPr="00CE5007">
              <w:t>9.9</w:t>
            </w:r>
            <w:r w:rsidR="006343EB">
              <w:t>0</w:t>
            </w:r>
          </w:p>
        </w:tc>
        <w:tc>
          <w:tcPr>
            <w:tcW w:w="800" w:type="pct"/>
          </w:tcPr>
          <w:p w:rsidR="00C157EC" w:rsidRPr="00CE5007" w:rsidRDefault="00C157EC" w:rsidP="009C6A89">
            <w:pPr>
              <w:pStyle w:val="TableTextCentered"/>
            </w:pPr>
            <w:r w:rsidRPr="00CE5007">
              <w:t>5.14</w:t>
            </w:r>
          </w:p>
        </w:tc>
        <w:tc>
          <w:tcPr>
            <w:tcW w:w="800" w:type="pct"/>
          </w:tcPr>
          <w:p w:rsidR="00C157EC" w:rsidRPr="00CE5007" w:rsidRDefault="00C157EC" w:rsidP="009C6A89">
            <w:pPr>
              <w:pStyle w:val="TableTextCentered"/>
            </w:pPr>
            <w:r w:rsidRPr="00CE5007">
              <w:t>1.69</w:t>
            </w:r>
          </w:p>
        </w:tc>
        <w:tc>
          <w:tcPr>
            <w:tcW w:w="800" w:type="pct"/>
          </w:tcPr>
          <w:p w:rsidR="00C157EC" w:rsidRPr="00CE5007" w:rsidRDefault="00C157EC" w:rsidP="009C6A89">
            <w:pPr>
              <w:pStyle w:val="TableTextCentered"/>
            </w:pPr>
            <w:r w:rsidRPr="00CE5007">
              <w:t>-</w:t>
            </w:r>
            <w:r w:rsidR="006343EB">
              <w:t>0</w:t>
            </w:r>
            <w:r w:rsidRPr="00CE5007">
              <w:t>.7</w:t>
            </w:r>
            <w:r w:rsidR="006343EB">
              <w:t>0</w:t>
            </w:r>
          </w:p>
        </w:tc>
        <w:tc>
          <w:tcPr>
            <w:tcW w:w="800" w:type="pct"/>
          </w:tcPr>
          <w:p w:rsidR="00C157EC" w:rsidRPr="00CE5007" w:rsidRDefault="006343EB" w:rsidP="009C6A89">
            <w:pPr>
              <w:pStyle w:val="TableTextCentered"/>
            </w:pPr>
            <w:r>
              <w:t>0</w:t>
            </w:r>
            <w:r w:rsidR="00C157EC" w:rsidRPr="00CE5007">
              <w:t>.84</w:t>
            </w:r>
          </w:p>
        </w:tc>
      </w:tr>
    </w:tbl>
    <w:p w:rsidR="008D26E3" w:rsidRPr="00121435" w:rsidRDefault="008D26E3" w:rsidP="008D26E3">
      <w:pPr>
        <w:pStyle w:val="ExhibitTitle"/>
        <w:spacing w:before="0"/>
        <w:rPr>
          <w:b w:val="0"/>
          <w:i/>
        </w:rPr>
      </w:pPr>
      <w:r w:rsidRPr="00322D28">
        <w:rPr>
          <w:b w:val="0"/>
          <w:i/>
        </w:rPr>
        <w:t xml:space="preserve">Note. </w:t>
      </w:r>
      <w:r w:rsidR="00090E9F">
        <w:rPr>
          <w:b w:val="0"/>
        </w:rPr>
        <w:t>Relative</w:t>
      </w:r>
      <w:r w:rsidRPr="00322D28">
        <w:rPr>
          <w:b w:val="0"/>
        </w:rPr>
        <w:t xml:space="preserve"> </w:t>
      </w:r>
      <w:r w:rsidR="009C29CD">
        <w:rPr>
          <w:b w:val="0"/>
        </w:rPr>
        <w:t>D</w:t>
      </w:r>
      <w:r w:rsidRPr="00322D28">
        <w:rPr>
          <w:b w:val="0"/>
        </w:rPr>
        <w:t>ifference = (Supply-Demand)/Demand</w:t>
      </w:r>
      <w:r>
        <w:rPr>
          <w:b w:val="0"/>
        </w:rPr>
        <w:t>.</w:t>
      </w:r>
    </w:p>
    <w:p w:rsidR="00C157EC" w:rsidRDefault="00A02BBC" w:rsidP="00B55A5C">
      <w:pPr>
        <w:pStyle w:val="BodyText"/>
        <w:spacing w:before="120"/>
      </w:pPr>
      <w:r>
        <w:t>Table 2</w:t>
      </w:r>
      <w:r w:rsidR="00DB10EA">
        <w:t>5</w:t>
      </w:r>
      <w:r w:rsidR="00C157EC">
        <w:t xml:space="preserve"> shows the </w:t>
      </w:r>
      <w:r w:rsidR="00090E9F">
        <w:t xml:space="preserve">relative </w:t>
      </w:r>
      <w:r w:rsidR="00C157EC">
        <w:t>difference between supply and demand by major metropolitan area. Of the four major metropolitan areas, Lowell</w:t>
      </w:r>
      <w:r>
        <w:t>–</w:t>
      </w:r>
      <w:r w:rsidR="00C157EC">
        <w:t>Lawrence shows the largest expected teacher shortage. The projection for this area suggests a shortage of 6.93 percent in 2014</w:t>
      </w:r>
      <w:r>
        <w:t>–</w:t>
      </w:r>
      <w:r w:rsidR="00C157EC">
        <w:t xml:space="preserve">15 that grows to almost 12 percent </w:t>
      </w:r>
      <w:r>
        <w:t>by</w:t>
      </w:r>
      <w:r w:rsidR="00C157EC">
        <w:t xml:space="preserve"> 2023</w:t>
      </w:r>
      <w:r>
        <w:t>–</w:t>
      </w:r>
      <w:r w:rsidR="00C157EC">
        <w:t xml:space="preserve">24. </w:t>
      </w:r>
      <w:r>
        <w:t>Figure 2</w:t>
      </w:r>
      <w:r w:rsidR="00DB10EA">
        <w:t>4</w:t>
      </w:r>
      <w:r w:rsidR="00C157EC">
        <w:t xml:space="preserve"> shows the projected supply and demand trends underlying the shortages expected for Lowell</w:t>
      </w:r>
      <w:r>
        <w:t>–</w:t>
      </w:r>
      <w:r w:rsidR="00C157EC">
        <w:t>Lawrence. Worcester is also expected to experience an increasing teacher shortage over time, growing from 0.79 percent in 2014</w:t>
      </w:r>
      <w:r w:rsidR="001D2252">
        <w:t>–</w:t>
      </w:r>
      <w:r w:rsidR="00C157EC">
        <w:t xml:space="preserve">15 to 1.76 percent </w:t>
      </w:r>
      <w:r w:rsidR="001D2252">
        <w:t xml:space="preserve">by </w:t>
      </w:r>
      <w:r w:rsidR="00C157EC">
        <w:t>2023</w:t>
      </w:r>
      <w:r w:rsidR="001D2252">
        <w:t>–</w:t>
      </w:r>
      <w:r w:rsidR="00C157EC">
        <w:t>24, but the size of the projected shortage is much smaller than that of Lowell</w:t>
      </w:r>
      <w:r w:rsidR="001D2252">
        <w:t>–</w:t>
      </w:r>
      <w:r w:rsidR="00C157EC">
        <w:t>Lawrence. In contrast to the expected trends found for Lowell</w:t>
      </w:r>
      <w:r w:rsidR="001D2252">
        <w:t>–</w:t>
      </w:r>
      <w:r w:rsidR="00C157EC">
        <w:t>Lawrence and Worcester, the results suggest that Springfield will experience an increasing surplus over the period</w:t>
      </w:r>
      <w:r w:rsidR="001D2252">
        <w:t>,</w:t>
      </w:r>
      <w:r w:rsidR="00C157EC">
        <w:t xml:space="preserve"> while there is expected to be a small </w:t>
      </w:r>
      <w:r w:rsidR="001D2252">
        <w:t xml:space="preserve">but </w:t>
      </w:r>
      <w:r w:rsidR="00C157EC">
        <w:t xml:space="preserve">gradually increasing surplus in Boston. </w:t>
      </w:r>
    </w:p>
    <w:p w:rsidR="00C157EC" w:rsidRPr="009C6A89" w:rsidRDefault="00A02BBC" w:rsidP="00B55A5C">
      <w:pPr>
        <w:pStyle w:val="ExhibitTitle"/>
        <w:spacing w:before="120"/>
      </w:pPr>
      <w:proofErr w:type="gramStart"/>
      <w:r>
        <w:t>Table 2</w:t>
      </w:r>
      <w:r w:rsidR="00DB10EA">
        <w:t>5</w:t>
      </w:r>
      <w:r w:rsidR="00C157EC" w:rsidRPr="006D0A7C">
        <w:t>.</w:t>
      </w:r>
      <w:proofErr w:type="gramEnd"/>
      <w:r w:rsidR="00C157EC" w:rsidRPr="006D0A7C">
        <w:t xml:space="preserve"> </w:t>
      </w:r>
      <w:r w:rsidR="00090E9F">
        <w:t xml:space="preserve">Relative </w:t>
      </w:r>
      <w:r w:rsidR="00C157EC">
        <w:t xml:space="preserve">Difference </w:t>
      </w:r>
      <w:proofErr w:type="gramStart"/>
      <w:r w:rsidR="00C157EC">
        <w:t>Between</w:t>
      </w:r>
      <w:proofErr w:type="gramEnd"/>
      <w:r w:rsidR="00C157EC">
        <w:t xml:space="preserve"> Supply and Demand by Major Metropolitan Area</w:t>
      </w:r>
      <w:r w:rsidR="00E80E14">
        <w:t>, 2014–15</w:t>
      </w:r>
      <w:r w:rsidR="0092042A">
        <w:t xml:space="preserve"> Through </w:t>
      </w:r>
      <w:r w:rsidR="00E80E14">
        <w:t>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936"/>
        <w:gridCol w:w="1845"/>
        <w:gridCol w:w="2031"/>
        <w:gridCol w:w="1720"/>
        <w:gridCol w:w="2058"/>
      </w:tblGrid>
      <w:tr w:rsidR="003C50C4" w:rsidTr="00511F2C">
        <w:trPr>
          <w:cnfStyle w:val="100000000000"/>
          <w:trHeight w:val="872"/>
        </w:trPr>
        <w:tc>
          <w:tcPr>
            <w:tcW w:w="1009" w:type="pct"/>
            <w:tcBorders>
              <w:bottom w:val="single" w:sz="4" w:space="0" w:color="auto"/>
            </w:tcBorders>
          </w:tcPr>
          <w:p w:rsidR="003C50C4" w:rsidRPr="00CE5007" w:rsidRDefault="003C50C4" w:rsidP="003C50C4">
            <w:pPr>
              <w:pStyle w:val="TableText"/>
              <w:jc w:val="center"/>
            </w:pPr>
            <w:r>
              <w:t>Year</w:t>
            </w:r>
          </w:p>
        </w:tc>
        <w:tc>
          <w:tcPr>
            <w:tcW w:w="962" w:type="pct"/>
            <w:tcBorders>
              <w:bottom w:val="single" w:sz="4" w:space="0" w:color="auto"/>
            </w:tcBorders>
          </w:tcPr>
          <w:p w:rsidR="003C50C4" w:rsidRPr="00CE5007" w:rsidRDefault="003C50C4" w:rsidP="009C6A89">
            <w:pPr>
              <w:pStyle w:val="TableTextCentered"/>
            </w:pPr>
            <w:r w:rsidRPr="00CE5007">
              <w:t>Boston</w:t>
            </w:r>
          </w:p>
        </w:tc>
        <w:tc>
          <w:tcPr>
            <w:tcW w:w="1059" w:type="pct"/>
            <w:tcBorders>
              <w:bottom w:val="single" w:sz="4" w:space="0" w:color="auto"/>
            </w:tcBorders>
          </w:tcPr>
          <w:p w:rsidR="003C50C4" w:rsidRPr="00CE5007" w:rsidRDefault="003C50C4" w:rsidP="009C6A89">
            <w:pPr>
              <w:pStyle w:val="TableTextCentered"/>
            </w:pPr>
            <w:r w:rsidRPr="00CE5007">
              <w:t>Worcester</w:t>
            </w:r>
          </w:p>
        </w:tc>
        <w:tc>
          <w:tcPr>
            <w:tcW w:w="897" w:type="pct"/>
            <w:tcBorders>
              <w:bottom w:val="single" w:sz="4" w:space="0" w:color="auto"/>
            </w:tcBorders>
          </w:tcPr>
          <w:p w:rsidR="003C50C4" w:rsidRPr="00CE5007" w:rsidRDefault="003C50C4" w:rsidP="009C6A89">
            <w:pPr>
              <w:pStyle w:val="TableTextCentered"/>
            </w:pPr>
            <w:r w:rsidRPr="00CE5007">
              <w:t>Springfield</w:t>
            </w:r>
          </w:p>
        </w:tc>
        <w:tc>
          <w:tcPr>
            <w:tcW w:w="1073" w:type="pct"/>
            <w:tcBorders>
              <w:bottom w:val="single" w:sz="4" w:space="0" w:color="auto"/>
            </w:tcBorders>
          </w:tcPr>
          <w:p w:rsidR="003C50C4" w:rsidRPr="00CE5007" w:rsidRDefault="003C50C4" w:rsidP="009C6A89">
            <w:pPr>
              <w:pStyle w:val="TableTextCentered"/>
            </w:pPr>
            <w:r w:rsidRPr="00CE5007">
              <w:t>Lowell</w:t>
            </w:r>
            <w:r>
              <w:t>–</w:t>
            </w:r>
            <w:r w:rsidRPr="00CE5007">
              <w:t>Lawrence</w:t>
            </w:r>
          </w:p>
        </w:tc>
      </w:tr>
      <w:tr w:rsidR="003C50C4" w:rsidTr="00511F2C">
        <w:tc>
          <w:tcPr>
            <w:tcW w:w="1009" w:type="pct"/>
            <w:tcBorders>
              <w:bottom w:val="single" w:sz="4" w:space="0" w:color="auto"/>
            </w:tcBorders>
          </w:tcPr>
          <w:p w:rsidR="003C50C4" w:rsidRPr="00CE5007" w:rsidRDefault="003C50C4" w:rsidP="003C50C4">
            <w:pPr>
              <w:pStyle w:val="TableText"/>
              <w:jc w:val="center"/>
            </w:pPr>
            <w:r w:rsidRPr="00807FB9">
              <w:t>201</w:t>
            </w:r>
            <w:r>
              <w:t>4–1</w:t>
            </w:r>
            <w:r w:rsidRPr="00807FB9">
              <w:t>5</w:t>
            </w:r>
          </w:p>
        </w:tc>
        <w:tc>
          <w:tcPr>
            <w:tcW w:w="962" w:type="pct"/>
            <w:tcBorders>
              <w:bottom w:val="single" w:sz="4" w:space="0" w:color="auto"/>
            </w:tcBorders>
          </w:tcPr>
          <w:p w:rsidR="003C50C4" w:rsidRPr="00CE5007" w:rsidRDefault="003C50C4" w:rsidP="009C6A89">
            <w:pPr>
              <w:pStyle w:val="TableTextCentered"/>
            </w:pPr>
            <w:r>
              <w:t>0</w:t>
            </w:r>
            <w:r w:rsidRPr="00CE5007">
              <w:t>.04</w:t>
            </w:r>
          </w:p>
        </w:tc>
        <w:tc>
          <w:tcPr>
            <w:tcW w:w="1059" w:type="pct"/>
            <w:tcBorders>
              <w:bottom w:val="single" w:sz="4" w:space="0" w:color="auto"/>
            </w:tcBorders>
          </w:tcPr>
          <w:p w:rsidR="003C50C4" w:rsidRPr="00CE5007" w:rsidRDefault="003C50C4" w:rsidP="009C6A89">
            <w:pPr>
              <w:pStyle w:val="TableTextCentered"/>
            </w:pPr>
            <w:r w:rsidRPr="00CE5007">
              <w:t>-</w:t>
            </w:r>
            <w:r>
              <w:t>0</w:t>
            </w:r>
            <w:r w:rsidRPr="00CE5007">
              <w:t>.79</w:t>
            </w:r>
          </w:p>
        </w:tc>
        <w:tc>
          <w:tcPr>
            <w:tcW w:w="897" w:type="pct"/>
            <w:tcBorders>
              <w:bottom w:val="single" w:sz="4" w:space="0" w:color="auto"/>
            </w:tcBorders>
          </w:tcPr>
          <w:p w:rsidR="003C50C4" w:rsidRPr="00CE5007" w:rsidRDefault="003C50C4" w:rsidP="009C6A89">
            <w:pPr>
              <w:pStyle w:val="TableTextCentered"/>
            </w:pPr>
            <w:r w:rsidRPr="00CE5007">
              <w:t>3.41</w:t>
            </w:r>
          </w:p>
        </w:tc>
        <w:tc>
          <w:tcPr>
            <w:tcW w:w="1073" w:type="pct"/>
            <w:tcBorders>
              <w:bottom w:val="single" w:sz="4" w:space="0" w:color="auto"/>
            </w:tcBorders>
          </w:tcPr>
          <w:p w:rsidR="003C50C4" w:rsidRPr="00CE5007" w:rsidRDefault="003C50C4" w:rsidP="009C6A89">
            <w:pPr>
              <w:pStyle w:val="TableTextCentered"/>
            </w:pPr>
            <w:r w:rsidRPr="00CE5007">
              <w:t>-6.93</w:t>
            </w:r>
          </w:p>
        </w:tc>
      </w:tr>
      <w:tr w:rsidR="003C50C4" w:rsidTr="00511F2C">
        <w:tc>
          <w:tcPr>
            <w:tcW w:w="1009" w:type="pct"/>
            <w:tcBorders>
              <w:bottom w:val="single" w:sz="4" w:space="0" w:color="auto"/>
            </w:tcBorders>
          </w:tcPr>
          <w:p w:rsidR="003C50C4" w:rsidRPr="00CE5007" w:rsidRDefault="003C50C4" w:rsidP="003C50C4">
            <w:pPr>
              <w:pStyle w:val="TableText"/>
              <w:jc w:val="center"/>
            </w:pPr>
            <w:r w:rsidRPr="00807FB9">
              <w:t>201</w:t>
            </w:r>
            <w:r>
              <w:t>5–1</w:t>
            </w:r>
            <w:r w:rsidRPr="00807FB9">
              <w:t>6</w:t>
            </w:r>
          </w:p>
        </w:tc>
        <w:tc>
          <w:tcPr>
            <w:tcW w:w="962" w:type="pct"/>
            <w:tcBorders>
              <w:bottom w:val="single" w:sz="4" w:space="0" w:color="auto"/>
            </w:tcBorders>
          </w:tcPr>
          <w:p w:rsidR="003C50C4" w:rsidRPr="00CE5007" w:rsidRDefault="003C50C4" w:rsidP="009C6A89">
            <w:pPr>
              <w:pStyle w:val="TableTextCentered"/>
            </w:pPr>
            <w:r>
              <w:t>0</w:t>
            </w:r>
            <w:r w:rsidRPr="00CE5007">
              <w:t>.03</w:t>
            </w:r>
          </w:p>
        </w:tc>
        <w:tc>
          <w:tcPr>
            <w:tcW w:w="1059" w:type="pct"/>
            <w:tcBorders>
              <w:bottom w:val="single" w:sz="4" w:space="0" w:color="auto"/>
            </w:tcBorders>
          </w:tcPr>
          <w:p w:rsidR="003C50C4" w:rsidRPr="00CE5007" w:rsidRDefault="003C50C4" w:rsidP="009C6A89">
            <w:pPr>
              <w:pStyle w:val="TableTextCentered"/>
            </w:pPr>
            <w:r w:rsidRPr="00CE5007">
              <w:t>-</w:t>
            </w:r>
            <w:r>
              <w:t>0</w:t>
            </w:r>
            <w:r w:rsidRPr="00CE5007">
              <w:t>.93</w:t>
            </w:r>
          </w:p>
        </w:tc>
        <w:tc>
          <w:tcPr>
            <w:tcW w:w="897" w:type="pct"/>
            <w:tcBorders>
              <w:bottom w:val="single" w:sz="4" w:space="0" w:color="auto"/>
            </w:tcBorders>
          </w:tcPr>
          <w:p w:rsidR="003C50C4" w:rsidRPr="00CE5007" w:rsidRDefault="003C50C4" w:rsidP="009C6A89">
            <w:pPr>
              <w:pStyle w:val="TableTextCentered"/>
            </w:pPr>
            <w:r w:rsidRPr="00CE5007">
              <w:t>4.42</w:t>
            </w:r>
          </w:p>
        </w:tc>
        <w:tc>
          <w:tcPr>
            <w:tcW w:w="1073" w:type="pct"/>
            <w:tcBorders>
              <w:bottom w:val="single" w:sz="4" w:space="0" w:color="auto"/>
            </w:tcBorders>
          </w:tcPr>
          <w:p w:rsidR="003C50C4" w:rsidRPr="00CE5007" w:rsidRDefault="003C50C4" w:rsidP="009C6A89">
            <w:pPr>
              <w:pStyle w:val="TableTextCentered"/>
            </w:pPr>
            <w:r w:rsidRPr="00CE5007">
              <w:t>-7.47</w:t>
            </w:r>
          </w:p>
        </w:tc>
      </w:tr>
      <w:tr w:rsidR="003C50C4" w:rsidTr="00511F2C">
        <w:tc>
          <w:tcPr>
            <w:tcW w:w="1009" w:type="pct"/>
            <w:tcBorders>
              <w:bottom w:val="single" w:sz="4" w:space="0" w:color="auto"/>
            </w:tcBorders>
          </w:tcPr>
          <w:p w:rsidR="003C50C4" w:rsidRPr="00CE5007" w:rsidRDefault="003C50C4" w:rsidP="003C50C4">
            <w:pPr>
              <w:pStyle w:val="TableText"/>
              <w:jc w:val="center"/>
            </w:pPr>
            <w:r w:rsidRPr="00807FB9">
              <w:t>201</w:t>
            </w:r>
            <w:r>
              <w:t>6–1</w:t>
            </w:r>
            <w:r w:rsidRPr="00807FB9">
              <w:t>7</w:t>
            </w:r>
          </w:p>
        </w:tc>
        <w:tc>
          <w:tcPr>
            <w:tcW w:w="962" w:type="pct"/>
            <w:tcBorders>
              <w:bottom w:val="single" w:sz="4" w:space="0" w:color="auto"/>
            </w:tcBorders>
          </w:tcPr>
          <w:p w:rsidR="003C50C4" w:rsidRPr="00CE5007" w:rsidRDefault="003C50C4" w:rsidP="009C6A89">
            <w:pPr>
              <w:pStyle w:val="TableTextCentered"/>
            </w:pPr>
            <w:r>
              <w:t>0</w:t>
            </w:r>
            <w:r w:rsidRPr="00CE5007">
              <w:t>.16</w:t>
            </w:r>
          </w:p>
        </w:tc>
        <w:tc>
          <w:tcPr>
            <w:tcW w:w="1059" w:type="pct"/>
            <w:tcBorders>
              <w:bottom w:val="single" w:sz="4" w:space="0" w:color="auto"/>
            </w:tcBorders>
          </w:tcPr>
          <w:p w:rsidR="003C50C4" w:rsidRPr="00CE5007" w:rsidRDefault="003C50C4" w:rsidP="009C6A89">
            <w:pPr>
              <w:pStyle w:val="TableTextCentered"/>
            </w:pPr>
            <w:r w:rsidRPr="00CE5007">
              <w:t>-</w:t>
            </w:r>
            <w:r>
              <w:t>0</w:t>
            </w:r>
            <w:r w:rsidRPr="00CE5007">
              <w:t>.89</w:t>
            </w:r>
          </w:p>
        </w:tc>
        <w:tc>
          <w:tcPr>
            <w:tcW w:w="897" w:type="pct"/>
            <w:tcBorders>
              <w:bottom w:val="single" w:sz="4" w:space="0" w:color="auto"/>
            </w:tcBorders>
          </w:tcPr>
          <w:p w:rsidR="003C50C4" w:rsidRPr="00CE5007" w:rsidRDefault="003C50C4" w:rsidP="009C6A89">
            <w:pPr>
              <w:pStyle w:val="TableTextCentered"/>
            </w:pPr>
            <w:r w:rsidRPr="00CE5007">
              <w:t>5.26</w:t>
            </w:r>
          </w:p>
        </w:tc>
        <w:tc>
          <w:tcPr>
            <w:tcW w:w="1073" w:type="pct"/>
            <w:tcBorders>
              <w:bottom w:val="single" w:sz="4" w:space="0" w:color="auto"/>
            </w:tcBorders>
          </w:tcPr>
          <w:p w:rsidR="003C50C4" w:rsidRPr="00CE5007" w:rsidRDefault="003C50C4" w:rsidP="009C6A89">
            <w:pPr>
              <w:pStyle w:val="TableTextCentered"/>
            </w:pPr>
            <w:r w:rsidRPr="00CE5007">
              <w:t>-8</w:t>
            </w:r>
            <w:r>
              <w:t>.00</w:t>
            </w:r>
          </w:p>
        </w:tc>
      </w:tr>
      <w:tr w:rsidR="003C50C4" w:rsidTr="00511F2C">
        <w:tc>
          <w:tcPr>
            <w:tcW w:w="1009" w:type="pct"/>
            <w:tcBorders>
              <w:bottom w:val="single" w:sz="4" w:space="0" w:color="auto"/>
            </w:tcBorders>
          </w:tcPr>
          <w:p w:rsidR="003C50C4" w:rsidRPr="00CE5007" w:rsidRDefault="003C50C4" w:rsidP="003C50C4">
            <w:pPr>
              <w:pStyle w:val="TableText"/>
              <w:jc w:val="center"/>
            </w:pPr>
            <w:r w:rsidRPr="00807FB9">
              <w:t>201</w:t>
            </w:r>
            <w:r>
              <w:t>7–1</w:t>
            </w:r>
            <w:r w:rsidRPr="00807FB9">
              <w:t>8</w:t>
            </w:r>
          </w:p>
        </w:tc>
        <w:tc>
          <w:tcPr>
            <w:tcW w:w="962" w:type="pct"/>
            <w:tcBorders>
              <w:bottom w:val="single" w:sz="4" w:space="0" w:color="auto"/>
            </w:tcBorders>
          </w:tcPr>
          <w:p w:rsidR="003C50C4" w:rsidRPr="00CE5007" w:rsidRDefault="003C50C4" w:rsidP="009C6A89">
            <w:pPr>
              <w:pStyle w:val="TableTextCentered"/>
            </w:pPr>
            <w:r>
              <w:t>0</w:t>
            </w:r>
            <w:r w:rsidRPr="00CE5007">
              <w:t>.18</w:t>
            </w:r>
          </w:p>
        </w:tc>
        <w:tc>
          <w:tcPr>
            <w:tcW w:w="1059" w:type="pct"/>
            <w:tcBorders>
              <w:bottom w:val="single" w:sz="4" w:space="0" w:color="auto"/>
            </w:tcBorders>
          </w:tcPr>
          <w:p w:rsidR="003C50C4" w:rsidRPr="00CE5007" w:rsidRDefault="003C50C4" w:rsidP="009C6A89">
            <w:pPr>
              <w:pStyle w:val="TableTextCentered"/>
            </w:pPr>
            <w:r w:rsidRPr="00CE5007">
              <w:t>-1.2</w:t>
            </w:r>
            <w:r>
              <w:t>0</w:t>
            </w:r>
          </w:p>
        </w:tc>
        <w:tc>
          <w:tcPr>
            <w:tcW w:w="897" w:type="pct"/>
            <w:tcBorders>
              <w:bottom w:val="single" w:sz="4" w:space="0" w:color="auto"/>
            </w:tcBorders>
          </w:tcPr>
          <w:p w:rsidR="003C50C4" w:rsidRPr="00CE5007" w:rsidRDefault="003C50C4" w:rsidP="009C6A89">
            <w:pPr>
              <w:pStyle w:val="TableTextCentered"/>
            </w:pPr>
            <w:r w:rsidRPr="00CE5007">
              <w:t>6.08</w:t>
            </w:r>
          </w:p>
        </w:tc>
        <w:tc>
          <w:tcPr>
            <w:tcW w:w="1073" w:type="pct"/>
            <w:tcBorders>
              <w:bottom w:val="single" w:sz="4" w:space="0" w:color="auto"/>
            </w:tcBorders>
          </w:tcPr>
          <w:p w:rsidR="003C50C4" w:rsidRPr="00CE5007" w:rsidRDefault="003C50C4" w:rsidP="009C6A89">
            <w:pPr>
              <w:pStyle w:val="TableTextCentered"/>
            </w:pPr>
            <w:r w:rsidRPr="00CE5007">
              <w:t>-8.54</w:t>
            </w:r>
          </w:p>
        </w:tc>
      </w:tr>
      <w:tr w:rsidR="003C50C4" w:rsidTr="00511F2C">
        <w:tc>
          <w:tcPr>
            <w:tcW w:w="1009" w:type="pct"/>
            <w:tcBorders>
              <w:bottom w:val="single" w:sz="4" w:space="0" w:color="auto"/>
            </w:tcBorders>
          </w:tcPr>
          <w:p w:rsidR="003C50C4" w:rsidRPr="00CE5007" w:rsidRDefault="003C50C4" w:rsidP="003C50C4">
            <w:pPr>
              <w:pStyle w:val="TableText"/>
              <w:jc w:val="center"/>
            </w:pPr>
            <w:r w:rsidRPr="00807FB9">
              <w:t>201</w:t>
            </w:r>
            <w:r>
              <w:t>8–1</w:t>
            </w:r>
            <w:r w:rsidRPr="00807FB9">
              <w:t>9</w:t>
            </w:r>
          </w:p>
        </w:tc>
        <w:tc>
          <w:tcPr>
            <w:tcW w:w="962" w:type="pct"/>
            <w:tcBorders>
              <w:bottom w:val="single" w:sz="4" w:space="0" w:color="auto"/>
            </w:tcBorders>
          </w:tcPr>
          <w:p w:rsidR="003C50C4" w:rsidRPr="00CE5007" w:rsidRDefault="003C50C4" w:rsidP="009C6A89">
            <w:pPr>
              <w:pStyle w:val="TableTextCentered"/>
            </w:pPr>
            <w:r>
              <w:t>0</w:t>
            </w:r>
            <w:r w:rsidRPr="00CE5007">
              <w:t>.45</w:t>
            </w:r>
          </w:p>
        </w:tc>
        <w:tc>
          <w:tcPr>
            <w:tcW w:w="1059" w:type="pct"/>
            <w:tcBorders>
              <w:bottom w:val="single" w:sz="4" w:space="0" w:color="auto"/>
            </w:tcBorders>
          </w:tcPr>
          <w:p w:rsidR="003C50C4" w:rsidRPr="00CE5007" w:rsidRDefault="003C50C4" w:rsidP="009C6A89">
            <w:pPr>
              <w:pStyle w:val="TableTextCentered"/>
            </w:pPr>
            <w:r w:rsidRPr="00CE5007">
              <w:t>-1.03</w:t>
            </w:r>
          </w:p>
        </w:tc>
        <w:tc>
          <w:tcPr>
            <w:tcW w:w="897" w:type="pct"/>
            <w:tcBorders>
              <w:bottom w:val="single" w:sz="4" w:space="0" w:color="auto"/>
            </w:tcBorders>
          </w:tcPr>
          <w:p w:rsidR="003C50C4" w:rsidRPr="00CE5007" w:rsidRDefault="003C50C4" w:rsidP="009C6A89">
            <w:pPr>
              <w:pStyle w:val="TableTextCentered"/>
            </w:pPr>
            <w:r w:rsidRPr="00CE5007">
              <w:t>7.02</w:t>
            </w:r>
          </w:p>
        </w:tc>
        <w:tc>
          <w:tcPr>
            <w:tcW w:w="1073" w:type="pct"/>
            <w:tcBorders>
              <w:bottom w:val="single" w:sz="4" w:space="0" w:color="auto"/>
            </w:tcBorders>
          </w:tcPr>
          <w:p w:rsidR="003C50C4" w:rsidRPr="00CE5007" w:rsidRDefault="003C50C4" w:rsidP="009C6A89">
            <w:pPr>
              <w:pStyle w:val="TableTextCentered"/>
            </w:pPr>
            <w:r w:rsidRPr="00CE5007">
              <w:t>-9.16</w:t>
            </w:r>
          </w:p>
        </w:tc>
      </w:tr>
      <w:tr w:rsidR="003C50C4" w:rsidTr="00511F2C">
        <w:tc>
          <w:tcPr>
            <w:tcW w:w="1009" w:type="pct"/>
            <w:tcBorders>
              <w:bottom w:val="single" w:sz="4" w:space="0" w:color="auto"/>
            </w:tcBorders>
          </w:tcPr>
          <w:p w:rsidR="003C50C4" w:rsidRPr="00CE5007" w:rsidRDefault="003C50C4" w:rsidP="003C50C4">
            <w:pPr>
              <w:pStyle w:val="TableText"/>
              <w:jc w:val="center"/>
            </w:pPr>
            <w:r w:rsidRPr="00807FB9">
              <w:t>20</w:t>
            </w:r>
            <w:r>
              <w:t>19–</w:t>
            </w:r>
            <w:r w:rsidRPr="00807FB9">
              <w:t>20</w:t>
            </w:r>
          </w:p>
        </w:tc>
        <w:tc>
          <w:tcPr>
            <w:tcW w:w="962" w:type="pct"/>
            <w:tcBorders>
              <w:bottom w:val="single" w:sz="4" w:space="0" w:color="auto"/>
            </w:tcBorders>
          </w:tcPr>
          <w:p w:rsidR="003C50C4" w:rsidRPr="00CE5007" w:rsidRDefault="003C50C4" w:rsidP="009C6A89">
            <w:pPr>
              <w:pStyle w:val="TableTextCentered"/>
            </w:pPr>
            <w:r>
              <w:t>0</w:t>
            </w:r>
            <w:r w:rsidRPr="00CE5007">
              <w:t>.65</w:t>
            </w:r>
          </w:p>
        </w:tc>
        <w:tc>
          <w:tcPr>
            <w:tcW w:w="1059" w:type="pct"/>
            <w:tcBorders>
              <w:bottom w:val="single" w:sz="4" w:space="0" w:color="auto"/>
            </w:tcBorders>
          </w:tcPr>
          <w:p w:rsidR="003C50C4" w:rsidRPr="00CE5007" w:rsidRDefault="003C50C4" w:rsidP="009C6A89">
            <w:pPr>
              <w:pStyle w:val="TableTextCentered"/>
            </w:pPr>
            <w:r w:rsidRPr="00CE5007">
              <w:t>-1.19</w:t>
            </w:r>
          </w:p>
        </w:tc>
        <w:tc>
          <w:tcPr>
            <w:tcW w:w="897" w:type="pct"/>
            <w:tcBorders>
              <w:bottom w:val="single" w:sz="4" w:space="0" w:color="auto"/>
            </w:tcBorders>
          </w:tcPr>
          <w:p w:rsidR="003C50C4" w:rsidRPr="00CE5007" w:rsidRDefault="003C50C4" w:rsidP="009C6A89">
            <w:pPr>
              <w:pStyle w:val="TableTextCentered"/>
            </w:pPr>
            <w:r w:rsidRPr="00CE5007">
              <w:t>7.93</w:t>
            </w:r>
          </w:p>
        </w:tc>
        <w:tc>
          <w:tcPr>
            <w:tcW w:w="1073" w:type="pct"/>
            <w:tcBorders>
              <w:bottom w:val="single" w:sz="4" w:space="0" w:color="auto"/>
            </w:tcBorders>
          </w:tcPr>
          <w:p w:rsidR="003C50C4" w:rsidRPr="00CE5007" w:rsidRDefault="003C50C4" w:rsidP="009C6A89">
            <w:pPr>
              <w:pStyle w:val="TableTextCentered"/>
            </w:pPr>
            <w:r w:rsidRPr="00CE5007">
              <w:t>-9.71</w:t>
            </w:r>
          </w:p>
        </w:tc>
      </w:tr>
      <w:tr w:rsidR="003C50C4" w:rsidTr="00511F2C">
        <w:tc>
          <w:tcPr>
            <w:tcW w:w="1009" w:type="pct"/>
            <w:tcBorders>
              <w:bottom w:val="single" w:sz="4" w:space="0" w:color="auto"/>
            </w:tcBorders>
          </w:tcPr>
          <w:p w:rsidR="003C50C4" w:rsidRPr="00CE5007" w:rsidRDefault="003C50C4" w:rsidP="003C50C4">
            <w:pPr>
              <w:pStyle w:val="TableText"/>
              <w:jc w:val="center"/>
            </w:pPr>
            <w:r w:rsidRPr="00807FB9">
              <w:t>202</w:t>
            </w:r>
            <w:r>
              <w:t>0–2</w:t>
            </w:r>
            <w:r w:rsidRPr="00807FB9">
              <w:t>1</w:t>
            </w:r>
          </w:p>
        </w:tc>
        <w:tc>
          <w:tcPr>
            <w:tcW w:w="962" w:type="pct"/>
            <w:tcBorders>
              <w:bottom w:val="single" w:sz="4" w:space="0" w:color="auto"/>
            </w:tcBorders>
          </w:tcPr>
          <w:p w:rsidR="003C50C4" w:rsidRPr="00CE5007" w:rsidRDefault="003C50C4" w:rsidP="009C6A89">
            <w:pPr>
              <w:pStyle w:val="TableTextCentered"/>
            </w:pPr>
            <w:r>
              <w:t>0</w:t>
            </w:r>
            <w:r w:rsidRPr="00CE5007">
              <w:t>.77</w:t>
            </w:r>
          </w:p>
        </w:tc>
        <w:tc>
          <w:tcPr>
            <w:tcW w:w="1059" w:type="pct"/>
            <w:tcBorders>
              <w:bottom w:val="single" w:sz="4" w:space="0" w:color="auto"/>
            </w:tcBorders>
          </w:tcPr>
          <w:p w:rsidR="003C50C4" w:rsidRPr="00CE5007" w:rsidRDefault="003C50C4" w:rsidP="009C6A89">
            <w:pPr>
              <w:pStyle w:val="TableTextCentered"/>
            </w:pPr>
            <w:r w:rsidRPr="00CE5007">
              <w:t>-1.48</w:t>
            </w:r>
          </w:p>
        </w:tc>
        <w:tc>
          <w:tcPr>
            <w:tcW w:w="897" w:type="pct"/>
            <w:tcBorders>
              <w:bottom w:val="single" w:sz="4" w:space="0" w:color="auto"/>
            </w:tcBorders>
          </w:tcPr>
          <w:p w:rsidR="003C50C4" w:rsidRPr="00CE5007" w:rsidRDefault="003C50C4" w:rsidP="009C6A89">
            <w:pPr>
              <w:pStyle w:val="TableTextCentered"/>
            </w:pPr>
            <w:r w:rsidRPr="00CE5007">
              <w:t>8.6</w:t>
            </w:r>
            <w:r>
              <w:t>0</w:t>
            </w:r>
          </w:p>
        </w:tc>
        <w:tc>
          <w:tcPr>
            <w:tcW w:w="1073" w:type="pct"/>
            <w:tcBorders>
              <w:bottom w:val="single" w:sz="4" w:space="0" w:color="auto"/>
            </w:tcBorders>
          </w:tcPr>
          <w:p w:rsidR="003C50C4" w:rsidRPr="00CE5007" w:rsidRDefault="003C50C4" w:rsidP="009C6A89">
            <w:pPr>
              <w:pStyle w:val="TableTextCentered"/>
            </w:pPr>
            <w:r w:rsidRPr="00CE5007">
              <w:t>-10.29</w:t>
            </w:r>
          </w:p>
        </w:tc>
      </w:tr>
      <w:tr w:rsidR="003C50C4" w:rsidTr="00511F2C">
        <w:tc>
          <w:tcPr>
            <w:tcW w:w="1009" w:type="pct"/>
            <w:tcBorders>
              <w:bottom w:val="single" w:sz="4" w:space="0" w:color="auto"/>
            </w:tcBorders>
          </w:tcPr>
          <w:p w:rsidR="003C50C4" w:rsidRPr="00CE5007" w:rsidRDefault="003C50C4" w:rsidP="003C50C4">
            <w:pPr>
              <w:pStyle w:val="TableText"/>
              <w:jc w:val="center"/>
            </w:pPr>
            <w:r w:rsidRPr="00807FB9">
              <w:t>202</w:t>
            </w:r>
            <w:r>
              <w:t>1–2</w:t>
            </w:r>
            <w:r w:rsidRPr="00807FB9">
              <w:t>2</w:t>
            </w:r>
          </w:p>
        </w:tc>
        <w:tc>
          <w:tcPr>
            <w:tcW w:w="962" w:type="pct"/>
            <w:tcBorders>
              <w:bottom w:val="single" w:sz="4" w:space="0" w:color="auto"/>
            </w:tcBorders>
          </w:tcPr>
          <w:p w:rsidR="003C50C4" w:rsidRPr="00CE5007" w:rsidRDefault="003C50C4" w:rsidP="009C6A89">
            <w:pPr>
              <w:pStyle w:val="TableTextCentered"/>
            </w:pPr>
            <w:r w:rsidRPr="00CE5007">
              <w:t>1.06</w:t>
            </w:r>
          </w:p>
        </w:tc>
        <w:tc>
          <w:tcPr>
            <w:tcW w:w="1059" w:type="pct"/>
            <w:tcBorders>
              <w:bottom w:val="single" w:sz="4" w:space="0" w:color="auto"/>
            </w:tcBorders>
          </w:tcPr>
          <w:p w:rsidR="003C50C4" w:rsidRPr="00CE5007" w:rsidRDefault="003C50C4" w:rsidP="009C6A89">
            <w:pPr>
              <w:pStyle w:val="TableTextCentered"/>
            </w:pPr>
            <w:r w:rsidRPr="00CE5007">
              <w:t>-1.57</w:t>
            </w:r>
          </w:p>
        </w:tc>
        <w:tc>
          <w:tcPr>
            <w:tcW w:w="897" w:type="pct"/>
            <w:tcBorders>
              <w:bottom w:val="single" w:sz="4" w:space="0" w:color="auto"/>
            </w:tcBorders>
          </w:tcPr>
          <w:p w:rsidR="003C50C4" w:rsidRPr="00CE5007" w:rsidRDefault="003C50C4" w:rsidP="009C6A89">
            <w:pPr>
              <w:pStyle w:val="TableTextCentered"/>
            </w:pPr>
            <w:r w:rsidRPr="00CE5007">
              <w:t>9.32</w:t>
            </w:r>
          </w:p>
        </w:tc>
        <w:tc>
          <w:tcPr>
            <w:tcW w:w="1073" w:type="pct"/>
            <w:tcBorders>
              <w:bottom w:val="single" w:sz="4" w:space="0" w:color="auto"/>
            </w:tcBorders>
          </w:tcPr>
          <w:p w:rsidR="003C50C4" w:rsidRPr="00CE5007" w:rsidRDefault="003C50C4" w:rsidP="009C6A89">
            <w:pPr>
              <w:pStyle w:val="TableTextCentered"/>
            </w:pPr>
            <w:r w:rsidRPr="00CE5007">
              <w:t>-10.77</w:t>
            </w:r>
          </w:p>
        </w:tc>
      </w:tr>
      <w:tr w:rsidR="003C50C4" w:rsidTr="00511F2C">
        <w:tc>
          <w:tcPr>
            <w:tcW w:w="1009" w:type="pct"/>
            <w:tcBorders>
              <w:bottom w:val="single" w:sz="4" w:space="0" w:color="auto"/>
            </w:tcBorders>
          </w:tcPr>
          <w:p w:rsidR="003C50C4" w:rsidRPr="00CE5007" w:rsidRDefault="003C50C4" w:rsidP="003C50C4">
            <w:pPr>
              <w:pStyle w:val="TableText"/>
              <w:jc w:val="center"/>
            </w:pPr>
            <w:r w:rsidRPr="00807FB9">
              <w:t>202</w:t>
            </w:r>
            <w:r>
              <w:t>2–2</w:t>
            </w:r>
            <w:r w:rsidRPr="00807FB9">
              <w:t>3</w:t>
            </w:r>
          </w:p>
        </w:tc>
        <w:tc>
          <w:tcPr>
            <w:tcW w:w="962" w:type="pct"/>
            <w:tcBorders>
              <w:bottom w:val="single" w:sz="4" w:space="0" w:color="auto"/>
            </w:tcBorders>
          </w:tcPr>
          <w:p w:rsidR="003C50C4" w:rsidRPr="00CE5007" w:rsidRDefault="003C50C4" w:rsidP="009C6A89">
            <w:pPr>
              <w:pStyle w:val="TableTextCentered"/>
            </w:pPr>
            <w:r w:rsidRPr="00CE5007">
              <w:t>1.44</w:t>
            </w:r>
          </w:p>
        </w:tc>
        <w:tc>
          <w:tcPr>
            <w:tcW w:w="1059" w:type="pct"/>
            <w:tcBorders>
              <w:bottom w:val="single" w:sz="4" w:space="0" w:color="auto"/>
            </w:tcBorders>
          </w:tcPr>
          <w:p w:rsidR="003C50C4" w:rsidRPr="00CE5007" w:rsidRDefault="003C50C4" w:rsidP="009C6A89">
            <w:pPr>
              <w:pStyle w:val="TableTextCentered"/>
            </w:pPr>
            <w:r w:rsidRPr="00CE5007">
              <w:t>-1.76</w:t>
            </w:r>
          </w:p>
        </w:tc>
        <w:tc>
          <w:tcPr>
            <w:tcW w:w="897" w:type="pct"/>
            <w:tcBorders>
              <w:bottom w:val="single" w:sz="4" w:space="0" w:color="auto"/>
            </w:tcBorders>
          </w:tcPr>
          <w:p w:rsidR="003C50C4" w:rsidRPr="00CE5007" w:rsidRDefault="003C50C4" w:rsidP="009C6A89">
            <w:pPr>
              <w:pStyle w:val="TableTextCentered"/>
            </w:pPr>
            <w:r w:rsidRPr="00CE5007">
              <w:t>10.09</w:t>
            </w:r>
          </w:p>
        </w:tc>
        <w:tc>
          <w:tcPr>
            <w:tcW w:w="1073" w:type="pct"/>
            <w:tcBorders>
              <w:bottom w:val="single" w:sz="4" w:space="0" w:color="auto"/>
            </w:tcBorders>
          </w:tcPr>
          <w:p w:rsidR="003C50C4" w:rsidRPr="00CE5007" w:rsidRDefault="003C50C4" w:rsidP="009C6A89">
            <w:pPr>
              <w:pStyle w:val="TableTextCentered"/>
            </w:pPr>
            <w:r w:rsidRPr="00CE5007">
              <w:t>-11.24</w:t>
            </w:r>
          </w:p>
        </w:tc>
      </w:tr>
      <w:tr w:rsidR="003C50C4" w:rsidTr="00511F2C">
        <w:tc>
          <w:tcPr>
            <w:tcW w:w="1009" w:type="pct"/>
          </w:tcPr>
          <w:p w:rsidR="003C50C4" w:rsidRPr="00CE5007" w:rsidRDefault="003C50C4" w:rsidP="003C50C4">
            <w:pPr>
              <w:pStyle w:val="TableText"/>
              <w:jc w:val="center"/>
            </w:pPr>
            <w:r w:rsidRPr="00807FB9">
              <w:t>202</w:t>
            </w:r>
            <w:r>
              <w:t>3–2</w:t>
            </w:r>
            <w:r w:rsidRPr="00807FB9">
              <w:t>4</w:t>
            </w:r>
          </w:p>
        </w:tc>
        <w:tc>
          <w:tcPr>
            <w:tcW w:w="962" w:type="pct"/>
          </w:tcPr>
          <w:p w:rsidR="003C50C4" w:rsidRPr="00CE5007" w:rsidRDefault="003C50C4" w:rsidP="009C6A89">
            <w:pPr>
              <w:pStyle w:val="TableTextCentered"/>
            </w:pPr>
            <w:r w:rsidRPr="00CE5007">
              <w:t>1.75</w:t>
            </w:r>
          </w:p>
        </w:tc>
        <w:tc>
          <w:tcPr>
            <w:tcW w:w="1059" w:type="pct"/>
          </w:tcPr>
          <w:p w:rsidR="003C50C4" w:rsidRPr="00CE5007" w:rsidRDefault="003C50C4" w:rsidP="009C6A89">
            <w:pPr>
              <w:pStyle w:val="TableTextCentered"/>
            </w:pPr>
            <w:r w:rsidRPr="00CE5007">
              <w:t>-2.01</w:t>
            </w:r>
          </w:p>
        </w:tc>
        <w:tc>
          <w:tcPr>
            <w:tcW w:w="897" w:type="pct"/>
          </w:tcPr>
          <w:p w:rsidR="003C50C4" w:rsidRPr="00CE5007" w:rsidRDefault="003C50C4" w:rsidP="009C6A89">
            <w:pPr>
              <w:pStyle w:val="TableTextCentered"/>
            </w:pPr>
            <w:r w:rsidRPr="00CE5007">
              <w:t>10.99</w:t>
            </w:r>
          </w:p>
        </w:tc>
        <w:tc>
          <w:tcPr>
            <w:tcW w:w="1073" w:type="pct"/>
          </w:tcPr>
          <w:p w:rsidR="003C50C4" w:rsidRPr="00CE5007" w:rsidRDefault="003C50C4" w:rsidP="009C6A89">
            <w:pPr>
              <w:pStyle w:val="TableTextCentered"/>
            </w:pPr>
            <w:r w:rsidRPr="00CE5007">
              <w:t>-11.72</w:t>
            </w:r>
          </w:p>
        </w:tc>
      </w:tr>
    </w:tbl>
    <w:p w:rsidR="00214E02" w:rsidRPr="00B55A5C" w:rsidRDefault="00214E02" w:rsidP="00B55A5C">
      <w:pPr>
        <w:pStyle w:val="BodyText"/>
        <w:spacing w:before="0" w:after="0"/>
        <w:rPr>
          <w:rFonts w:asciiTheme="majorHAnsi" w:hAnsiTheme="majorHAnsi" w:cstheme="majorHAnsi"/>
          <w:i/>
          <w:sz w:val="20"/>
          <w:szCs w:val="20"/>
        </w:rPr>
      </w:pPr>
      <w:r w:rsidRPr="00B55A5C">
        <w:rPr>
          <w:rFonts w:asciiTheme="majorHAnsi" w:hAnsiTheme="majorHAnsi" w:cstheme="majorHAnsi"/>
          <w:i/>
          <w:sz w:val="20"/>
          <w:szCs w:val="20"/>
        </w:rPr>
        <w:t xml:space="preserve">Note. </w:t>
      </w:r>
      <w:r w:rsidR="00090E9F" w:rsidRPr="00B55A5C">
        <w:rPr>
          <w:rFonts w:asciiTheme="majorHAnsi" w:hAnsiTheme="majorHAnsi" w:cstheme="majorHAnsi"/>
          <w:sz w:val="20"/>
          <w:szCs w:val="20"/>
        </w:rPr>
        <w:t>Relative</w:t>
      </w:r>
      <w:r w:rsidRPr="00B55A5C">
        <w:rPr>
          <w:rFonts w:asciiTheme="majorHAnsi" w:hAnsiTheme="majorHAnsi" w:cstheme="majorHAnsi"/>
          <w:sz w:val="20"/>
          <w:szCs w:val="20"/>
        </w:rPr>
        <w:t xml:space="preserve"> </w:t>
      </w:r>
      <w:r w:rsidR="009C29CD" w:rsidRPr="00B55A5C">
        <w:rPr>
          <w:rFonts w:asciiTheme="majorHAnsi" w:hAnsiTheme="majorHAnsi" w:cstheme="majorHAnsi"/>
          <w:sz w:val="20"/>
          <w:szCs w:val="20"/>
        </w:rPr>
        <w:t>D</w:t>
      </w:r>
      <w:r w:rsidRPr="00B55A5C">
        <w:rPr>
          <w:rFonts w:asciiTheme="majorHAnsi" w:hAnsiTheme="majorHAnsi" w:cstheme="majorHAnsi"/>
          <w:sz w:val="20"/>
          <w:szCs w:val="20"/>
        </w:rPr>
        <w:t>ifference = (Supply-Demand)/Demand.</w:t>
      </w:r>
    </w:p>
    <w:p w:rsidR="004102E2" w:rsidRDefault="00A02BBC" w:rsidP="004102E2">
      <w:pPr>
        <w:pStyle w:val="ExhibitTitle"/>
      </w:pPr>
      <w:proofErr w:type="gramStart"/>
      <w:r>
        <w:t>Figure 2</w:t>
      </w:r>
      <w:r w:rsidR="00DB10EA">
        <w:t>4</w:t>
      </w:r>
      <w:r w:rsidR="00C157EC" w:rsidRPr="006D0A7C">
        <w:t>.</w:t>
      </w:r>
      <w:proofErr w:type="gramEnd"/>
      <w:r w:rsidR="00C157EC" w:rsidRPr="006D0A7C">
        <w:t xml:space="preserve"> </w:t>
      </w:r>
      <w:r w:rsidR="00C157EC">
        <w:t xml:space="preserve">Historical and Projected Statewide Supply and Demand for </w:t>
      </w:r>
      <w:r w:rsidR="00AB1442">
        <w:t xml:space="preserve">Teachers in </w:t>
      </w:r>
      <w:r w:rsidR="00C157EC">
        <w:t>the Lowell</w:t>
      </w:r>
      <w:r w:rsidR="00214E02">
        <w:t>–</w:t>
      </w:r>
      <w:r w:rsidR="00C157EC">
        <w:t>Lawrence Metropolitan Area in Terms of FTEs</w:t>
      </w:r>
      <w:r w:rsidR="00214E02">
        <w:t>,</w:t>
      </w:r>
      <w:r w:rsidR="00C157EC">
        <w:t xml:space="preserve"> 2008</w:t>
      </w:r>
      <w:r w:rsidR="00214E02">
        <w:t>–</w:t>
      </w:r>
      <w:r w:rsidR="00C157EC">
        <w:t>09</w:t>
      </w:r>
      <w:r w:rsidR="0092042A">
        <w:t xml:space="preserve"> </w:t>
      </w:r>
      <w:proofErr w:type="gramStart"/>
      <w:r w:rsidR="0092042A">
        <w:t>Through</w:t>
      </w:r>
      <w:proofErr w:type="gramEnd"/>
      <w:r w:rsidR="0092042A">
        <w:t xml:space="preserve"> </w:t>
      </w:r>
      <w:r w:rsidR="00C157EC">
        <w:t>2023</w:t>
      </w:r>
      <w:r w:rsidR="00214E02">
        <w:t>–</w:t>
      </w:r>
      <w:r w:rsidR="00C157EC">
        <w:t>24</w:t>
      </w:r>
    </w:p>
    <w:p w:rsidR="00C157EC" w:rsidRPr="00E43B6F" w:rsidRDefault="00C157EC" w:rsidP="004102E2">
      <w:pPr>
        <w:pStyle w:val="FigurePlacement"/>
      </w:pPr>
      <w:r w:rsidRPr="006E142A">
        <w:rPr>
          <w:noProof/>
          <w:lang w:eastAsia="zh-CN" w:bidi="km-KH"/>
        </w:rPr>
        <w:drawing>
          <wp:inline distT="0" distB="0" distL="0" distR="0">
            <wp:extent cx="5628556" cy="3656965"/>
            <wp:effectExtent l="19050" t="0" r="0" b="0"/>
            <wp:docPr id="40" name="Picture 40" descr="Figure 24 shows the projected supply and demand trends underlying the shortages expected for Lowell–Lawrence. Worcester is also expected to experience an increasing teacher shortage over time, growing from 0.79 percent in 2014–15 to 1.76 percent by 2023–24, but the size of the projected shortage is much smaller than that of Lowell–Lawrence. In contrast to the expected trends found for Lowell–Lawrence and Worcester, the results suggest that Springfield will experience an increasing surplus over the period, while there is expected to be a small but gradually increasing surplus in Boston. &#10;&#10;Figure 24. Historical and Projected Statewide Supply and Demand for Teachers in the Lowell–Lawrence Metropolitan Area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218" t="3406" r="3222" b="6798"/>
                    <a:stretch/>
                  </pic:blipFill>
                  <pic:spPr bwMode="auto">
                    <a:xfrm>
                      <a:off x="0" y="0"/>
                      <a:ext cx="5629533"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bookmarkEnd w:id="99"/>
    <w:p w:rsidR="00C157EC" w:rsidRDefault="00C157EC" w:rsidP="004102E2">
      <w:pPr>
        <w:pStyle w:val="Heading4"/>
      </w:pPr>
      <w:r>
        <w:t>Validity of Results</w:t>
      </w:r>
    </w:p>
    <w:p w:rsidR="00C157EC" w:rsidRDefault="00C157EC" w:rsidP="004102E2">
      <w:pPr>
        <w:pStyle w:val="BodyText"/>
      </w:pPr>
      <w:r>
        <w:t xml:space="preserve">As with previous analyses, to assess the validity of the results presented for </w:t>
      </w:r>
      <w:r w:rsidR="008E529B">
        <w:t>R</w:t>
      </w:r>
      <w:r>
        <w:t xml:space="preserve">esearch </w:t>
      </w:r>
      <w:r w:rsidR="008E529B">
        <w:t>Q</w:t>
      </w:r>
      <w:r>
        <w:t>uestion 5</w:t>
      </w:r>
      <w:r w:rsidR="008E529B">
        <w:t>,</w:t>
      </w:r>
      <w:r>
        <w:t xml:space="preserve"> </w:t>
      </w:r>
      <w:r w:rsidR="008E529B">
        <w:t xml:space="preserve">the AIR research team </w:t>
      </w:r>
      <w:r>
        <w:t>compared the actual and projected values for historical years and calculated the relative difference between the two (i.e.</w:t>
      </w:r>
      <w:r w:rsidR="008E529B">
        <w:t>,</w:t>
      </w:r>
      <w:r>
        <w:t xml:space="preserve"> APEs and MAPEs).</w:t>
      </w:r>
      <w:r>
        <w:rPr>
          <w:rStyle w:val="FootnoteReference"/>
        </w:rPr>
        <w:footnoteReference w:id="29"/>
      </w:r>
      <w:r>
        <w:t xml:space="preserve"> </w:t>
      </w:r>
      <w:r w:rsidR="006A360F">
        <w:t>T</w:t>
      </w:r>
      <w:r>
        <w:t xml:space="preserve">he metrics for both supply and demand for each of the groupings reported for </w:t>
      </w:r>
      <w:r w:rsidR="006A360F">
        <w:t>R</w:t>
      </w:r>
      <w:r>
        <w:t xml:space="preserve">esearch </w:t>
      </w:r>
      <w:r w:rsidR="006A360F">
        <w:t>Q</w:t>
      </w:r>
      <w:r>
        <w:t>uestion 5</w:t>
      </w:r>
      <w:r w:rsidR="006A360F">
        <w:t xml:space="preserve"> were calculated</w:t>
      </w:r>
      <w:r>
        <w:t xml:space="preserve">. Notable findings are reported below, </w:t>
      </w:r>
      <w:r w:rsidR="006A360F">
        <w:t xml:space="preserve">and </w:t>
      </w:r>
      <w:r>
        <w:t>a full listing of the corresponding APEs and MAPEs for these analyses can be found in Appendix C.</w:t>
      </w:r>
    </w:p>
    <w:p w:rsidR="00C157EC" w:rsidRDefault="00C157EC" w:rsidP="00C157EC">
      <w:pPr>
        <w:pStyle w:val="Heading5"/>
      </w:pPr>
      <w:r>
        <w:t xml:space="preserve">Demand Projections </w:t>
      </w:r>
    </w:p>
    <w:p w:rsidR="00C157EC" w:rsidRDefault="00C157EC" w:rsidP="004102E2">
      <w:pPr>
        <w:pStyle w:val="BodyText"/>
      </w:pPr>
      <w:r>
        <w:t>When the APE and MAPE measures for the demand projections</w:t>
      </w:r>
      <w:r w:rsidR="00A0650E">
        <w:t xml:space="preserve"> are considered</w:t>
      </w:r>
      <w:r>
        <w:t xml:space="preserve">, </w:t>
      </w:r>
      <w:r w:rsidR="00A0650E">
        <w:t>it was found</w:t>
      </w:r>
      <w:r>
        <w:t xml:space="preserve"> that no MAPEs rise above 5 percent, indicating that the error in </w:t>
      </w:r>
      <w:r w:rsidR="00A0650E">
        <w:t xml:space="preserve">AIR’ </w:t>
      </w:r>
      <w:r>
        <w:t>projections is relatively small. In general, the errors tend to be in the regions with the largest populations and in metropolitan areas. The largest MAPE was 4.65 percent</w:t>
      </w:r>
      <w:r w:rsidR="00C10CD7">
        <w:t>,</w:t>
      </w:r>
      <w:r>
        <w:t xml:space="preserve"> found in the Greater Boston region. The MAPEs were also higher for the Lowell</w:t>
      </w:r>
      <w:r w:rsidR="00C10CD7">
        <w:t>–</w:t>
      </w:r>
      <w:r>
        <w:t>Lawrence and Worcester metropolitan areas at 3.39 percent and 2.69 percent, respectively. In contrast, there were MAPEs as low as 0.44 percent (suburban locales) and 0.79 percent (the area around Boston University).</w:t>
      </w:r>
    </w:p>
    <w:p w:rsidR="00C157EC" w:rsidRDefault="00C157EC" w:rsidP="004102E2">
      <w:pPr>
        <w:pStyle w:val="BodyText"/>
      </w:pPr>
      <w:r>
        <w:t xml:space="preserve">With respect to bias measured using APEs, </w:t>
      </w:r>
      <w:r w:rsidR="00A8214C">
        <w:t>there</w:t>
      </w:r>
      <w:r>
        <w:t xml:space="preserve"> tend to </w:t>
      </w:r>
      <w:r w:rsidR="00A8214C">
        <w:t>be</w:t>
      </w:r>
      <w:r>
        <w:t xml:space="preserve"> more positive biases, indicating that in general </w:t>
      </w:r>
      <w:r w:rsidR="00A8214C">
        <w:t xml:space="preserve">AIR’s </w:t>
      </w:r>
      <w:r>
        <w:t>projections tend to be higher than the actual value in historical years. These biases ranged from less than 0.00 percent to slightly higher than 4 percent.</w:t>
      </w:r>
    </w:p>
    <w:p w:rsidR="00C157EC" w:rsidRDefault="00C157EC" w:rsidP="004102E2">
      <w:pPr>
        <w:pStyle w:val="Heading5"/>
      </w:pPr>
      <w:r>
        <w:t>Supply Projections</w:t>
      </w:r>
    </w:p>
    <w:p w:rsidR="00C157EC" w:rsidRDefault="00C157EC" w:rsidP="004102E2">
      <w:pPr>
        <w:pStyle w:val="BodyText"/>
      </w:pPr>
      <w:r>
        <w:t xml:space="preserve">On the supply side, the APEs and MAPEs were even lower. Specifically, the MAPEs tended to be lowest among </w:t>
      </w:r>
      <w:r w:rsidR="003F4F9F">
        <w:t xml:space="preserve">SOs </w:t>
      </w:r>
      <w:r>
        <w:t>and metro areas</w:t>
      </w:r>
      <w:r w:rsidR="00364A7C">
        <w:t>,</w:t>
      </w:r>
      <w:r>
        <w:t xml:space="preserve"> and largest among locales, ranging from less than 0.44 percent in the Springfield metropolitan area to 2.71 percent in suburban locale</w:t>
      </w:r>
      <w:r w:rsidR="00364A7C">
        <w:t>s</w:t>
      </w:r>
      <w:r>
        <w:t>. Moreover, the biases were</w:t>
      </w:r>
      <w:r w:rsidR="00364A7C">
        <w:t>,</w:t>
      </w:r>
      <w:r>
        <w:t xml:space="preserve"> for the most part</w:t>
      </w:r>
      <w:r w:rsidR="00364A7C">
        <w:t>,</w:t>
      </w:r>
      <w:r>
        <w:t xml:space="preserve"> positive, indicating that projections tend to be larger than the actual values. However, given that the calculated errors are so low, bias in either direction is in most cases negligible.</w:t>
      </w:r>
    </w:p>
    <w:p w:rsidR="00C157EC" w:rsidRDefault="00C157EC" w:rsidP="004102E2">
      <w:pPr>
        <w:pStyle w:val="BodyText"/>
      </w:pPr>
      <w:r>
        <w:t>The fact that the bias for both demand and supply projections tended to be positive suggests that</w:t>
      </w:r>
      <w:r w:rsidR="00364A7C">
        <w:t>,</w:t>
      </w:r>
      <w:r>
        <w:t xml:space="preserve"> on average</w:t>
      </w:r>
      <w:r w:rsidR="00364A7C">
        <w:t>,</w:t>
      </w:r>
      <w:r>
        <w:t xml:space="preserve"> these projections may be lower than the estimates imply. However, because both are biased in the same direction, this lessens the concern that the comparison between supply and demand could be impacted by bias in the model.</w:t>
      </w:r>
    </w:p>
    <w:p w:rsidR="00C157EC" w:rsidRDefault="00C157EC" w:rsidP="004102E2">
      <w:pPr>
        <w:pStyle w:val="BodyText"/>
      </w:pPr>
      <w:r>
        <w:t>Note that in some instances the relative magnitudes of the supply and demand biases are rather different. For example, the APE for demand for the Greater Boston region is 4.3</w:t>
      </w:r>
      <w:r w:rsidR="00364A7C">
        <w:t xml:space="preserve"> percent</w:t>
      </w:r>
      <w:r>
        <w:t xml:space="preserve"> while the APE for supply is -0.4</w:t>
      </w:r>
      <w:r w:rsidR="00364A7C">
        <w:t xml:space="preserve"> percent</w:t>
      </w:r>
      <w:r>
        <w:t xml:space="preserve">. This indicates that demand is likely to be underestimated to </w:t>
      </w:r>
      <w:r w:rsidR="000D1950">
        <w:t xml:space="preserve">a </w:t>
      </w:r>
      <w:r>
        <w:t>greater degree than supply</w:t>
      </w:r>
      <w:r w:rsidR="000D1950">
        <w:t>,</w:t>
      </w:r>
      <w:r>
        <w:t xml:space="preserve"> and subsequently that demand in Greater Boston may be higher than projections show</w:t>
      </w:r>
      <w:r w:rsidR="000D1950">
        <w:t xml:space="preserve">; </w:t>
      </w:r>
      <w:r>
        <w:t>given that Greater Boston is already expected to have slightly lower supply than demand, the projected shortage could be a bit larger.</w:t>
      </w:r>
    </w:p>
    <w:p w:rsidR="00C157EC" w:rsidRPr="00336754" w:rsidRDefault="00C157EC" w:rsidP="004102E2">
      <w:pPr>
        <w:pStyle w:val="Heading2"/>
        <w:pageBreakBefore/>
      </w:pPr>
      <w:bookmarkStart w:id="101" w:name="_Toc435461190"/>
      <w:bookmarkStart w:id="102" w:name="_Toc435784265"/>
      <w:bookmarkStart w:id="103" w:name="_Toc436724296"/>
      <w:bookmarkStart w:id="104" w:name="_Toc437284995"/>
      <w:proofErr w:type="gramStart"/>
      <w:r>
        <w:t>Section 3.</w:t>
      </w:r>
      <w:proofErr w:type="gramEnd"/>
      <w:r>
        <w:t xml:space="preserve"> </w:t>
      </w:r>
      <w:r w:rsidRPr="00336754">
        <w:t>Study Limitations</w:t>
      </w:r>
      <w:bookmarkEnd w:id="101"/>
      <w:bookmarkEnd w:id="102"/>
      <w:bookmarkEnd w:id="103"/>
      <w:bookmarkEnd w:id="104"/>
    </w:p>
    <w:p w:rsidR="00C157EC" w:rsidRDefault="00C157EC" w:rsidP="009321A9">
      <w:pPr>
        <w:pStyle w:val="BodyText"/>
      </w:pPr>
      <w:r>
        <w:t>It is important to acknowledge the limitations encountered in conducting this study and the constraints that these limitations produce in drawing conclusions from the results. The study limitations took several forms, including limitations presented by the data, as well as projection limitations inherent both in the specific methods chosen for this study and more generally in making projections from statistical models.</w:t>
      </w:r>
    </w:p>
    <w:p w:rsidR="00C157EC" w:rsidRDefault="00C157EC" w:rsidP="00C157EC">
      <w:pPr>
        <w:pStyle w:val="Heading3"/>
      </w:pPr>
      <w:bookmarkStart w:id="105" w:name="_Toc435784266"/>
      <w:bookmarkStart w:id="106" w:name="_Toc436724297"/>
      <w:bookmarkStart w:id="107" w:name="_Toc437284996"/>
      <w:r>
        <w:t>Data Limitations</w:t>
      </w:r>
      <w:bookmarkEnd w:id="105"/>
      <w:bookmarkEnd w:id="106"/>
      <w:bookmarkEnd w:id="107"/>
    </w:p>
    <w:p w:rsidR="00C157EC" w:rsidRDefault="00C157EC" w:rsidP="009321A9">
      <w:pPr>
        <w:pStyle w:val="BodyText"/>
      </w:pPr>
      <w:r>
        <w:t xml:space="preserve">The data used in </w:t>
      </w:r>
      <w:proofErr w:type="spellStart"/>
      <w:r>
        <w:t>in</w:t>
      </w:r>
      <w:proofErr w:type="spellEnd"/>
      <w:r>
        <w:t xml:space="preserve"> this study was limited in a few fundamental ways. First, most of the data used was aggregated from the school</w:t>
      </w:r>
      <w:r w:rsidR="00F95A87">
        <w:t xml:space="preserve"> level</w:t>
      </w:r>
      <w:r>
        <w:t xml:space="preserve"> to the district level, leading to a lack of granularity that individual data would offer. This limited the types of questions </w:t>
      </w:r>
      <w:r w:rsidR="00F95A87">
        <w:t xml:space="preserve">that </w:t>
      </w:r>
      <w:r>
        <w:t>could be answered</w:t>
      </w:r>
      <w:r w:rsidR="00F95A87">
        <w:t>,</w:t>
      </w:r>
      <w:r>
        <w:t xml:space="preserve"> </w:t>
      </w:r>
      <w:r w:rsidR="00F95A87">
        <w:t xml:space="preserve">which </w:t>
      </w:r>
      <w:r>
        <w:t xml:space="preserve">potentially led to less clarity in the results. For example, because data on retention only indicates the total number of teachers retained, </w:t>
      </w:r>
      <w:r w:rsidR="00F95A87">
        <w:t>it is not possible to</w:t>
      </w:r>
      <w:r>
        <w:t xml:space="preserve"> determine whether the teachers that were not retained exited the workforce entirely or transferred to another district within the state. Similarly, a lack of readily available data on the numbers of new teachers entering a district from an </w:t>
      </w:r>
      <w:r w:rsidR="009C4B08">
        <w:t xml:space="preserve">SO </w:t>
      </w:r>
      <w:r>
        <w:t xml:space="preserve">necessitated a series of assumptions pertaining to the transition of teacher preparation program completers  into the workforce (e.g., which districts program completers found employment). </w:t>
      </w:r>
    </w:p>
    <w:p w:rsidR="00C157EC" w:rsidRDefault="00C157EC" w:rsidP="00C157EC">
      <w:pPr>
        <w:pStyle w:val="Heading3"/>
      </w:pPr>
      <w:bookmarkStart w:id="108" w:name="_Toc435784267"/>
      <w:bookmarkStart w:id="109" w:name="_Toc436724298"/>
      <w:bookmarkStart w:id="110" w:name="_Toc437284997"/>
      <w:r>
        <w:t>Projection Limitations</w:t>
      </w:r>
      <w:bookmarkEnd w:id="108"/>
      <w:bookmarkEnd w:id="109"/>
      <w:bookmarkEnd w:id="110"/>
    </w:p>
    <w:p w:rsidR="00C157EC" w:rsidRDefault="00C157EC" w:rsidP="009321A9">
      <w:pPr>
        <w:pStyle w:val="BodyText"/>
      </w:pPr>
      <w:r>
        <w:t xml:space="preserve">There are inherent limitations to the methods chosen for this study, as well as in all projections made with statistical models more generally. To begin, many of the projections created for this study were based on linear regressions </w:t>
      </w:r>
      <w:r w:rsidR="00E603B3">
        <w:t xml:space="preserve">that </w:t>
      </w:r>
      <w:r>
        <w:t xml:space="preserve">estimate an average trend taking into account a number of factors. If the available historical data are particularly volatile, the projected average </w:t>
      </w:r>
      <w:proofErr w:type="gramStart"/>
      <w:r>
        <w:t>trend</w:t>
      </w:r>
      <w:r w:rsidR="00E603B3">
        <w:t>,</w:t>
      </w:r>
      <w:r>
        <w:t xml:space="preserve"> which smooth</w:t>
      </w:r>
      <w:proofErr w:type="gramEnd"/>
      <w:r>
        <w:t xml:space="preserve"> out this volatility</w:t>
      </w:r>
      <w:r w:rsidR="00E603B3">
        <w:t>,</w:t>
      </w:r>
      <w:r>
        <w:t xml:space="preserve"> will not be able to accurately reflect similar volatile patterns in future years.</w:t>
      </w:r>
    </w:p>
    <w:p w:rsidR="00C157EC" w:rsidRDefault="00C157EC" w:rsidP="009321A9">
      <w:pPr>
        <w:pStyle w:val="BodyText"/>
      </w:pPr>
      <w:r>
        <w:t xml:space="preserve">Moreover, projections based on historical trends are inherently limited to the assumption that these past trends will persist in the future. Unexpected events </w:t>
      </w:r>
      <w:r w:rsidR="00E603B3">
        <w:t xml:space="preserve">that </w:t>
      </w:r>
      <w:r>
        <w:t>lead to sharp changes in the metric being projected, or shocks, are by nature inconsistent with the past trends. Therefore</w:t>
      </w:r>
      <w:r w:rsidR="00E603B3">
        <w:t>,</w:t>
      </w:r>
      <w:r>
        <w:t xml:space="preserve"> a projection cannot anticipate these events and will be in error to extent that they occur. In addition, if policymakers act on the projections presented here in an effort to avoid undesirable future outcomes (i.e.</w:t>
      </w:r>
      <w:r w:rsidR="00E603B3">
        <w:t>,</w:t>
      </w:r>
      <w:r>
        <w:t xml:space="preserve"> teacher shortages)</w:t>
      </w:r>
      <w:r w:rsidR="00E603B3">
        <w:t>,</w:t>
      </w:r>
      <w:r>
        <w:t xml:space="preserve"> these acts themselves might (hopefully) impact future trends, which will invalidate the projections.</w:t>
      </w:r>
    </w:p>
    <w:p w:rsidR="00C157EC" w:rsidRDefault="00C157EC" w:rsidP="009321A9">
      <w:pPr>
        <w:pStyle w:val="BodyText"/>
      </w:pPr>
      <w:r>
        <w:t>Finally, all projections are susceptible to a certain amount of error. The APEs and MAPEs and 95</w:t>
      </w:r>
      <w:r w:rsidR="004A6C0D">
        <w:t xml:space="preserve"> percent</w:t>
      </w:r>
      <w:r>
        <w:t xml:space="preserve"> confidence intervals presented in the Results section of this report illustrate the level of error found in particular analyses, and should be considered alongside all of the projections that are presented.</w:t>
      </w:r>
    </w:p>
    <w:p w:rsidR="00C157EC" w:rsidRDefault="00C157EC" w:rsidP="009321A9">
      <w:pPr>
        <w:pStyle w:val="Heading2"/>
        <w:pageBreakBefore/>
      </w:pPr>
      <w:bookmarkStart w:id="111" w:name="_Toc436724299"/>
      <w:bookmarkStart w:id="112" w:name="_Toc437284998"/>
      <w:bookmarkEnd w:id="51"/>
      <w:proofErr w:type="gramStart"/>
      <w:r>
        <w:t>Section 4.</w:t>
      </w:r>
      <w:proofErr w:type="gramEnd"/>
      <w:r>
        <w:t xml:space="preserve"> Opportunities for Future Study</w:t>
      </w:r>
      <w:bookmarkEnd w:id="111"/>
      <w:bookmarkEnd w:id="112"/>
    </w:p>
    <w:p w:rsidR="00C157EC" w:rsidRDefault="00C157EC" w:rsidP="009321A9">
      <w:pPr>
        <w:pStyle w:val="BodyText"/>
      </w:pPr>
      <w:r>
        <w:t>The findings presented in this study are intended to inform the work of policymakers in Massachusetts. However, there are certainly questions that could not be answered. To this end, the following section includes a summary of possible opportunities for future research. Specifically, the state would benefit from an analysis of supply and demand by specific and consistently assigned subjects, an analysis of teacher mobility conducted at the individual level, and an analysis of the teacher pipeline conducted in partnership with teacher preparation programs.</w:t>
      </w:r>
    </w:p>
    <w:p w:rsidR="00C157EC" w:rsidRDefault="00C157EC" w:rsidP="00C157EC">
      <w:pPr>
        <w:pStyle w:val="Heading3"/>
      </w:pPr>
      <w:bookmarkStart w:id="113" w:name="_Toc435784269"/>
      <w:bookmarkStart w:id="114" w:name="_Toc436724300"/>
      <w:bookmarkStart w:id="115" w:name="_Toc437284999"/>
      <w:r>
        <w:t>Demand and Supply by Subject</w:t>
      </w:r>
      <w:bookmarkEnd w:id="113"/>
      <w:bookmarkEnd w:id="114"/>
      <w:bookmarkEnd w:id="115"/>
    </w:p>
    <w:p w:rsidR="00C157EC" w:rsidRDefault="00C157EC" w:rsidP="009321A9">
      <w:pPr>
        <w:pStyle w:val="BodyText"/>
      </w:pPr>
      <w:r>
        <w:t xml:space="preserve">An analysis of teacher demand and supply projections by subject is important because the aggregate supply and demand trends indicating surpluses may actually mask shortages for particular subjects. This is illustrated by the fact that while </w:t>
      </w:r>
      <w:r w:rsidR="00FF7016">
        <w:t xml:space="preserve">these </w:t>
      </w:r>
      <w:r>
        <w:t xml:space="preserve">projections suggest the state can expect a surplus of teachers </w:t>
      </w:r>
      <w:r w:rsidRPr="00807FB9">
        <w:rPr>
          <w:i/>
        </w:rPr>
        <w:t>in aggregate</w:t>
      </w:r>
      <w:r>
        <w:t xml:space="preserve">, </w:t>
      </w:r>
      <w:r w:rsidR="00FF7016">
        <w:t>a</w:t>
      </w:r>
      <w:r>
        <w:t xml:space="preserve"> shortage of teachers in specific program areas such as special education and English language learners</w:t>
      </w:r>
      <w:r w:rsidR="00FF7016">
        <w:t xml:space="preserve"> can also be expected</w:t>
      </w:r>
      <w:r>
        <w:t>. In turn, it is entirely possible that this is the case for particular subject areas as well. Moreover, subject</w:t>
      </w:r>
      <w:r w:rsidR="00DF7B53">
        <w:t>–</w:t>
      </w:r>
      <w:r>
        <w:t xml:space="preserve">specific projections would allow policymakers and </w:t>
      </w:r>
      <w:r w:rsidR="003F4F9F">
        <w:t xml:space="preserve">SOs </w:t>
      </w:r>
      <w:r>
        <w:t>to better target recruitment efforts toward candidates in subjects most likely to show shortages and support districts to better recruit teachers in these subjects.</w:t>
      </w:r>
    </w:p>
    <w:p w:rsidR="00C157EC" w:rsidRDefault="00C157EC" w:rsidP="009321A9">
      <w:pPr>
        <w:pStyle w:val="BodyText"/>
      </w:pPr>
      <w:r>
        <w:t xml:space="preserve">In fact, </w:t>
      </w:r>
      <w:r w:rsidR="00DF7B53">
        <w:t xml:space="preserve">the AIR research team’s </w:t>
      </w:r>
      <w:r>
        <w:t xml:space="preserve">initial intention was to include in this report an analysis of projected demand and supply by subject area. However, through careful examination of the available staffing data, </w:t>
      </w:r>
      <w:r w:rsidR="00DF7B53">
        <w:t xml:space="preserve">it was </w:t>
      </w:r>
      <w:r>
        <w:t>found</w:t>
      </w:r>
      <w:r w:rsidR="00DF7B53">
        <w:t xml:space="preserve"> that</w:t>
      </w:r>
      <w:r>
        <w:t xml:space="preserve"> the numbers of teachers by subject </w:t>
      </w:r>
      <w:r w:rsidR="00DF7B53">
        <w:t>is</w:t>
      </w:r>
      <w:r>
        <w:t xml:space="preserve"> quite volatile in historical years. Through conversations with ESE, </w:t>
      </w:r>
      <w:r w:rsidR="00DF7B53">
        <w:t xml:space="preserve">it was </w:t>
      </w:r>
      <w:r>
        <w:t>determined that this volatility was likely a result of policy allowing districts flexibility in how they classified individual teacher assignments by subject each year. In particular, the use of the subject area category “Core–All subjects” as an alternative blanket category for which a wide variety of subject areas could be coded presented a data issue that this study could not overcome. For example, it was observed that between school years 2008</w:t>
      </w:r>
      <w:r w:rsidR="00B40C0C">
        <w:t>–</w:t>
      </w:r>
      <w:r>
        <w:t>09 and 2011</w:t>
      </w:r>
      <w:r w:rsidR="00B40C0C">
        <w:t>–</w:t>
      </w:r>
      <w:r>
        <w:t>12 teachers classified as “Core–All subjects” constituted an average of 38 percent of all teacher FTEs in Boston. However, between school years 2012</w:t>
      </w:r>
      <w:r w:rsidR="00B40C0C">
        <w:t>–</w:t>
      </w:r>
      <w:r>
        <w:t>13 and 2013</w:t>
      </w:r>
      <w:r w:rsidR="00B40C0C">
        <w:t>–</w:t>
      </w:r>
      <w:r>
        <w:t>14</w:t>
      </w:r>
      <w:r w:rsidR="00B40C0C">
        <w:t>,</w:t>
      </w:r>
      <w:r>
        <w:t xml:space="preserve"> “Core–All subjects” teachers accounted for only 11 percent of the reported total for the district</w:t>
      </w:r>
      <w:r w:rsidR="00B40C0C">
        <w:t>,</w:t>
      </w:r>
      <w:r>
        <w:t xml:space="preserve"> on average.</w:t>
      </w:r>
    </w:p>
    <w:p w:rsidR="00C157EC" w:rsidRDefault="00C157EC" w:rsidP="009321A9">
      <w:pPr>
        <w:pStyle w:val="BodyText"/>
      </w:pPr>
      <w:r>
        <w:t xml:space="preserve">Rather than this reflecting a true change in the FTEs of teachers assigned to this subject, it was determined that this was likely influenced by a decision to consider the </w:t>
      </w:r>
      <w:r w:rsidRPr="002E086C">
        <w:rPr>
          <w:i/>
        </w:rPr>
        <w:t>same</w:t>
      </w:r>
      <w:r>
        <w:t xml:space="preserve"> teachers as assigned in more detailed subject categories (e.g.</w:t>
      </w:r>
      <w:r w:rsidR="00614D19">
        <w:t>,</w:t>
      </w:r>
      <w:r>
        <w:t xml:space="preserve"> </w:t>
      </w:r>
      <w:r w:rsidR="00614D19">
        <w:t>English language arts</w:t>
      </w:r>
      <w:r>
        <w:t>, math</w:t>
      </w:r>
      <w:r w:rsidR="00614D19">
        <w:t>ematics</w:t>
      </w:r>
      <w:r>
        <w:t>, reading) rather than “Core–All subjects” after 2001</w:t>
      </w:r>
      <w:r w:rsidR="00614D19">
        <w:t>–</w:t>
      </w:r>
      <w:r>
        <w:t>12. Moreover, based on further evaluation</w:t>
      </w:r>
      <w:r w:rsidR="00614D19">
        <w:t>,</w:t>
      </w:r>
      <w:r>
        <w:t xml:space="preserve"> </w:t>
      </w:r>
      <w:r w:rsidR="00614D19">
        <w:t xml:space="preserve">it was the team’s </w:t>
      </w:r>
      <w:r>
        <w:t xml:space="preserve">understanding that this sort of reclassification was equally likely for all districts and all years, and therefore its implications on projections based on historical trends were substantial. Without a clear method of separating out “true” changes in subject assignment from reclassifications, </w:t>
      </w:r>
      <w:r w:rsidR="00614D19">
        <w:t xml:space="preserve">it was </w:t>
      </w:r>
      <w:r>
        <w:t xml:space="preserve">determined that the raw data could not be used to make supply and demand projections by subject. Furthermore, to </w:t>
      </w:r>
      <w:r w:rsidR="00614D19">
        <w:t xml:space="preserve">the team’s </w:t>
      </w:r>
      <w:r>
        <w:t>knowledge</w:t>
      </w:r>
      <w:r w:rsidR="00614D19">
        <w:t>,</w:t>
      </w:r>
      <w:r>
        <w:t xml:space="preserve"> there is no alternative centralized data source at the state level that contains more specific subject assignments not plagued by this issue.</w:t>
      </w:r>
    </w:p>
    <w:p w:rsidR="00C157EC" w:rsidRDefault="00161EBF" w:rsidP="009321A9">
      <w:pPr>
        <w:pStyle w:val="BodyText"/>
      </w:pPr>
      <w:r>
        <w:t xml:space="preserve">AIR’s </w:t>
      </w:r>
      <w:r w:rsidR="00C157EC">
        <w:t>recommendation is that policymakers work to ensure that teacher-assigned subjects are consistently reported in the future and to possibly work directly with districts in order to understand the extent to which reclassification has taken place in past years. Such actions would support any future study of teacher demand and supply by subject area.</w:t>
      </w:r>
    </w:p>
    <w:p w:rsidR="00C157EC" w:rsidRDefault="00C157EC" w:rsidP="00C157EC">
      <w:pPr>
        <w:pStyle w:val="Heading3"/>
      </w:pPr>
      <w:bookmarkStart w:id="116" w:name="_Toc435784270"/>
      <w:bookmarkStart w:id="117" w:name="_Toc436724301"/>
      <w:bookmarkStart w:id="118" w:name="_Toc437285000"/>
      <w:r>
        <w:t>Teacher Mobility Analysis</w:t>
      </w:r>
      <w:bookmarkEnd w:id="116"/>
      <w:bookmarkEnd w:id="117"/>
      <w:bookmarkEnd w:id="118"/>
    </w:p>
    <w:p w:rsidR="00C157EC" w:rsidRDefault="00C157EC" w:rsidP="009321A9">
      <w:pPr>
        <w:pStyle w:val="BodyText"/>
      </w:pPr>
      <w:r>
        <w:t>Understanding the movements of teachers within a state, whether across districts or schools, is crucial if policymakers wish to have a complete picture of teacher demand and supply. While within-state mobility of teachers from district to district does not affect calculations of the aggregate statewide supply of teachers, it can substantially impact individual districts. Moreover, high-need schools tend to have the biggest challenges with recruiting and retaining teachers, further exacerbating the inherent challenges facing these schools. A comprehensive analysis of teacher mobility would give policymakers the information they need to provide targeted supports to these districts. However, this sort of analysis was beyond the scope of the current study primarily because it would require more granular individual-level data that the research team did not have access to.</w:t>
      </w:r>
    </w:p>
    <w:p w:rsidR="00C157EC" w:rsidRDefault="00C157EC" w:rsidP="009321A9">
      <w:pPr>
        <w:pStyle w:val="BodyText"/>
      </w:pPr>
      <w:r>
        <w:t>The present study did analyze the proportion of teachers retained</w:t>
      </w:r>
      <w:r w:rsidR="00161EBF">
        <w:t>,</w:t>
      </w:r>
      <w:r>
        <w:t xml:space="preserve"> and </w:t>
      </w:r>
      <w:r w:rsidR="00161EBF">
        <w:t xml:space="preserve">it </w:t>
      </w:r>
      <w:r>
        <w:t>estimated those entering from preparation programs. This allowed a proportion of transferring teachers</w:t>
      </w:r>
      <w:r w:rsidR="00981427">
        <w:t xml:space="preserve"> to be calculated</w:t>
      </w:r>
      <w:r>
        <w:t>, though more granular data would be required to determine the characteristics of individuals in this group. Previous workforce reports in Massachusetts include analysis of the retention rates of first</w:t>
      </w:r>
      <w:r w:rsidR="00C40BCF">
        <w:t>-</w:t>
      </w:r>
      <w:r>
        <w:t xml:space="preserve">year teachers, the “reason for leaving” for teachers who left within two years, and teacher mobility by years of service and teacher characteristics (ESE, 2011, 2013; Owen, 2010). Policymakers may want to consider conducting an updated and comprehensive study that considers the mobility of teachers in more detail, including analyzing the progression of new teacher cohorts five years after they enter the workforce, or determining the characteristics of schools </w:t>
      </w:r>
      <w:r w:rsidR="000612BC">
        <w:t xml:space="preserve">that </w:t>
      </w:r>
      <w:r>
        <w:t xml:space="preserve">transferring teachers tend to exit and enter. </w:t>
      </w:r>
    </w:p>
    <w:p w:rsidR="00C157EC" w:rsidRDefault="00C157EC" w:rsidP="00C157EC">
      <w:pPr>
        <w:pStyle w:val="Heading3"/>
      </w:pPr>
      <w:bookmarkStart w:id="119" w:name="_Toc435784271"/>
      <w:bookmarkStart w:id="120" w:name="_Toc436724302"/>
      <w:bookmarkStart w:id="121" w:name="_Toc437285001"/>
      <w:r>
        <w:t>Teacher Pipeline Analysis</w:t>
      </w:r>
      <w:bookmarkEnd w:id="119"/>
      <w:bookmarkEnd w:id="120"/>
      <w:bookmarkEnd w:id="121"/>
    </w:p>
    <w:p w:rsidR="00C157EC" w:rsidRDefault="00C157EC" w:rsidP="009321A9">
      <w:pPr>
        <w:pStyle w:val="BodyText"/>
      </w:pPr>
      <w:r>
        <w:t>A complete picture of the pipeline of new teachers is an important part of any analysis of teacher demand and supply. To the extent that teacher shortages are expected, any strategies to avoid such shortages would require an understanding of who is entering the workforce and where they come from. For example, to what extent are new entrants employed in high-need schools completing traditional teacher preparation programs as opposed to alternative routes to certification? What are the characteristics of individuals prepared to teach who have not joined the workforce in Massachusetts? Are a significant number of new teachers entering the workforce from out of state</w:t>
      </w:r>
      <w:r w:rsidR="00477C9C">
        <w:t>,</w:t>
      </w:r>
      <w:r>
        <w:t xml:space="preserve"> and where are they entering the workforce?</w:t>
      </w:r>
      <w:r>
        <w:rPr>
          <w:rStyle w:val="FootnoteReference"/>
        </w:rPr>
        <w:footnoteReference w:id="30"/>
      </w:r>
      <w:r>
        <w:t xml:space="preserve"> Answering questions like these can support a thoughtful discussion of strategies designed to increase the supply of teachers </w:t>
      </w:r>
      <w:r w:rsidR="00477C9C">
        <w:t xml:space="preserve">and </w:t>
      </w:r>
      <w:r>
        <w:t>address expected teacher shortages.</w:t>
      </w:r>
    </w:p>
    <w:p w:rsidR="00C157EC" w:rsidRDefault="00C157EC" w:rsidP="009321A9">
      <w:pPr>
        <w:pStyle w:val="BodyText"/>
      </w:pPr>
      <w:r>
        <w:t xml:space="preserve">While the present study did some analysis of new entrants, </w:t>
      </w:r>
      <w:r w:rsidR="00AD3033">
        <w:t>the team was</w:t>
      </w:r>
      <w:r>
        <w:t xml:space="preserve"> limited in what </w:t>
      </w:r>
      <w:r w:rsidR="00AD3033">
        <w:t xml:space="preserve">it </w:t>
      </w:r>
      <w:r>
        <w:t xml:space="preserve">could say about the teacher pipeline overall. Some of these specific limitations are described in detail in Section 3, but in general they stemmed primarily from an inability to say with certainty if an individual completing a teacher preparation program would enter the workforce, </w:t>
      </w:r>
      <w:r w:rsidR="00AD3033">
        <w:t xml:space="preserve">or </w:t>
      </w:r>
      <w:r>
        <w:t>where this individual would find employment. Previous workforce reports in Massachusetts provide some additional analysis</w:t>
      </w:r>
      <w:r w:rsidR="00AD3033">
        <w:t>,</w:t>
      </w:r>
      <w:r>
        <w:t xml:space="preserve"> including reporting on the distribution of program completers by program type and subject area, the employment rate of recent graduates one year following graduation, and the distance between a candidate</w:t>
      </w:r>
      <w:r w:rsidR="00AD3033">
        <w:t>’</w:t>
      </w:r>
      <w:r>
        <w:t>s graduating program and first employing school (ESE, 2011, 2013). These reports present a possible starting point for a more comprehensive analysis. However, conducting an updated and more in-depth analysis would require linking teacher staffing data with teacher preparation program completer data and employment outcome data, likely at the individual level. Such an analysis would allow researchers to describe the supply of newly prepared teachers with more precision</w:t>
      </w:r>
      <w:r w:rsidR="00AD3033">
        <w:t>,</w:t>
      </w:r>
      <w:r>
        <w:t xml:space="preserve"> as well as ascertain the alternative professions employing those prepared to teach in Massachusetts. </w:t>
      </w:r>
    </w:p>
    <w:p w:rsidR="00C157EC" w:rsidRDefault="00C157EC" w:rsidP="009321A9">
      <w:pPr>
        <w:pStyle w:val="Heading2"/>
        <w:pageBreakBefore/>
      </w:pPr>
      <w:bookmarkStart w:id="122" w:name="_Toc436724303"/>
      <w:bookmarkStart w:id="123" w:name="_Toc437285002"/>
      <w:r>
        <w:t>Conclusion</w:t>
      </w:r>
      <w:bookmarkEnd w:id="122"/>
      <w:bookmarkEnd w:id="123"/>
    </w:p>
    <w:p w:rsidR="00C157EC" w:rsidRDefault="00C157EC" w:rsidP="009321A9">
      <w:pPr>
        <w:pStyle w:val="BodyText"/>
      </w:pPr>
      <w:r>
        <w:t>For the present study, AIR’s research team used publicly available data, primarily consisting of ESE data published in their School/District Profiles reports, to conduct analyses addressing the five research questions</w:t>
      </w:r>
      <w:r w:rsidR="0095056C">
        <w:t xml:space="preserve"> in this study</w:t>
      </w:r>
      <w:r>
        <w:t>. These analyses produced aggregate 10-year projections of teacher supply and demand, and disaggregated 10-year projections by teacher assigned program area, teacher demographics, and for particular regions and locales.</w:t>
      </w:r>
    </w:p>
    <w:p w:rsidR="00C157EC" w:rsidRDefault="00C157EC" w:rsidP="009321A9">
      <w:pPr>
        <w:pStyle w:val="BodyText"/>
      </w:pPr>
      <w:r w:rsidRPr="0044505A">
        <w:t xml:space="preserve">While </w:t>
      </w:r>
      <w:r>
        <w:t>aggregate</w:t>
      </w:r>
      <w:r w:rsidRPr="0044505A">
        <w:t xml:space="preserve"> supply in Massachusetts is projected to meet demand</w:t>
      </w:r>
      <w:r>
        <w:t xml:space="preserve"> over the next 10 years</w:t>
      </w:r>
      <w:r w:rsidRPr="0044505A">
        <w:t>, the</w:t>
      </w:r>
      <w:r>
        <w:t>re are</w:t>
      </w:r>
      <w:r w:rsidRPr="0044505A">
        <w:t xml:space="preserve"> areas where shortages </w:t>
      </w:r>
      <w:r>
        <w:t xml:space="preserve">are expected to occur if corrective action is not taken. These potential shortage areas are particularly concerning due to their impact on the teacher pipeline and the impact on high-need student populations. </w:t>
      </w:r>
      <w:r w:rsidR="00B13D76">
        <w:t xml:space="preserve">The team </w:t>
      </w:r>
      <w:r>
        <w:t>concluded these issues warrant particular consideration by Massachusetts policymakers and practitioners:</w:t>
      </w:r>
    </w:p>
    <w:p w:rsidR="00C157EC" w:rsidRDefault="00C157EC" w:rsidP="009321A9">
      <w:pPr>
        <w:pStyle w:val="Bullet1"/>
      </w:pPr>
      <w:r w:rsidRPr="0044505A">
        <w:rPr>
          <w:b/>
        </w:rPr>
        <w:t>Expected Teacher Pipeline:</w:t>
      </w:r>
      <w:r>
        <w:t xml:space="preserve"> </w:t>
      </w:r>
      <w:r w:rsidRPr="0044505A">
        <w:t xml:space="preserve">The results of the </w:t>
      </w:r>
      <w:r>
        <w:t>present study</w:t>
      </w:r>
      <w:r w:rsidRPr="0044505A">
        <w:t xml:space="preserve"> indicate sharp declines in the number of newly entering teachers, and more generally teachers </w:t>
      </w:r>
      <w:r w:rsidR="00EB3C74">
        <w:t xml:space="preserve">under 26 </w:t>
      </w:r>
      <w:r w:rsidRPr="0044505A">
        <w:t>(one of the groups for which</w:t>
      </w:r>
      <w:r>
        <w:t xml:space="preserve"> a shortage was projected). </w:t>
      </w:r>
      <w:r w:rsidRPr="000B04C5">
        <w:t>The</w:t>
      </w:r>
      <w:r w:rsidRPr="0044505A">
        <w:t>s</w:t>
      </w:r>
      <w:r>
        <w:t>e</w:t>
      </w:r>
      <w:r w:rsidRPr="0044505A">
        <w:t xml:space="preserve"> decline</w:t>
      </w:r>
      <w:r>
        <w:t>s</w:t>
      </w:r>
      <w:r w:rsidRPr="0044505A">
        <w:t xml:space="preserve"> in newly</w:t>
      </w:r>
      <w:r w:rsidRPr="000B04C5">
        <w:t xml:space="preserve"> entering and young</w:t>
      </w:r>
      <w:r>
        <w:t>er</w:t>
      </w:r>
      <w:r w:rsidRPr="000B04C5">
        <w:t xml:space="preserve"> teachers have</w:t>
      </w:r>
      <w:r w:rsidRPr="0044505A">
        <w:t xml:space="preserve"> potentially serious consequences for the teacher pipeline</w:t>
      </w:r>
      <w:r>
        <w:t>, as these groups represent a primary source of new teachers</w:t>
      </w:r>
      <w:r w:rsidRPr="0044505A">
        <w:t xml:space="preserve">. </w:t>
      </w:r>
      <w:r>
        <w:t>Moreover, the projected declines in teacher preparation program completion may have implications on the state’s strategic objective to improve teacher preparation</w:t>
      </w:r>
      <w:r w:rsidR="00B13D76">
        <w:t>,</w:t>
      </w:r>
      <w:r>
        <w:t xml:space="preserve"> which includes revising the program approval process, a teacher performance assessment, and updating professional standards for teaching.</w:t>
      </w:r>
    </w:p>
    <w:p w:rsidR="00C157EC" w:rsidRDefault="00C157EC" w:rsidP="00C157EC">
      <w:pPr>
        <w:pStyle w:val="Bullet1"/>
      </w:pPr>
      <w:r w:rsidRPr="009E2C95">
        <w:rPr>
          <w:b/>
        </w:rPr>
        <w:t>Impact on High-</w:t>
      </w:r>
      <w:r w:rsidRPr="0044505A">
        <w:rPr>
          <w:b/>
        </w:rPr>
        <w:t>Need Populations</w:t>
      </w:r>
      <w:r>
        <w:t xml:space="preserve">: The results pertaining to expected </w:t>
      </w:r>
      <w:r w:rsidRPr="0044505A">
        <w:t>shortage</w:t>
      </w:r>
      <w:r>
        <w:t>s in specific program</w:t>
      </w:r>
      <w:r w:rsidRPr="0044505A">
        <w:t xml:space="preserve"> areas </w:t>
      </w:r>
      <w:r>
        <w:t>(</w:t>
      </w:r>
      <w:r w:rsidRPr="0044505A">
        <w:t>ELL</w:t>
      </w:r>
      <w:r>
        <w:t xml:space="preserve"> and</w:t>
      </w:r>
      <w:r w:rsidRPr="0044505A">
        <w:t xml:space="preserve"> SPED</w:t>
      </w:r>
      <w:r>
        <w:t>), regions (</w:t>
      </w:r>
      <w:r w:rsidRPr="0044505A">
        <w:t>the Commissioner’s Districts</w:t>
      </w:r>
      <w:r>
        <w:t>),</w:t>
      </w:r>
      <w:r w:rsidRPr="0044505A">
        <w:t xml:space="preserve"> and</w:t>
      </w:r>
      <w:r>
        <w:t xml:space="preserve"> locales (city</w:t>
      </w:r>
      <w:r w:rsidRPr="0044505A">
        <w:t xml:space="preserve"> districts</w:t>
      </w:r>
      <w:r>
        <w:t>) suggest there will be</w:t>
      </w:r>
      <w:r w:rsidRPr="0044505A">
        <w:t xml:space="preserve"> </w:t>
      </w:r>
      <w:r>
        <w:t xml:space="preserve">negative </w:t>
      </w:r>
      <w:r w:rsidRPr="0044505A">
        <w:t>impact</w:t>
      </w:r>
      <w:r>
        <w:t xml:space="preserve">s </w:t>
      </w:r>
      <w:r w:rsidRPr="009F61CF">
        <w:t>disproportionately</w:t>
      </w:r>
      <w:r>
        <w:t xml:space="preserve"> affecting</w:t>
      </w:r>
      <w:r w:rsidRPr="0044505A">
        <w:t xml:space="preserve"> special needs and disadvantaged </w:t>
      </w:r>
      <w:r>
        <w:t>student</w:t>
      </w:r>
      <w:r w:rsidRPr="00820C29">
        <w:t xml:space="preserve"> </w:t>
      </w:r>
      <w:r w:rsidRPr="0044505A">
        <w:t>populations.</w:t>
      </w:r>
      <w:r>
        <w:t xml:space="preserve"> The state clearly recognizes a need for targeting strategies to the lowest performing districts and schools, as evidenced by their strategic plan, and these results may have implications on this work. Moreover, the expected shortage of minority teachers certainly has implications on the state’s goal to increase diversity in the teacher workforce, which might also impact students with the highest needs.</w:t>
      </w:r>
      <w:r>
        <w:rPr>
          <w:rStyle w:val="FootnoteReference"/>
        </w:rPr>
        <w:footnoteReference w:id="31"/>
      </w:r>
    </w:p>
    <w:p w:rsidR="00C157EC" w:rsidRDefault="00C157EC" w:rsidP="009321A9">
      <w:pPr>
        <w:pStyle w:val="BodyText"/>
      </w:pPr>
      <w:r>
        <w:t>It is the research team’s hope that by considering the projections of supply and demand presented in this report, policymakers are better positioned to develop and implement strategies to address teacher shortages in future years.</w:t>
      </w:r>
    </w:p>
    <w:p w:rsidR="00C157EC" w:rsidRDefault="00C157EC" w:rsidP="009321A9">
      <w:pPr>
        <w:pStyle w:val="Heading2"/>
        <w:pageBreakBefore/>
      </w:pPr>
      <w:bookmarkStart w:id="124" w:name="_Toc435461194"/>
      <w:bookmarkStart w:id="125" w:name="_Toc436724304"/>
      <w:bookmarkStart w:id="126" w:name="_Toc437285003"/>
      <w:r>
        <w:t>References</w:t>
      </w:r>
      <w:bookmarkEnd w:id="124"/>
      <w:bookmarkEnd w:id="125"/>
      <w:bookmarkEnd w:id="126"/>
    </w:p>
    <w:p w:rsidR="00C157EC" w:rsidRPr="00897047" w:rsidRDefault="00C157EC" w:rsidP="00897047">
      <w:pPr>
        <w:pStyle w:val="Reference"/>
        <w:rPr>
          <w:szCs w:val="24"/>
        </w:rPr>
      </w:pPr>
      <w:proofErr w:type="spellStart"/>
      <w:proofErr w:type="gramStart"/>
      <w:r w:rsidRPr="00897047">
        <w:rPr>
          <w:szCs w:val="24"/>
        </w:rPr>
        <w:t>Achinstein</w:t>
      </w:r>
      <w:proofErr w:type="spellEnd"/>
      <w:r w:rsidRPr="00897047">
        <w:rPr>
          <w:szCs w:val="24"/>
        </w:rPr>
        <w:t xml:space="preserve">, B., </w:t>
      </w:r>
      <w:proofErr w:type="spellStart"/>
      <w:r w:rsidRPr="00897047">
        <w:rPr>
          <w:szCs w:val="24"/>
        </w:rPr>
        <w:t>Owaga</w:t>
      </w:r>
      <w:proofErr w:type="spellEnd"/>
      <w:r w:rsidRPr="00897047">
        <w:rPr>
          <w:szCs w:val="24"/>
        </w:rPr>
        <w:t xml:space="preserve">, R., Sexton, D., &amp; </w:t>
      </w:r>
      <w:proofErr w:type="spellStart"/>
      <w:r w:rsidRPr="00897047">
        <w:rPr>
          <w:szCs w:val="24"/>
        </w:rPr>
        <w:t>Freitas</w:t>
      </w:r>
      <w:proofErr w:type="spellEnd"/>
      <w:r w:rsidRPr="00897047">
        <w:rPr>
          <w:szCs w:val="24"/>
        </w:rPr>
        <w:t>, C. (2010).</w:t>
      </w:r>
      <w:proofErr w:type="gramEnd"/>
      <w:r w:rsidRPr="00897047">
        <w:rPr>
          <w:szCs w:val="24"/>
        </w:rPr>
        <w:t xml:space="preserve"> </w:t>
      </w:r>
      <w:proofErr w:type="gramStart"/>
      <w:r w:rsidRPr="00A46F58">
        <w:rPr>
          <w:i/>
          <w:szCs w:val="24"/>
        </w:rPr>
        <w:t>Retaining teachers of color: A pressing problem and a potential strategy for “hard-to-staff” schools</w:t>
      </w:r>
      <w:r w:rsidRPr="00897047">
        <w:rPr>
          <w:szCs w:val="24"/>
        </w:rPr>
        <w:t>.</w:t>
      </w:r>
      <w:proofErr w:type="gramEnd"/>
      <w:r w:rsidRPr="00897047">
        <w:rPr>
          <w:szCs w:val="24"/>
        </w:rPr>
        <w:t xml:space="preserve"> </w:t>
      </w:r>
      <w:r w:rsidRPr="00535A6A">
        <w:rPr>
          <w:rStyle w:val="ReferenceItalics"/>
          <w:i w:val="0"/>
          <w:szCs w:val="24"/>
        </w:rPr>
        <w:t>Review of Educational Research, 80</w:t>
      </w:r>
      <w:r w:rsidR="00A15221" w:rsidRPr="00535A6A">
        <w:rPr>
          <w:rStyle w:val="ReferenceItalics"/>
          <w:i w:val="0"/>
          <w:szCs w:val="24"/>
        </w:rPr>
        <w:t xml:space="preserve"> </w:t>
      </w:r>
      <w:r w:rsidRPr="00CB48E0">
        <w:rPr>
          <w:rStyle w:val="ReferenceItalics"/>
          <w:i w:val="0"/>
          <w:szCs w:val="24"/>
        </w:rPr>
        <w:t>(1),</w:t>
      </w:r>
      <w:r w:rsidRPr="00897047">
        <w:rPr>
          <w:rStyle w:val="ReferenceItalics"/>
          <w:szCs w:val="24"/>
        </w:rPr>
        <w:t xml:space="preserve"> </w:t>
      </w:r>
      <w:r w:rsidRPr="00897047">
        <w:rPr>
          <w:szCs w:val="24"/>
        </w:rPr>
        <w:t>71-107.</w:t>
      </w:r>
    </w:p>
    <w:p w:rsidR="00EB3C74" w:rsidRPr="00EB3C74" w:rsidRDefault="00EB3C74" w:rsidP="00EB3C74">
      <w:pPr>
        <w:pStyle w:val="Reference"/>
        <w:contextualSpacing/>
        <w:rPr>
          <w:szCs w:val="24"/>
        </w:rPr>
      </w:pPr>
      <w:proofErr w:type="spellStart"/>
      <w:r w:rsidRPr="00EB3C74">
        <w:rPr>
          <w:szCs w:val="24"/>
        </w:rPr>
        <w:t>Behrstock</w:t>
      </w:r>
      <w:proofErr w:type="spellEnd"/>
      <w:r w:rsidRPr="00EB3C74">
        <w:rPr>
          <w:szCs w:val="24"/>
        </w:rPr>
        <w:t xml:space="preserve">, E. (2009). </w:t>
      </w:r>
      <w:r w:rsidRPr="00A46F58">
        <w:rPr>
          <w:i/>
          <w:szCs w:val="24"/>
        </w:rPr>
        <w:t>Teacher shortage in England and Illinois: A comparative history</w:t>
      </w:r>
      <w:r w:rsidRPr="00EB3C74">
        <w:rPr>
          <w:szCs w:val="24"/>
        </w:rPr>
        <w:t>.</w:t>
      </w:r>
    </w:p>
    <w:p w:rsidR="00AE30AC" w:rsidRDefault="00EB3C74" w:rsidP="00897047">
      <w:pPr>
        <w:pStyle w:val="Reference"/>
        <w:rPr>
          <w:szCs w:val="24"/>
        </w:rPr>
      </w:pPr>
      <w:proofErr w:type="gramStart"/>
      <w:r w:rsidRPr="00EB3C74">
        <w:rPr>
          <w:szCs w:val="24"/>
        </w:rPr>
        <w:t>(Unpublished doctoral dissertation.)</w:t>
      </w:r>
      <w:proofErr w:type="gramEnd"/>
      <w:r w:rsidRPr="00EB3C74">
        <w:rPr>
          <w:szCs w:val="24"/>
        </w:rPr>
        <w:t xml:space="preserve"> Oxford, England.</w:t>
      </w:r>
      <w:r>
        <w:rPr>
          <w:szCs w:val="24"/>
        </w:rPr>
        <w:t xml:space="preserve"> </w:t>
      </w:r>
    </w:p>
    <w:p w:rsidR="00C157EC" w:rsidRPr="00897047" w:rsidRDefault="00C157EC" w:rsidP="00897047">
      <w:pPr>
        <w:pStyle w:val="Reference"/>
        <w:rPr>
          <w:szCs w:val="24"/>
        </w:rPr>
      </w:pPr>
      <w:proofErr w:type="gramStart"/>
      <w:r w:rsidRPr="00897047">
        <w:rPr>
          <w:szCs w:val="24"/>
        </w:rPr>
        <w:t>Berg-Jacobson, A., &amp; Levin, J. (2015).</w:t>
      </w:r>
      <w:proofErr w:type="gramEnd"/>
      <w:r w:rsidRPr="00897047">
        <w:rPr>
          <w:szCs w:val="24"/>
        </w:rPr>
        <w:t xml:space="preserve"> </w:t>
      </w:r>
      <w:r w:rsidRPr="00A46F58">
        <w:rPr>
          <w:i/>
          <w:szCs w:val="24"/>
        </w:rPr>
        <w:t>Study of educator supply and demand: Trends and projections.</w:t>
      </w:r>
      <w:r w:rsidRPr="00897047">
        <w:rPr>
          <w:szCs w:val="24"/>
        </w:rPr>
        <w:t xml:space="preserve"> Washington, DC: American Institutes for Research. Retrieved from </w:t>
      </w:r>
      <w:hyperlink r:id="rId42" w:history="1">
        <w:r w:rsidRPr="00897047">
          <w:rPr>
            <w:rStyle w:val="Hyperlink"/>
            <w:szCs w:val="24"/>
          </w:rPr>
          <w:t>http://www.okhighered.org/studies-reports/teach-supply/2015-report.pdf</w:t>
        </w:r>
      </w:hyperlink>
    </w:p>
    <w:p w:rsidR="00C157EC" w:rsidRPr="00897047" w:rsidRDefault="00C157EC" w:rsidP="00897047">
      <w:pPr>
        <w:pStyle w:val="Reference"/>
        <w:rPr>
          <w:szCs w:val="24"/>
        </w:rPr>
      </w:pPr>
      <w:proofErr w:type="spellStart"/>
      <w:proofErr w:type="gramStart"/>
      <w:r w:rsidRPr="00897047">
        <w:rPr>
          <w:szCs w:val="24"/>
        </w:rPr>
        <w:t>Berk</w:t>
      </w:r>
      <w:proofErr w:type="spellEnd"/>
      <w:r w:rsidRPr="00897047">
        <w:rPr>
          <w:szCs w:val="24"/>
        </w:rPr>
        <w:t xml:space="preserve">, B., &amp; </w:t>
      </w:r>
      <w:proofErr w:type="spellStart"/>
      <w:r w:rsidRPr="00897047">
        <w:rPr>
          <w:szCs w:val="24"/>
        </w:rPr>
        <w:t>Hodgins</w:t>
      </w:r>
      <w:proofErr w:type="spellEnd"/>
      <w:r w:rsidRPr="00897047">
        <w:rPr>
          <w:szCs w:val="24"/>
        </w:rPr>
        <w:t>, M. (2008).</w:t>
      </w:r>
      <w:proofErr w:type="gramEnd"/>
      <w:r w:rsidRPr="00897047">
        <w:rPr>
          <w:szCs w:val="24"/>
        </w:rPr>
        <w:t xml:space="preserve"> </w:t>
      </w:r>
      <w:r w:rsidRPr="00897047">
        <w:rPr>
          <w:rStyle w:val="ReferenceItalics"/>
          <w:szCs w:val="24"/>
        </w:rPr>
        <w:t>K-12 school enrollment projections study</w:t>
      </w:r>
      <w:r w:rsidRPr="00897047">
        <w:rPr>
          <w:szCs w:val="24"/>
        </w:rPr>
        <w:t xml:space="preserve">. Seattle, WA: </w:t>
      </w:r>
      <w:proofErr w:type="spellStart"/>
      <w:r w:rsidRPr="00897047">
        <w:rPr>
          <w:szCs w:val="24"/>
        </w:rPr>
        <w:t>Berk</w:t>
      </w:r>
      <w:proofErr w:type="spellEnd"/>
      <w:r w:rsidRPr="00897047">
        <w:rPr>
          <w:szCs w:val="24"/>
        </w:rPr>
        <w:t xml:space="preserve"> and Associates.</w:t>
      </w:r>
    </w:p>
    <w:p w:rsidR="00C157EC" w:rsidRPr="00897047" w:rsidRDefault="00C157EC" w:rsidP="00897047">
      <w:pPr>
        <w:pStyle w:val="Reference"/>
        <w:rPr>
          <w:szCs w:val="24"/>
        </w:rPr>
      </w:pPr>
      <w:proofErr w:type="gramStart"/>
      <w:r w:rsidRPr="00897047">
        <w:rPr>
          <w:szCs w:val="24"/>
        </w:rPr>
        <w:t>Boyd, D., Lankford, H., Loeb, S., &amp; Wyckoff, J. (2009).</w:t>
      </w:r>
      <w:proofErr w:type="gramEnd"/>
      <w:r w:rsidRPr="00897047">
        <w:rPr>
          <w:szCs w:val="24"/>
        </w:rPr>
        <w:t xml:space="preserve"> </w:t>
      </w:r>
      <w:r w:rsidRPr="00A46F58">
        <w:rPr>
          <w:i/>
          <w:szCs w:val="24"/>
        </w:rPr>
        <w:t>The draw of home: How teachers’ preferences for proximity disadvantage urban schools.</w:t>
      </w:r>
      <w:r w:rsidRPr="00897047">
        <w:rPr>
          <w:szCs w:val="24"/>
        </w:rPr>
        <w:t xml:space="preserve"> </w:t>
      </w:r>
      <w:r w:rsidRPr="003748C4">
        <w:rPr>
          <w:rStyle w:val="ReferenceItalics"/>
          <w:i w:val="0"/>
          <w:szCs w:val="24"/>
        </w:rPr>
        <w:t>Journal of Policy Analysis and Management, 24(1</w:t>
      </w:r>
      <w:r w:rsidRPr="00897047">
        <w:rPr>
          <w:rStyle w:val="ReferenceItalics"/>
          <w:szCs w:val="24"/>
        </w:rPr>
        <w:t>),</w:t>
      </w:r>
      <w:r w:rsidRPr="00897047">
        <w:rPr>
          <w:szCs w:val="24"/>
        </w:rPr>
        <w:t xml:space="preserve"> 113–132.</w:t>
      </w:r>
    </w:p>
    <w:p w:rsidR="00C157EC" w:rsidRPr="00897047" w:rsidRDefault="00C157EC" w:rsidP="00897047">
      <w:pPr>
        <w:pStyle w:val="Reference"/>
        <w:rPr>
          <w:szCs w:val="24"/>
        </w:rPr>
      </w:pPr>
      <w:r w:rsidRPr="00897047">
        <w:rPr>
          <w:szCs w:val="24"/>
        </w:rPr>
        <w:t xml:space="preserve">Cowan, J., </w:t>
      </w:r>
      <w:proofErr w:type="spellStart"/>
      <w:r w:rsidRPr="00897047">
        <w:rPr>
          <w:szCs w:val="24"/>
        </w:rPr>
        <w:t>Goldhaber</w:t>
      </w:r>
      <w:proofErr w:type="spellEnd"/>
      <w:r w:rsidRPr="00897047">
        <w:rPr>
          <w:szCs w:val="24"/>
        </w:rPr>
        <w:t>, D., Hayes, K.</w:t>
      </w:r>
      <w:r w:rsidR="0037535A">
        <w:rPr>
          <w:szCs w:val="24"/>
        </w:rPr>
        <w:t>,</w:t>
      </w:r>
      <w:r w:rsidRPr="00897047">
        <w:rPr>
          <w:szCs w:val="24"/>
        </w:rPr>
        <w:t xml:space="preserve"> &amp; </w:t>
      </w:r>
      <w:proofErr w:type="spellStart"/>
      <w:r w:rsidRPr="00897047">
        <w:rPr>
          <w:szCs w:val="24"/>
        </w:rPr>
        <w:t>Theobald</w:t>
      </w:r>
      <w:proofErr w:type="spellEnd"/>
      <w:r w:rsidRPr="00897047">
        <w:rPr>
          <w:szCs w:val="24"/>
        </w:rPr>
        <w:t xml:space="preserve">, R. (2015). </w:t>
      </w:r>
      <w:proofErr w:type="gramStart"/>
      <w:r w:rsidRPr="00897047">
        <w:rPr>
          <w:rStyle w:val="ReferenceItalics"/>
          <w:szCs w:val="24"/>
        </w:rPr>
        <w:t>Missing elements in the discussion of teacher shortages.</w:t>
      </w:r>
      <w:proofErr w:type="gramEnd"/>
      <w:r w:rsidRPr="00897047">
        <w:rPr>
          <w:szCs w:val="24"/>
        </w:rPr>
        <w:t xml:space="preserve"> Washington, DC. Retrieved from: </w:t>
      </w:r>
      <w:hyperlink r:id="rId43" w:history="1">
        <w:r w:rsidR="00EB3C74" w:rsidRPr="00A46F58">
          <w:rPr>
            <w:rStyle w:val="Hyperlink"/>
            <w:rFonts w:ascii="Times New Roman" w:hAnsi="Times New Roman"/>
            <w:szCs w:val="24"/>
          </w:rPr>
          <w:t>http://www.caldercenter.org/sites/default/files/Missing%20Elements%20in%20the%20Disucssion%20of%20Teacher%20Shortages%20PDF.pdf</w:t>
        </w:r>
      </w:hyperlink>
    </w:p>
    <w:p w:rsidR="00EB3C74" w:rsidRPr="00A46F58" w:rsidRDefault="00EB3C74" w:rsidP="00A46F58">
      <w:pPr>
        <w:pStyle w:val="Reference"/>
        <w:contextualSpacing/>
        <w:rPr>
          <w:i/>
          <w:szCs w:val="24"/>
        </w:rPr>
      </w:pPr>
      <w:r w:rsidRPr="00EB3C74">
        <w:rPr>
          <w:szCs w:val="24"/>
        </w:rPr>
        <w:t xml:space="preserve">Lindsay, J. J., Wan, Y., &amp; </w:t>
      </w:r>
      <w:proofErr w:type="spellStart"/>
      <w:r w:rsidRPr="00EB3C74">
        <w:rPr>
          <w:szCs w:val="24"/>
        </w:rPr>
        <w:t>Gossin</w:t>
      </w:r>
      <w:proofErr w:type="spellEnd"/>
      <w:r w:rsidRPr="00EB3C74">
        <w:rPr>
          <w:szCs w:val="24"/>
        </w:rPr>
        <w:t xml:space="preserve">-Wilson, W. (2009). </w:t>
      </w:r>
      <w:r w:rsidRPr="00A46F58">
        <w:rPr>
          <w:i/>
          <w:szCs w:val="24"/>
        </w:rPr>
        <w:t>Methodologies used by Midwest Region</w:t>
      </w:r>
    </w:p>
    <w:p w:rsidR="00EB3C74" w:rsidRPr="00A46F58" w:rsidRDefault="00EB3C74" w:rsidP="00A46F58">
      <w:pPr>
        <w:pStyle w:val="Reference"/>
        <w:ind w:firstLine="0"/>
        <w:contextualSpacing/>
        <w:rPr>
          <w:i/>
          <w:szCs w:val="24"/>
        </w:rPr>
      </w:pPr>
      <w:proofErr w:type="gramStart"/>
      <w:r w:rsidRPr="00A46F58">
        <w:rPr>
          <w:i/>
          <w:szCs w:val="24"/>
        </w:rPr>
        <w:t>states</w:t>
      </w:r>
      <w:proofErr w:type="gramEnd"/>
      <w:r w:rsidRPr="00A46F58">
        <w:rPr>
          <w:i/>
          <w:szCs w:val="24"/>
        </w:rPr>
        <w:t xml:space="preserve"> for studying teacher supply and demand (Issues &amp; Answers Report, REL 2008–No.</w:t>
      </w:r>
    </w:p>
    <w:p w:rsidR="00EB3C74" w:rsidRPr="00EB3C74" w:rsidRDefault="00EB3C74" w:rsidP="00A46F58">
      <w:pPr>
        <w:pStyle w:val="Reference"/>
        <w:ind w:firstLine="0"/>
        <w:contextualSpacing/>
        <w:rPr>
          <w:szCs w:val="24"/>
        </w:rPr>
      </w:pPr>
      <w:r w:rsidRPr="00A46F58">
        <w:rPr>
          <w:i/>
          <w:szCs w:val="24"/>
        </w:rPr>
        <w:t>080)</w:t>
      </w:r>
      <w:r w:rsidRPr="00EB3C74">
        <w:rPr>
          <w:szCs w:val="24"/>
        </w:rPr>
        <w:t>. Washington, DC: U.S. Department of Education, Institute of Education Sciences,</w:t>
      </w:r>
    </w:p>
    <w:p w:rsidR="00EB3C74" w:rsidRPr="00EB3C74" w:rsidRDefault="00EB3C74" w:rsidP="00A46F58">
      <w:pPr>
        <w:pStyle w:val="Reference"/>
        <w:ind w:firstLine="0"/>
        <w:contextualSpacing/>
        <w:rPr>
          <w:szCs w:val="24"/>
        </w:rPr>
      </w:pPr>
      <w:r w:rsidRPr="00EB3C74">
        <w:rPr>
          <w:szCs w:val="24"/>
        </w:rPr>
        <w:t>National Center for Education Evaluation and Regional Assistance, Regional Educational</w:t>
      </w:r>
    </w:p>
    <w:p w:rsidR="00EB3C74" w:rsidRDefault="00EB3C74" w:rsidP="00A46F58">
      <w:pPr>
        <w:pStyle w:val="Reference"/>
        <w:ind w:firstLine="0"/>
        <w:contextualSpacing/>
        <w:rPr>
          <w:szCs w:val="24"/>
        </w:rPr>
      </w:pPr>
      <w:proofErr w:type="gramStart"/>
      <w:r w:rsidRPr="00EB3C74">
        <w:rPr>
          <w:szCs w:val="24"/>
        </w:rPr>
        <w:t>Laboratory Midwest.</w:t>
      </w:r>
      <w:proofErr w:type="gramEnd"/>
      <w:r w:rsidRPr="00EB3C74">
        <w:rPr>
          <w:szCs w:val="24"/>
        </w:rPr>
        <w:t xml:space="preserve"> Retrieved from </w:t>
      </w:r>
      <w:hyperlink r:id="rId44" w:history="1">
        <w:r w:rsidRPr="00EB3C74">
          <w:rPr>
            <w:rStyle w:val="Hyperlink"/>
          </w:rPr>
          <w:t>http://ies.ed.gov/ncee/edlabs/regions/midwest/pdf/REL_2009080_sum.pd</w:t>
        </w:r>
        <w:r w:rsidRPr="00936EC8">
          <w:rPr>
            <w:rStyle w:val="Hyperlink"/>
            <w:szCs w:val="24"/>
          </w:rPr>
          <w:t>f</w:t>
        </w:r>
      </w:hyperlink>
    </w:p>
    <w:p w:rsidR="00C157EC" w:rsidRPr="00897047" w:rsidRDefault="00C157EC" w:rsidP="00EB3C74">
      <w:pPr>
        <w:pStyle w:val="Reference"/>
        <w:rPr>
          <w:szCs w:val="24"/>
        </w:rPr>
      </w:pPr>
      <w:proofErr w:type="gramStart"/>
      <w:r w:rsidRPr="00897047">
        <w:rPr>
          <w:szCs w:val="24"/>
        </w:rPr>
        <w:t>Massachusetts Department of Elementary and Secondary Education (ESE).</w:t>
      </w:r>
      <w:proofErr w:type="gramEnd"/>
      <w:r w:rsidRPr="00897047">
        <w:rPr>
          <w:szCs w:val="24"/>
        </w:rPr>
        <w:t xml:space="preserve"> </w:t>
      </w:r>
      <w:proofErr w:type="gramStart"/>
      <w:r w:rsidRPr="00897047">
        <w:rPr>
          <w:szCs w:val="24"/>
        </w:rPr>
        <w:t xml:space="preserve">(2011). </w:t>
      </w:r>
      <w:r w:rsidRPr="00897047">
        <w:rPr>
          <w:rStyle w:val="ReferenceItalics"/>
          <w:szCs w:val="24"/>
        </w:rPr>
        <w:t>Status of the Massachusetts educator workforce.</w:t>
      </w:r>
      <w:proofErr w:type="gramEnd"/>
      <w:r w:rsidRPr="00897047">
        <w:rPr>
          <w:szCs w:val="24"/>
        </w:rPr>
        <w:t xml:space="preserve"> Malden, MA: Author. Retrieved from </w:t>
      </w:r>
      <w:r w:rsidRPr="00A46F58">
        <w:rPr>
          <w:rFonts w:ascii="Times New Roman" w:hAnsi="Times New Roman"/>
          <w:szCs w:val="24"/>
        </w:rPr>
        <w:t>http://www.doe.mass.edu/research/reports/2011/12edworkforce.pdf</w:t>
      </w:r>
    </w:p>
    <w:p w:rsidR="00C157EC" w:rsidRPr="00897047" w:rsidRDefault="00C157EC" w:rsidP="00897047">
      <w:pPr>
        <w:pStyle w:val="Reference"/>
        <w:rPr>
          <w:szCs w:val="24"/>
        </w:rPr>
      </w:pPr>
      <w:proofErr w:type="gramStart"/>
      <w:r w:rsidRPr="00897047">
        <w:rPr>
          <w:szCs w:val="24"/>
        </w:rPr>
        <w:t>Massachusetts Department of Elementary and Secondary Education (ESE).</w:t>
      </w:r>
      <w:proofErr w:type="gramEnd"/>
      <w:r w:rsidRPr="00897047">
        <w:rPr>
          <w:szCs w:val="24"/>
        </w:rPr>
        <w:t xml:space="preserve"> (2013</w:t>
      </w:r>
      <w:r w:rsidRPr="00A46F58">
        <w:rPr>
          <w:i/>
          <w:szCs w:val="24"/>
        </w:rPr>
        <w:t>). Status of the Massachusetts educator workforce: Focus on first-year teachers.</w:t>
      </w:r>
      <w:r w:rsidRPr="00897047">
        <w:rPr>
          <w:szCs w:val="24"/>
        </w:rPr>
        <w:t xml:space="preserve"> Malden, MA: Author. Retrieved from </w:t>
      </w:r>
      <w:hyperlink r:id="rId45" w:history="1">
        <w:r w:rsidR="00EB3C74" w:rsidRPr="00A46F58">
          <w:rPr>
            <w:rStyle w:val="Hyperlink"/>
            <w:rFonts w:ascii="Times New Roman" w:hAnsi="Times New Roman"/>
            <w:szCs w:val="24"/>
          </w:rPr>
          <w:t>http://www.doe.mass.edu/research/reports/2013-12EducatorReport.pdf</w:t>
        </w:r>
      </w:hyperlink>
    </w:p>
    <w:p w:rsidR="00C157EC" w:rsidRPr="00897047" w:rsidRDefault="00C157EC" w:rsidP="00897047">
      <w:pPr>
        <w:pStyle w:val="Reference"/>
        <w:rPr>
          <w:spacing w:val="-2"/>
          <w:szCs w:val="24"/>
        </w:rPr>
      </w:pPr>
      <w:proofErr w:type="gramStart"/>
      <w:r w:rsidRPr="00897047">
        <w:rPr>
          <w:spacing w:val="-2"/>
          <w:szCs w:val="24"/>
        </w:rPr>
        <w:t>Massachusetts Department of Elementary and Secondary Education (ESE).</w:t>
      </w:r>
      <w:proofErr w:type="gramEnd"/>
      <w:r w:rsidRPr="00897047">
        <w:rPr>
          <w:spacing w:val="-2"/>
          <w:szCs w:val="24"/>
        </w:rPr>
        <w:t xml:space="preserve"> (2014). </w:t>
      </w:r>
      <w:r w:rsidRPr="00897047">
        <w:rPr>
          <w:rStyle w:val="ReferenceItalics"/>
          <w:szCs w:val="24"/>
        </w:rPr>
        <w:t>Massachusetts advocates for diversity in education task force recommendations: The department’s action plan.</w:t>
      </w:r>
      <w:r w:rsidRPr="00897047">
        <w:rPr>
          <w:spacing w:val="-2"/>
          <w:szCs w:val="24"/>
        </w:rPr>
        <w:t xml:space="preserve"> Malden, MA: Author. Retrieved from </w:t>
      </w:r>
      <w:hyperlink r:id="rId46" w:history="1">
        <w:r w:rsidRPr="00897047">
          <w:rPr>
            <w:rStyle w:val="Hyperlink"/>
            <w:szCs w:val="24"/>
          </w:rPr>
          <w:t>http://www.doe.mass.edu/amazingeducators/DiversityPlan.pdf</w:t>
        </w:r>
      </w:hyperlink>
    </w:p>
    <w:p w:rsidR="00C157EC" w:rsidRPr="00897047" w:rsidRDefault="00C157EC" w:rsidP="00897047">
      <w:pPr>
        <w:pStyle w:val="Reference"/>
        <w:rPr>
          <w:szCs w:val="24"/>
        </w:rPr>
      </w:pPr>
      <w:proofErr w:type="gramStart"/>
      <w:r w:rsidRPr="00897047">
        <w:rPr>
          <w:szCs w:val="24"/>
        </w:rPr>
        <w:t>Massachusetts Department of Elementary and Secondary Education (ESE).</w:t>
      </w:r>
      <w:proofErr w:type="gramEnd"/>
      <w:r w:rsidRPr="00897047">
        <w:rPr>
          <w:szCs w:val="24"/>
        </w:rPr>
        <w:t xml:space="preserve"> </w:t>
      </w:r>
      <w:proofErr w:type="gramStart"/>
      <w:r w:rsidRPr="00897047">
        <w:rPr>
          <w:szCs w:val="24"/>
        </w:rPr>
        <w:t xml:space="preserve">(2015). </w:t>
      </w:r>
      <w:r w:rsidRPr="00897047">
        <w:rPr>
          <w:rStyle w:val="ReferenceItalics"/>
          <w:szCs w:val="24"/>
        </w:rPr>
        <w:t>ESE strategic plan.</w:t>
      </w:r>
      <w:proofErr w:type="gramEnd"/>
      <w:r w:rsidRPr="00897047">
        <w:rPr>
          <w:szCs w:val="24"/>
        </w:rPr>
        <w:t xml:space="preserve"> Malden, MA: Author. Retrieved from </w:t>
      </w:r>
      <w:hyperlink r:id="rId47" w:history="1">
        <w:r w:rsidR="00EB3C74" w:rsidRPr="00A46F58">
          <w:rPr>
            <w:rStyle w:val="Hyperlink"/>
            <w:rFonts w:ascii="Times New Roman" w:hAnsi="Times New Roman"/>
          </w:rPr>
          <w:t>http://www.doe.mass.edu/research/StrategicPlan.pdf</w:t>
        </w:r>
      </w:hyperlink>
      <w:r w:rsidR="00EB3C74">
        <w:rPr>
          <w:rFonts w:ascii="Times New Roman" w:hAnsi="Times New Roman"/>
        </w:rPr>
        <w:t xml:space="preserve"> </w:t>
      </w:r>
    </w:p>
    <w:p w:rsidR="00C157EC" w:rsidRPr="00897047" w:rsidRDefault="00C157EC" w:rsidP="00897047">
      <w:pPr>
        <w:pStyle w:val="Reference"/>
        <w:rPr>
          <w:szCs w:val="24"/>
        </w:rPr>
      </w:pPr>
      <w:proofErr w:type="gramStart"/>
      <w:r w:rsidRPr="00897047">
        <w:rPr>
          <w:szCs w:val="24"/>
        </w:rPr>
        <w:t>Minnesota Department of Education.</w:t>
      </w:r>
      <w:proofErr w:type="gramEnd"/>
      <w:r w:rsidRPr="00897047">
        <w:rPr>
          <w:szCs w:val="24"/>
        </w:rPr>
        <w:t xml:space="preserve"> </w:t>
      </w:r>
      <w:proofErr w:type="gramStart"/>
      <w:r w:rsidRPr="00897047">
        <w:rPr>
          <w:szCs w:val="24"/>
        </w:rPr>
        <w:t xml:space="preserve">(2015). </w:t>
      </w:r>
      <w:r w:rsidRPr="00897047">
        <w:rPr>
          <w:rStyle w:val="ReferenceItalics"/>
          <w:szCs w:val="24"/>
        </w:rPr>
        <w:t>Teacher supply and demand report.</w:t>
      </w:r>
      <w:proofErr w:type="gramEnd"/>
      <w:r w:rsidRPr="00897047">
        <w:rPr>
          <w:szCs w:val="24"/>
        </w:rPr>
        <w:t xml:space="preserve"> Roseville, MN: Author.</w:t>
      </w:r>
    </w:p>
    <w:p w:rsidR="00C157EC" w:rsidRPr="00897047" w:rsidRDefault="00C157EC" w:rsidP="00897047">
      <w:pPr>
        <w:pStyle w:val="Reference"/>
        <w:rPr>
          <w:szCs w:val="24"/>
        </w:rPr>
      </w:pPr>
      <w:proofErr w:type="spellStart"/>
      <w:r w:rsidRPr="00897047">
        <w:rPr>
          <w:szCs w:val="24"/>
        </w:rPr>
        <w:t>Motoko</w:t>
      </w:r>
      <w:proofErr w:type="spellEnd"/>
      <w:r w:rsidR="00A15221">
        <w:rPr>
          <w:szCs w:val="24"/>
        </w:rPr>
        <w:t>, R</w:t>
      </w:r>
      <w:r w:rsidRPr="00897047">
        <w:rPr>
          <w:szCs w:val="24"/>
        </w:rPr>
        <w:t>. (2015).</w:t>
      </w:r>
      <w:r w:rsidR="00A15221">
        <w:rPr>
          <w:szCs w:val="24"/>
        </w:rPr>
        <w:t xml:space="preserve"> </w:t>
      </w:r>
      <w:r w:rsidR="00A15221" w:rsidRPr="00A46F58">
        <w:rPr>
          <w:i/>
          <w:szCs w:val="24"/>
        </w:rPr>
        <w:t xml:space="preserve">Teacher Shortages Spur a Nationwide Hiring Scramble (Credentials Optional). </w:t>
      </w:r>
      <w:proofErr w:type="gramStart"/>
      <w:r w:rsidR="00A15221">
        <w:rPr>
          <w:szCs w:val="24"/>
        </w:rPr>
        <w:t>New York Times.</w:t>
      </w:r>
      <w:proofErr w:type="gramEnd"/>
      <w:r w:rsidR="00A15221">
        <w:rPr>
          <w:szCs w:val="24"/>
        </w:rPr>
        <w:t xml:space="preserve"> Retrieved from: </w:t>
      </w:r>
      <w:hyperlink r:id="rId48" w:history="1">
        <w:r w:rsidR="00A15221" w:rsidRPr="00936EC8">
          <w:rPr>
            <w:rStyle w:val="Hyperlink"/>
            <w:szCs w:val="24"/>
          </w:rPr>
          <w:t>http://www.nytimes.com/2015/08/10/us/teacher-shortages-spur-a-nationwide-hiring-scramble-credentials-optional.html?_r=0</w:t>
        </w:r>
      </w:hyperlink>
    </w:p>
    <w:p w:rsidR="00C157EC" w:rsidRPr="00897047" w:rsidRDefault="00C157EC" w:rsidP="00897047">
      <w:pPr>
        <w:pStyle w:val="Reference"/>
        <w:rPr>
          <w:szCs w:val="24"/>
        </w:rPr>
      </w:pPr>
      <w:r w:rsidRPr="00897047">
        <w:rPr>
          <w:szCs w:val="24"/>
        </w:rPr>
        <w:t xml:space="preserve">Owen, A. (2010). </w:t>
      </w:r>
      <w:r w:rsidRPr="00897047">
        <w:rPr>
          <w:rStyle w:val="ReferenceItalics"/>
          <w:szCs w:val="24"/>
        </w:rPr>
        <w:t xml:space="preserve">The Massachusetts teacher workforce: Status and challenges </w:t>
      </w:r>
      <w:r w:rsidRPr="00897047">
        <w:rPr>
          <w:szCs w:val="24"/>
        </w:rPr>
        <w:t xml:space="preserve">(Working Paper). Cambridge, MA: Harvard Kennedy School. Retrieved from </w:t>
      </w:r>
      <w:hyperlink r:id="rId49" w:history="1">
        <w:r w:rsidR="00EB3C74" w:rsidRPr="00A46F58">
          <w:rPr>
            <w:rStyle w:val="Hyperlink"/>
            <w:rFonts w:ascii="Times New Roman" w:hAnsi="Times New Roman"/>
            <w:szCs w:val="24"/>
          </w:rPr>
          <w:t>http://www.hks.harvard.edu/content/download/68761/1247854/version/1/file/owens_teachers.pdf</w:t>
        </w:r>
      </w:hyperlink>
    </w:p>
    <w:p w:rsidR="00C157EC" w:rsidRPr="00897047" w:rsidRDefault="00C157EC" w:rsidP="00897047">
      <w:pPr>
        <w:pStyle w:val="Reference"/>
        <w:rPr>
          <w:szCs w:val="24"/>
        </w:rPr>
      </w:pPr>
      <w:proofErr w:type="gramStart"/>
      <w:r w:rsidRPr="00897047">
        <w:rPr>
          <w:szCs w:val="24"/>
        </w:rPr>
        <w:t>Taylor, L. &amp; Fowler Jr., W. (2006).</w:t>
      </w:r>
      <w:proofErr w:type="gramEnd"/>
      <w:r w:rsidRPr="00897047">
        <w:rPr>
          <w:szCs w:val="24"/>
        </w:rPr>
        <w:t xml:space="preserve"> </w:t>
      </w:r>
      <w:r w:rsidRPr="00897047">
        <w:rPr>
          <w:rStyle w:val="ReferenceItalics"/>
          <w:szCs w:val="24"/>
        </w:rPr>
        <w:t xml:space="preserve">A comparable wage approach to geographic cost adjustment. Research and development report </w:t>
      </w:r>
      <w:r w:rsidRPr="001F712C">
        <w:rPr>
          <w:rStyle w:val="ReferenceItalics"/>
          <w:i w:val="0"/>
          <w:szCs w:val="24"/>
        </w:rPr>
        <w:t>(NCES-2006-321).</w:t>
      </w:r>
      <w:r w:rsidRPr="00897047">
        <w:rPr>
          <w:szCs w:val="24"/>
        </w:rPr>
        <w:t xml:space="preserve"> Washington, DC: National Center for Education Statistics.</w:t>
      </w:r>
    </w:p>
    <w:p w:rsidR="00C157EC" w:rsidRPr="00897047" w:rsidRDefault="00C157EC" w:rsidP="00897047">
      <w:pPr>
        <w:pStyle w:val="Reference"/>
        <w:rPr>
          <w:szCs w:val="24"/>
        </w:rPr>
      </w:pPr>
      <w:proofErr w:type="gramStart"/>
      <w:r w:rsidRPr="00897047">
        <w:rPr>
          <w:szCs w:val="24"/>
        </w:rPr>
        <w:t>U.S. Department of Education.</w:t>
      </w:r>
      <w:proofErr w:type="gramEnd"/>
      <w:r w:rsidRPr="00897047">
        <w:rPr>
          <w:szCs w:val="24"/>
        </w:rPr>
        <w:t xml:space="preserve"> </w:t>
      </w:r>
      <w:proofErr w:type="gramStart"/>
      <w:r w:rsidRPr="00897047">
        <w:rPr>
          <w:szCs w:val="24"/>
        </w:rPr>
        <w:t xml:space="preserve">(2015). </w:t>
      </w:r>
      <w:r w:rsidRPr="00897047">
        <w:rPr>
          <w:rStyle w:val="ReferenceItalics"/>
          <w:szCs w:val="24"/>
        </w:rPr>
        <w:t>Teacher shortage areas nationwide listing 1990–1991 through 2015–2016.</w:t>
      </w:r>
      <w:proofErr w:type="gramEnd"/>
      <w:r w:rsidRPr="00897047">
        <w:rPr>
          <w:rStyle w:val="ReferenceItalics"/>
          <w:szCs w:val="24"/>
        </w:rPr>
        <w:t xml:space="preserve"> </w:t>
      </w:r>
      <w:r w:rsidRPr="00897047">
        <w:rPr>
          <w:szCs w:val="24"/>
        </w:rPr>
        <w:t>Washington, DC: U.S. Government Printing Office.</w:t>
      </w:r>
    </w:p>
    <w:p w:rsidR="00456C2C" w:rsidRDefault="00456C2C" w:rsidP="00456C2C">
      <w:pPr>
        <w:pStyle w:val="Heading2"/>
        <w:sectPr w:rsidR="00456C2C" w:rsidSect="00FC31F1">
          <w:pgSz w:w="12240" w:h="15840"/>
          <w:pgMar w:top="1440" w:right="1440" w:bottom="1440" w:left="1440" w:header="720" w:footer="720" w:gutter="0"/>
          <w:cols w:space="720"/>
          <w:docGrid w:linePitch="360"/>
        </w:sectPr>
      </w:pPr>
      <w:bookmarkStart w:id="127" w:name="_Toc436724305"/>
      <w:bookmarkStart w:id="128" w:name="_Toc435461207"/>
      <w:bookmarkStart w:id="129" w:name="_Toc435784274"/>
      <w:bookmarkStart w:id="130" w:name="_Toc435461195"/>
    </w:p>
    <w:p w:rsidR="00C157EC" w:rsidRDefault="00C157EC" w:rsidP="00456C2C">
      <w:pPr>
        <w:pStyle w:val="Heading2"/>
      </w:pPr>
      <w:bookmarkStart w:id="131" w:name="_Toc437285004"/>
      <w:r>
        <w:t>Appendix A. Technical Description of Methods</w:t>
      </w:r>
      <w:bookmarkEnd w:id="127"/>
      <w:bookmarkEnd w:id="131"/>
    </w:p>
    <w:p w:rsidR="00C157EC" w:rsidRPr="00902971" w:rsidRDefault="00C157EC" w:rsidP="00C157EC"/>
    <w:p w:rsidR="00C157EC" w:rsidRDefault="00C157EC" w:rsidP="00C157EC">
      <w:pPr>
        <w:pStyle w:val="Heading3"/>
        <w:sectPr w:rsidR="00C157EC" w:rsidSect="00456C2C">
          <w:footerReference w:type="default" r:id="rId50"/>
          <w:pgSz w:w="12240" w:h="15840"/>
          <w:pgMar w:top="1440" w:right="1440" w:bottom="1440" w:left="1440" w:header="720" w:footer="720" w:gutter="0"/>
          <w:pgNumType w:start="1"/>
          <w:cols w:space="720"/>
          <w:docGrid w:linePitch="360"/>
        </w:sectPr>
      </w:pPr>
    </w:p>
    <w:p w:rsidR="00C157EC" w:rsidRPr="00A6446A" w:rsidRDefault="00C157EC" w:rsidP="00A46F58">
      <w:pPr>
        <w:pStyle w:val="Heading3NoTOC"/>
      </w:pPr>
      <w:bookmarkStart w:id="132" w:name="_Toc436724306"/>
      <w:r>
        <w:t>Data Sources</w:t>
      </w:r>
      <w:bookmarkEnd w:id="132"/>
    </w:p>
    <w:p w:rsidR="00C157EC" w:rsidRDefault="0027264A" w:rsidP="00A46F58">
      <w:pPr>
        <w:pStyle w:val="ExhibitTitle"/>
      </w:pPr>
      <w:r>
        <w:t>Table</w:t>
      </w:r>
      <w:r w:rsidR="00C157EC">
        <w:t xml:space="preserve"> A1. Internet Links to Study Data Sources</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427"/>
        <w:gridCol w:w="3065"/>
        <w:gridCol w:w="7698"/>
      </w:tblGrid>
      <w:tr w:rsidR="00C157EC" w:rsidTr="00085539">
        <w:trPr>
          <w:cnfStyle w:val="100000000000"/>
          <w:trHeight w:val="665"/>
        </w:trPr>
        <w:tc>
          <w:tcPr>
            <w:tcW w:w="2082" w:type="pct"/>
            <w:gridSpan w:val="2"/>
          </w:tcPr>
          <w:p w:rsidR="00C157EC" w:rsidRDefault="00C157EC" w:rsidP="00BF66EB">
            <w:pPr>
              <w:pStyle w:val="TableText"/>
              <w:rPr>
                <w:b w:val="0"/>
              </w:rPr>
            </w:pPr>
            <w:r>
              <w:t>Data Source/Report</w:t>
            </w:r>
          </w:p>
        </w:tc>
        <w:tc>
          <w:tcPr>
            <w:tcW w:w="2918" w:type="pct"/>
            <w:tcBorders>
              <w:bottom w:val="single" w:sz="4" w:space="0" w:color="auto"/>
            </w:tcBorders>
          </w:tcPr>
          <w:p w:rsidR="00C157EC" w:rsidRDefault="00C157EC">
            <w:pPr>
              <w:pStyle w:val="TableText"/>
              <w:rPr>
                <w:b w:val="0"/>
              </w:rPr>
            </w:pPr>
            <w:r>
              <w:t>Link to Source</w:t>
            </w:r>
          </w:p>
        </w:tc>
      </w:tr>
      <w:tr w:rsidR="00456C2C" w:rsidTr="00085539">
        <w:tc>
          <w:tcPr>
            <w:tcW w:w="920" w:type="pct"/>
            <w:vMerge w:val="restart"/>
          </w:tcPr>
          <w:p w:rsidR="00456C2C" w:rsidRPr="00614498" w:rsidRDefault="00456C2C" w:rsidP="00BF66EB">
            <w:pPr>
              <w:pStyle w:val="TableText"/>
            </w:pPr>
            <w:r>
              <w:t>Massachusetts Department of  Elementary and Secondary Education (</w:t>
            </w:r>
            <w:r w:rsidRPr="00614498">
              <w:t>ESE</w:t>
            </w:r>
            <w:r>
              <w:t>)</w:t>
            </w:r>
            <w:r w:rsidRPr="00614498">
              <w:t xml:space="preserve"> School and District Profiles</w:t>
            </w:r>
          </w:p>
        </w:tc>
        <w:tc>
          <w:tcPr>
            <w:tcW w:w="1162" w:type="pct"/>
            <w:tcBorders>
              <w:bottom w:val="single" w:sz="4" w:space="0" w:color="auto"/>
            </w:tcBorders>
          </w:tcPr>
          <w:p w:rsidR="00456C2C" w:rsidRPr="00614498" w:rsidRDefault="00456C2C">
            <w:pPr>
              <w:pStyle w:val="TableText"/>
            </w:pPr>
            <w:r w:rsidRPr="00614498">
              <w:t>Enrollment by Grade Report</w:t>
            </w:r>
          </w:p>
        </w:tc>
        <w:tc>
          <w:tcPr>
            <w:tcW w:w="2918" w:type="pct"/>
            <w:tcBorders>
              <w:bottom w:val="single" w:sz="4" w:space="0" w:color="auto"/>
            </w:tcBorders>
          </w:tcPr>
          <w:p w:rsidR="00456C2C" w:rsidRDefault="002555E4">
            <w:pPr>
              <w:pStyle w:val="TableText"/>
              <w:rPr>
                <w:b/>
              </w:rPr>
            </w:pPr>
            <w:hyperlink r:id="rId51" w:history="1">
              <w:r w:rsidR="00456C2C" w:rsidRPr="005D780B">
                <w:rPr>
                  <w:rStyle w:val="Hyperlink"/>
                </w:rPr>
                <w:t>http://profiles.doe.mass.edu/state_report/enrollmentbygrade.aspx</w:t>
              </w:r>
            </w:hyperlink>
          </w:p>
        </w:tc>
      </w:tr>
      <w:tr w:rsidR="00456C2C" w:rsidTr="00085539">
        <w:tc>
          <w:tcPr>
            <w:tcW w:w="920" w:type="pct"/>
            <w:vMerge/>
          </w:tcPr>
          <w:p w:rsidR="00456C2C" w:rsidRPr="00614498" w:rsidRDefault="00456C2C">
            <w:pPr>
              <w:pStyle w:val="TableText"/>
            </w:pPr>
          </w:p>
        </w:tc>
        <w:tc>
          <w:tcPr>
            <w:tcW w:w="1162" w:type="pct"/>
            <w:tcBorders>
              <w:bottom w:val="single" w:sz="4" w:space="0" w:color="auto"/>
            </w:tcBorders>
          </w:tcPr>
          <w:p w:rsidR="00456C2C" w:rsidRPr="00614498" w:rsidRDefault="00456C2C">
            <w:pPr>
              <w:pStyle w:val="TableText"/>
            </w:pPr>
            <w:r w:rsidRPr="00614498">
              <w:t>Enrollment by Select Populations Report</w:t>
            </w:r>
          </w:p>
        </w:tc>
        <w:tc>
          <w:tcPr>
            <w:tcW w:w="2918" w:type="pct"/>
            <w:tcBorders>
              <w:bottom w:val="single" w:sz="4" w:space="0" w:color="auto"/>
            </w:tcBorders>
          </w:tcPr>
          <w:p w:rsidR="00456C2C" w:rsidRDefault="002555E4">
            <w:pPr>
              <w:pStyle w:val="TableText"/>
              <w:rPr>
                <w:b/>
              </w:rPr>
            </w:pPr>
            <w:hyperlink r:id="rId52" w:history="1">
              <w:r w:rsidR="00456C2C" w:rsidRPr="005D780B">
                <w:rPr>
                  <w:rStyle w:val="Hyperlink"/>
                </w:rPr>
                <w:t>http://profiles.doe.mass.edu/state_report/selectedpopulations.aspx</w:t>
              </w:r>
            </w:hyperlink>
          </w:p>
        </w:tc>
      </w:tr>
      <w:tr w:rsidR="00456C2C" w:rsidTr="00085539">
        <w:tc>
          <w:tcPr>
            <w:tcW w:w="920" w:type="pct"/>
            <w:vMerge/>
          </w:tcPr>
          <w:p w:rsidR="00456C2C" w:rsidRPr="00614498" w:rsidRDefault="00456C2C">
            <w:pPr>
              <w:pStyle w:val="TableText"/>
            </w:pPr>
          </w:p>
        </w:tc>
        <w:tc>
          <w:tcPr>
            <w:tcW w:w="1162" w:type="pct"/>
            <w:tcBorders>
              <w:bottom w:val="single" w:sz="4" w:space="0" w:color="auto"/>
            </w:tcBorders>
          </w:tcPr>
          <w:p w:rsidR="00456C2C" w:rsidRPr="00614498" w:rsidRDefault="00456C2C">
            <w:pPr>
              <w:pStyle w:val="TableText"/>
            </w:pPr>
            <w:r w:rsidRPr="00614498">
              <w:t>Enrollment by Race/Gender Report</w:t>
            </w:r>
          </w:p>
        </w:tc>
        <w:tc>
          <w:tcPr>
            <w:tcW w:w="2918" w:type="pct"/>
            <w:tcBorders>
              <w:bottom w:val="single" w:sz="4" w:space="0" w:color="auto"/>
            </w:tcBorders>
          </w:tcPr>
          <w:p w:rsidR="00456C2C" w:rsidRDefault="002555E4">
            <w:pPr>
              <w:pStyle w:val="TableText"/>
              <w:rPr>
                <w:b/>
              </w:rPr>
            </w:pPr>
            <w:hyperlink r:id="rId53" w:history="1">
              <w:r w:rsidR="00456C2C" w:rsidRPr="005D780B">
                <w:rPr>
                  <w:rStyle w:val="Hyperlink"/>
                </w:rPr>
                <w:t>http://profiles.doe.mass.edu/state_report/enrollmentbyracegender.aspx</w:t>
              </w:r>
            </w:hyperlink>
          </w:p>
        </w:tc>
      </w:tr>
      <w:tr w:rsidR="00456C2C" w:rsidTr="00085539">
        <w:tc>
          <w:tcPr>
            <w:tcW w:w="920" w:type="pct"/>
            <w:vMerge/>
          </w:tcPr>
          <w:p w:rsidR="00456C2C" w:rsidRPr="00614498" w:rsidRDefault="00456C2C">
            <w:pPr>
              <w:pStyle w:val="TableText"/>
            </w:pPr>
          </w:p>
        </w:tc>
        <w:tc>
          <w:tcPr>
            <w:tcW w:w="1162" w:type="pct"/>
            <w:tcBorders>
              <w:bottom w:val="single" w:sz="4" w:space="0" w:color="auto"/>
            </w:tcBorders>
          </w:tcPr>
          <w:p w:rsidR="00456C2C" w:rsidRPr="00614498" w:rsidRDefault="00456C2C">
            <w:pPr>
              <w:pStyle w:val="TableText"/>
            </w:pPr>
            <w:r w:rsidRPr="00614498">
              <w:t>Teacher Data Report</w:t>
            </w:r>
          </w:p>
        </w:tc>
        <w:tc>
          <w:tcPr>
            <w:tcW w:w="2918" w:type="pct"/>
            <w:tcBorders>
              <w:bottom w:val="single" w:sz="4" w:space="0" w:color="auto"/>
            </w:tcBorders>
          </w:tcPr>
          <w:p w:rsidR="00456C2C" w:rsidRDefault="002555E4">
            <w:pPr>
              <w:pStyle w:val="TableText"/>
            </w:pPr>
            <w:hyperlink r:id="rId54" w:history="1">
              <w:r w:rsidR="00456C2C" w:rsidRPr="005D780B">
                <w:rPr>
                  <w:rStyle w:val="Hyperlink"/>
                </w:rPr>
                <w:t>http://profiles.doe.mass.edu/state_report/teacherdata.aspx</w:t>
              </w:r>
            </w:hyperlink>
          </w:p>
        </w:tc>
      </w:tr>
      <w:tr w:rsidR="00456C2C" w:rsidTr="00085539">
        <w:tc>
          <w:tcPr>
            <w:tcW w:w="920" w:type="pct"/>
            <w:vMerge/>
          </w:tcPr>
          <w:p w:rsidR="00456C2C" w:rsidRPr="00614498" w:rsidRDefault="00456C2C">
            <w:pPr>
              <w:pStyle w:val="TableText"/>
            </w:pPr>
          </w:p>
        </w:tc>
        <w:tc>
          <w:tcPr>
            <w:tcW w:w="1162" w:type="pct"/>
            <w:tcBorders>
              <w:bottom w:val="single" w:sz="4" w:space="0" w:color="auto"/>
            </w:tcBorders>
          </w:tcPr>
          <w:p w:rsidR="00456C2C" w:rsidRPr="00614498" w:rsidRDefault="00456C2C">
            <w:pPr>
              <w:pStyle w:val="TableText"/>
            </w:pPr>
            <w:r w:rsidRPr="00614498">
              <w:t>Ed Prep Employment by Year and Program</w:t>
            </w:r>
          </w:p>
        </w:tc>
        <w:tc>
          <w:tcPr>
            <w:tcW w:w="2918" w:type="pct"/>
            <w:tcBorders>
              <w:bottom w:val="single" w:sz="4" w:space="0" w:color="auto"/>
            </w:tcBorders>
          </w:tcPr>
          <w:p w:rsidR="00456C2C" w:rsidRDefault="002555E4">
            <w:pPr>
              <w:pStyle w:val="TableText"/>
              <w:rPr>
                <w:b/>
              </w:rPr>
            </w:pPr>
            <w:hyperlink r:id="rId55" w:history="1">
              <w:r w:rsidR="00456C2C" w:rsidRPr="005D780B">
                <w:rPr>
                  <w:rStyle w:val="Hyperlink"/>
                </w:rPr>
                <w:t>http://profiles.doe.mass.edu/state_report/epppempratebyyear.aspx</w:t>
              </w:r>
            </w:hyperlink>
          </w:p>
        </w:tc>
      </w:tr>
      <w:tr w:rsidR="00456C2C" w:rsidTr="00085539">
        <w:tc>
          <w:tcPr>
            <w:tcW w:w="920" w:type="pct"/>
            <w:vMerge/>
            <w:tcBorders>
              <w:bottom w:val="single" w:sz="4" w:space="0" w:color="auto"/>
            </w:tcBorders>
          </w:tcPr>
          <w:p w:rsidR="00456C2C" w:rsidRPr="00614498" w:rsidRDefault="00456C2C">
            <w:pPr>
              <w:pStyle w:val="TableText"/>
            </w:pPr>
          </w:p>
        </w:tc>
        <w:tc>
          <w:tcPr>
            <w:tcW w:w="1162" w:type="pct"/>
            <w:tcBorders>
              <w:bottom w:val="single" w:sz="4" w:space="0" w:color="auto"/>
            </w:tcBorders>
          </w:tcPr>
          <w:p w:rsidR="00456C2C" w:rsidRPr="00614498" w:rsidRDefault="00456C2C">
            <w:pPr>
              <w:pStyle w:val="TableText"/>
            </w:pPr>
            <w:r w:rsidRPr="00614498">
              <w:t>Staff Retention Report</w:t>
            </w:r>
          </w:p>
        </w:tc>
        <w:tc>
          <w:tcPr>
            <w:tcW w:w="2918" w:type="pct"/>
            <w:tcBorders>
              <w:bottom w:val="single" w:sz="4" w:space="0" w:color="auto"/>
            </w:tcBorders>
          </w:tcPr>
          <w:p w:rsidR="00456C2C" w:rsidRDefault="002555E4">
            <w:pPr>
              <w:pStyle w:val="TableText"/>
              <w:rPr>
                <w:b/>
              </w:rPr>
            </w:pPr>
            <w:hyperlink r:id="rId56" w:history="1">
              <w:r w:rsidR="00456C2C" w:rsidRPr="005D780B">
                <w:rPr>
                  <w:rStyle w:val="Hyperlink"/>
                </w:rPr>
                <w:t>http://profiles.doe.mass.edu/state_report/staffingRetentionRates.aspx</w:t>
              </w:r>
            </w:hyperlink>
          </w:p>
        </w:tc>
      </w:tr>
      <w:tr w:rsidR="00C157EC" w:rsidTr="00085539">
        <w:tc>
          <w:tcPr>
            <w:tcW w:w="2082" w:type="pct"/>
            <w:gridSpan w:val="2"/>
            <w:tcBorders>
              <w:bottom w:val="single" w:sz="4" w:space="0" w:color="auto"/>
            </w:tcBorders>
          </w:tcPr>
          <w:p w:rsidR="00C157EC" w:rsidRPr="00614498" w:rsidRDefault="00C157EC" w:rsidP="00BF66EB">
            <w:pPr>
              <w:pStyle w:val="TableText"/>
            </w:pPr>
            <w:r w:rsidRPr="00614498">
              <w:t>2014 Lists of Massachusetts Schools and Districts by Accountability and Assistance Level</w:t>
            </w:r>
          </w:p>
        </w:tc>
        <w:tc>
          <w:tcPr>
            <w:tcW w:w="2918" w:type="pct"/>
            <w:tcBorders>
              <w:bottom w:val="single" w:sz="4" w:space="0" w:color="auto"/>
            </w:tcBorders>
          </w:tcPr>
          <w:p w:rsidR="00C157EC" w:rsidRDefault="002555E4">
            <w:pPr>
              <w:pStyle w:val="TableText"/>
              <w:rPr>
                <w:b/>
              </w:rPr>
            </w:pPr>
            <w:hyperlink r:id="rId57" w:history="1">
              <w:r w:rsidR="00C157EC" w:rsidRPr="005D780B">
                <w:rPr>
                  <w:rStyle w:val="Hyperlink"/>
                </w:rPr>
                <w:t>http://www.mass.gov/edu/government/departments-and-boards/ese/programs/accountability/support-for-level-3-4-and-5-districts-and-schools/district-and-school-resource-centers-dsac/overview-and-eligibility-for-dsac.html</w:t>
              </w:r>
            </w:hyperlink>
          </w:p>
        </w:tc>
      </w:tr>
      <w:tr w:rsidR="00C157EC" w:rsidTr="00085539">
        <w:tc>
          <w:tcPr>
            <w:tcW w:w="2082" w:type="pct"/>
            <w:gridSpan w:val="2"/>
            <w:tcBorders>
              <w:bottom w:val="single" w:sz="4" w:space="0" w:color="auto"/>
            </w:tcBorders>
          </w:tcPr>
          <w:p w:rsidR="00C157EC" w:rsidRPr="00614498" w:rsidRDefault="00C157EC" w:rsidP="00BF66EB">
            <w:pPr>
              <w:pStyle w:val="TableText"/>
            </w:pPr>
            <w:r w:rsidRPr="00614498">
              <w:t>Center</w:t>
            </w:r>
            <w:r>
              <w:t>s</w:t>
            </w:r>
            <w:r w:rsidRPr="00614498">
              <w:t xml:space="preserve"> for Disease Control </w:t>
            </w:r>
            <w:r>
              <w:t xml:space="preserve"> and Prevention </w:t>
            </w:r>
            <w:r w:rsidRPr="00614498">
              <w:t>(CDC) Wide-Ranging Online Data for Epidemiologic Research (WONDER)</w:t>
            </w:r>
          </w:p>
        </w:tc>
        <w:tc>
          <w:tcPr>
            <w:tcW w:w="2918" w:type="pct"/>
            <w:tcBorders>
              <w:bottom w:val="single" w:sz="4" w:space="0" w:color="auto"/>
            </w:tcBorders>
          </w:tcPr>
          <w:p w:rsidR="00C157EC" w:rsidRDefault="002555E4">
            <w:pPr>
              <w:pStyle w:val="TableText"/>
              <w:rPr>
                <w:b/>
              </w:rPr>
            </w:pPr>
            <w:hyperlink r:id="rId58" w:history="1">
              <w:r w:rsidR="00C157EC" w:rsidRPr="005D780B">
                <w:rPr>
                  <w:rStyle w:val="Hyperlink"/>
                </w:rPr>
                <w:t>http://wonder.cdc.gov/</w:t>
              </w:r>
            </w:hyperlink>
          </w:p>
        </w:tc>
      </w:tr>
      <w:tr w:rsidR="00C157EC" w:rsidTr="00085539">
        <w:tc>
          <w:tcPr>
            <w:tcW w:w="2082" w:type="pct"/>
            <w:gridSpan w:val="2"/>
            <w:tcBorders>
              <w:bottom w:val="single" w:sz="4" w:space="0" w:color="auto"/>
            </w:tcBorders>
          </w:tcPr>
          <w:p w:rsidR="00C157EC" w:rsidRPr="00614498" w:rsidRDefault="00C157EC" w:rsidP="00BF66EB">
            <w:pPr>
              <w:pStyle w:val="TableText"/>
            </w:pPr>
            <w:r w:rsidRPr="00614498">
              <w:t>U</w:t>
            </w:r>
            <w:r>
              <w:t>.</w:t>
            </w:r>
            <w:r w:rsidRPr="00614498">
              <w:t>S</w:t>
            </w:r>
            <w:r>
              <w:t>.</w:t>
            </w:r>
            <w:r w:rsidRPr="00614498">
              <w:t xml:space="preserve"> Census Population Data</w:t>
            </w:r>
          </w:p>
        </w:tc>
        <w:tc>
          <w:tcPr>
            <w:tcW w:w="2918" w:type="pct"/>
            <w:tcBorders>
              <w:bottom w:val="single" w:sz="4" w:space="0" w:color="auto"/>
            </w:tcBorders>
          </w:tcPr>
          <w:p w:rsidR="00C157EC" w:rsidRDefault="002555E4">
            <w:pPr>
              <w:pStyle w:val="TableText"/>
              <w:rPr>
                <w:b/>
              </w:rPr>
            </w:pPr>
            <w:hyperlink r:id="rId59" w:history="1">
              <w:r w:rsidR="00C157EC" w:rsidRPr="005D780B">
                <w:rPr>
                  <w:rStyle w:val="Hyperlink"/>
                </w:rPr>
                <w:t>http://www.census.gov/popest/data/counties/asrh/2014/CC-EST2014-ALLDATA.html</w:t>
              </w:r>
            </w:hyperlink>
          </w:p>
        </w:tc>
      </w:tr>
      <w:tr w:rsidR="00C157EC" w:rsidTr="00085539">
        <w:tc>
          <w:tcPr>
            <w:tcW w:w="2082" w:type="pct"/>
            <w:gridSpan w:val="2"/>
            <w:tcBorders>
              <w:bottom w:val="single" w:sz="4" w:space="0" w:color="auto"/>
            </w:tcBorders>
          </w:tcPr>
          <w:p w:rsidR="00C157EC" w:rsidRPr="00614498" w:rsidRDefault="00C157EC" w:rsidP="00BF66EB">
            <w:pPr>
              <w:pStyle w:val="TableText"/>
            </w:pPr>
            <w:r>
              <w:t>National Center for Education Statistics (</w:t>
            </w:r>
            <w:r w:rsidRPr="00614498">
              <w:t>NCES</w:t>
            </w:r>
            <w:r>
              <w:t>)</w:t>
            </w:r>
            <w:r w:rsidRPr="00614498">
              <w:t xml:space="preserve"> Common Core of Data (CCD)</w:t>
            </w:r>
          </w:p>
        </w:tc>
        <w:tc>
          <w:tcPr>
            <w:tcW w:w="2918" w:type="pct"/>
            <w:tcBorders>
              <w:bottom w:val="single" w:sz="4" w:space="0" w:color="auto"/>
            </w:tcBorders>
          </w:tcPr>
          <w:p w:rsidR="00C157EC" w:rsidRDefault="002555E4">
            <w:pPr>
              <w:pStyle w:val="TableText"/>
              <w:rPr>
                <w:b/>
              </w:rPr>
            </w:pPr>
            <w:hyperlink r:id="rId60" w:history="1">
              <w:r w:rsidR="00C157EC" w:rsidRPr="005D780B">
                <w:rPr>
                  <w:rStyle w:val="Hyperlink"/>
                </w:rPr>
                <w:t>https://nces.ed.gov/ccd/</w:t>
              </w:r>
            </w:hyperlink>
          </w:p>
        </w:tc>
      </w:tr>
      <w:tr w:rsidR="00C157EC" w:rsidTr="00085539">
        <w:tc>
          <w:tcPr>
            <w:tcW w:w="2082" w:type="pct"/>
            <w:gridSpan w:val="2"/>
          </w:tcPr>
          <w:p w:rsidR="00C157EC" w:rsidRPr="00F32384" w:rsidRDefault="00C157EC" w:rsidP="00BF66EB">
            <w:pPr>
              <w:pStyle w:val="TableText"/>
            </w:pPr>
            <w:r w:rsidRPr="00F32384">
              <w:t>NCES Comparable Wage Index (CWI)</w:t>
            </w:r>
          </w:p>
        </w:tc>
        <w:tc>
          <w:tcPr>
            <w:tcW w:w="2918" w:type="pct"/>
          </w:tcPr>
          <w:p w:rsidR="00C157EC" w:rsidRDefault="002555E4">
            <w:pPr>
              <w:pStyle w:val="TableText"/>
            </w:pPr>
            <w:hyperlink r:id="rId61" w:history="1">
              <w:r w:rsidR="00C157EC" w:rsidRPr="005D780B">
                <w:rPr>
                  <w:rStyle w:val="Hyperlink"/>
                </w:rPr>
                <w:t>https://nces.ed.gov/pubsearch/pubsinfo.asp?pubid=2006865</w:t>
              </w:r>
            </w:hyperlink>
          </w:p>
        </w:tc>
      </w:tr>
    </w:tbl>
    <w:p w:rsidR="00C157EC" w:rsidRPr="00902971" w:rsidRDefault="00C157EC" w:rsidP="00C157EC"/>
    <w:p w:rsidR="00C157EC" w:rsidRDefault="00C157EC" w:rsidP="00C157EC">
      <w:pPr>
        <w:pStyle w:val="Heading3"/>
        <w:sectPr w:rsidR="00C157EC" w:rsidSect="00FC31F1">
          <w:pgSz w:w="15840" w:h="12240" w:orient="landscape"/>
          <w:pgMar w:top="1440" w:right="1440" w:bottom="1440" w:left="1440" w:header="720" w:footer="720" w:gutter="0"/>
          <w:cols w:space="720"/>
          <w:docGrid w:linePitch="360"/>
        </w:sectPr>
      </w:pPr>
    </w:p>
    <w:p w:rsidR="00C157EC" w:rsidRDefault="00C157EC" w:rsidP="00456C2C">
      <w:pPr>
        <w:pStyle w:val="Heading3NoTOC"/>
      </w:pPr>
      <w:bookmarkStart w:id="133" w:name="_Toc436724307"/>
      <w:r>
        <w:t>General Approach—Regression-Based Projections</w:t>
      </w:r>
      <w:bookmarkEnd w:id="133"/>
    </w:p>
    <w:p w:rsidR="00C157EC" w:rsidRDefault="00C157EC" w:rsidP="00456C2C">
      <w:pPr>
        <w:pStyle w:val="BodyText"/>
      </w:pPr>
      <w:r>
        <w:t xml:space="preserve">As many of the research questions were addressed, at least in part, through regression-based projections, it is helpful to have a basic understanding of this approach. In essence, a linear regression identifies an average linear relationship between an outcome of interest (or the quantity that is being predicted, which in the case of both supply and demand is the number of teachers) and one or more predictor variables (that is, the factors that may be related to the outcome of interest) that best fit the observed data. Multiple linear regressions allow one to estimate a relationship between an outcome variable and a predictor variable while controlling for other factors. For our purposes, we use multiple </w:t>
      </w:r>
      <w:proofErr w:type="gramStart"/>
      <w:r>
        <w:t>regression</w:t>
      </w:r>
      <w:proofErr w:type="gramEnd"/>
      <w:r>
        <w:t xml:space="preserve"> to generate models that accurately estimate the supply and demand components of interest. Within each model we include a time trend, which allows us to apply the models to future years to predict changes in supply and demand over time, while holding all other variables constant.</w:t>
      </w:r>
    </w:p>
    <w:p w:rsidR="00C157EC" w:rsidRDefault="00C157EC" w:rsidP="00C157EC">
      <w:pPr>
        <w:pStyle w:val="BodyText"/>
      </w:pPr>
      <w:r>
        <w:t xml:space="preserve">The benefit of using this approach for projections is that it allows projections to vary based on factors of interest. For example, we can allow the time trends to vary by region to understand whether certain regions of the state have experienced different patterns of supply or demand. However, there also are limitations to this approach. </w:t>
      </w:r>
      <w:r w:rsidRPr="007718FB">
        <w:t xml:space="preserve">In particular, projections based on observational units with small counts in historical years are </w:t>
      </w:r>
      <w:r>
        <w:t xml:space="preserve">generally </w:t>
      </w:r>
      <w:r w:rsidRPr="007718FB">
        <w:t xml:space="preserve">more prone to error. This issue has been documented previously in a report using data from Washington </w:t>
      </w:r>
      <w:r w:rsidR="003E7468">
        <w:t>S</w:t>
      </w:r>
      <w:r w:rsidRPr="007718FB">
        <w:t>tate that noted projections based on counts of 1,000 or less, particularly 100 or less, are problematic (</w:t>
      </w:r>
      <w:proofErr w:type="spellStart"/>
      <w:r w:rsidRPr="001F712C">
        <w:t>Berk</w:t>
      </w:r>
      <w:proofErr w:type="spellEnd"/>
      <w:r w:rsidRPr="001F712C">
        <w:t xml:space="preserve"> &amp; </w:t>
      </w:r>
      <w:proofErr w:type="spellStart"/>
      <w:r w:rsidRPr="001F712C">
        <w:t>Hodgins</w:t>
      </w:r>
      <w:proofErr w:type="spellEnd"/>
      <w:r w:rsidRPr="001F712C">
        <w:t>, 2008). Although this finding was not presented in the context of regression analysis, we also have found that models attempting to predict supply or demand for</w:t>
      </w:r>
      <w:r>
        <w:t xml:space="preserve"> smaller populations contain more errors. </w:t>
      </w:r>
      <w:r w:rsidRPr="007718FB">
        <w:t>In addition, future sho</w:t>
      </w:r>
      <w:r>
        <w:t xml:space="preserve">cks—or specific events that change the time trend—are inherently difficult to </w:t>
      </w:r>
      <w:r w:rsidRPr="007718FB">
        <w:t>anticipate with a high degree of accuracy</w:t>
      </w:r>
      <w:r>
        <w:t>, and projections therefore cannot easily or reliably account for these shocks.</w:t>
      </w:r>
      <w:r>
        <w:rPr>
          <w:rStyle w:val="FootnoteReference"/>
        </w:rPr>
        <w:footnoteReference w:id="32"/>
      </w:r>
      <w:bookmarkStart w:id="134" w:name="_Toc435461196"/>
    </w:p>
    <w:p w:rsidR="00C157EC" w:rsidRPr="00F10480" w:rsidRDefault="00C157EC" w:rsidP="00456C2C">
      <w:pPr>
        <w:pStyle w:val="Heading3NoTOC"/>
      </w:pPr>
      <w:bookmarkStart w:id="135" w:name="_Toc435614396"/>
      <w:bookmarkStart w:id="136" w:name="_Toc436724308"/>
      <w:r>
        <w:t xml:space="preserve">Research Question 1: </w:t>
      </w:r>
      <w:r w:rsidRPr="00F10480">
        <w:t>Enrollment Projections</w:t>
      </w:r>
      <w:bookmarkEnd w:id="135"/>
      <w:bookmarkEnd w:id="136"/>
    </w:p>
    <w:p w:rsidR="00C157EC" w:rsidRDefault="00C157EC" w:rsidP="00456C2C">
      <w:pPr>
        <w:pStyle w:val="BodyText"/>
      </w:pPr>
      <w:r>
        <w:t xml:space="preserve">The study team adopted </w:t>
      </w:r>
      <w:r w:rsidRPr="00101E9C">
        <w:t xml:space="preserve">a </w:t>
      </w:r>
      <w:r>
        <w:t>model for projecting student enrollments that relied on “</w:t>
      </w:r>
      <w:r w:rsidR="0037535A">
        <w:t>g</w:t>
      </w:r>
      <w:r>
        <w:t xml:space="preserve">rade </w:t>
      </w:r>
      <w:r w:rsidR="0037535A">
        <w:t>p</w:t>
      </w:r>
      <w:r>
        <w:t xml:space="preserve">rogression </w:t>
      </w:r>
      <w:r w:rsidR="0037535A">
        <w:t>r</w:t>
      </w:r>
      <w:r>
        <w:t>atios” (or GPRs). As the name of the method implies, these ratios represent</w:t>
      </w:r>
      <w:r w:rsidRPr="00101E9C">
        <w:t xml:space="preserve"> the percentages of students who progress from grade to grade each year</w:t>
      </w:r>
      <w:r>
        <w:t xml:space="preserve"> or from birth to kindergarten five years later. E</w:t>
      </w:r>
      <w:r w:rsidRPr="00101E9C">
        <w:t xml:space="preserve">nrollment projections were calculated at the county level. This was done for two practical reasons. First, birth and population data </w:t>
      </w:r>
      <w:r>
        <w:t>we</w:t>
      </w:r>
      <w:r w:rsidRPr="00101E9C">
        <w:t xml:space="preserve">re </w:t>
      </w:r>
      <w:r>
        <w:t xml:space="preserve">only </w:t>
      </w:r>
      <w:r w:rsidRPr="00101E9C">
        <w:t xml:space="preserve">available </w:t>
      </w:r>
      <w:r>
        <w:t xml:space="preserve">at </w:t>
      </w:r>
      <w:r w:rsidRPr="00101E9C">
        <w:t>the county level</w:t>
      </w:r>
      <w:r>
        <w:t xml:space="preserve"> (these data we</w:t>
      </w:r>
      <w:r w:rsidRPr="00101E9C">
        <w:t>re not available</w:t>
      </w:r>
      <w:r w:rsidRPr="00C94039">
        <w:t xml:space="preserve"> </w:t>
      </w:r>
      <w:r>
        <w:t xml:space="preserve">at the </w:t>
      </w:r>
      <w:r w:rsidRPr="00101E9C">
        <w:t>district</w:t>
      </w:r>
      <w:r>
        <w:t xml:space="preserve"> </w:t>
      </w:r>
      <w:r w:rsidRPr="00101E9C">
        <w:t>level</w:t>
      </w:r>
      <w:r>
        <w:t>)</w:t>
      </w:r>
      <w:r w:rsidRPr="00101E9C">
        <w:t xml:space="preserve">. Second, </w:t>
      </w:r>
      <w:r>
        <w:t xml:space="preserve">although the GPR method requires data on student progression between each consecutive pair of grades from K to 12, </w:t>
      </w:r>
      <w:r w:rsidRPr="00101E9C">
        <w:t xml:space="preserve">not </w:t>
      </w:r>
      <w:r>
        <w:t xml:space="preserve">all </w:t>
      </w:r>
      <w:r w:rsidRPr="00101E9C">
        <w:t>district</w:t>
      </w:r>
      <w:r>
        <w:t>s</w:t>
      </w:r>
      <w:r w:rsidRPr="00101E9C">
        <w:t xml:space="preserve"> serve every grade. For example, some </w:t>
      </w:r>
      <w:r>
        <w:t xml:space="preserve">districts only serve the elementary grades (K to 5), so that </w:t>
      </w:r>
      <w:r w:rsidRPr="00101E9C">
        <w:t>progressi</w:t>
      </w:r>
      <w:r>
        <w:t>ons</w:t>
      </w:r>
      <w:r w:rsidRPr="00101E9C">
        <w:t xml:space="preserve"> from </w:t>
      </w:r>
      <w:r>
        <w:t>fif</w:t>
      </w:r>
      <w:r w:rsidRPr="00101E9C">
        <w:t xml:space="preserve">th grade to </w:t>
      </w:r>
      <w:r>
        <w:t>six</w:t>
      </w:r>
      <w:r w:rsidRPr="00101E9C">
        <w:t xml:space="preserve">th grade </w:t>
      </w:r>
      <w:r>
        <w:t xml:space="preserve">require students to </w:t>
      </w:r>
      <w:r w:rsidRPr="00101E9C">
        <w:t>chang</w:t>
      </w:r>
      <w:r>
        <w:t>e to a different</w:t>
      </w:r>
      <w:r w:rsidRPr="00101E9C">
        <w:t xml:space="preserve"> school district. </w:t>
      </w:r>
      <w:r>
        <w:t>In these cases</w:t>
      </w:r>
      <w:r w:rsidRPr="00101E9C">
        <w:t xml:space="preserve">, an enrollment projection </w:t>
      </w:r>
      <w:r>
        <w:t xml:space="preserve">between these grades </w:t>
      </w:r>
      <w:r w:rsidRPr="00101E9C">
        <w:t xml:space="preserve">could not be calculated </w:t>
      </w:r>
      <w:r>
        <w:t xml:space="preserve">for </w:t>
      </w:r>
      <w:r w:rsidRPr="00101E9C">
        <w:t>district</w:t>
      </w:r>
      <w:r>
        <w:t>s</w:t>
      </w:r>
      <w:r w:rsidRPr="00101E9C">
        <w:t xml:space="preserve"> </w:t>
      </w:r>
      <w:r>
        <w:t xml:space="preserve">that did </w:t>
      </w:r>
      <w:r w:rsidRPr="00101E9C">
        <w:t>not serv</w:t>
      </w:r>
      <w:r>
        <w:t>e</w:t>
      </w:r>
      <w:r w:rsidRPr="00101E9C">
        <w:t xml:space="preserve"> </w:t>
      </w:r>
      <w:r>
        <w:t xml:space="preserve">both </w:t>
      </w:r>
      <w:r w:rsidRPr="00101E9C">
        <w:t>grade</w:t>
      </w:r>
      <w:r>
        <w:t>s</w:t>
      </w:r>
      <w:r w:rsidRPr="00101E9C">
        <w:t xml:space="preserve">. However, </w:t>
      </w:r>
      <w:r>
        <w:t xml:space="preserve">once the enrollment data were aggregated to </w:t>
      </w:r>
      <w:r w:rsidRPr="00101E9C">
        <w:t>the county level</w:t>
      </w:r>
      <w:r>
        <w:t>,</w:t>
      </w:r>
      <w:r w:rsidRPr="00101E9C">
        <w:t xml:space="preserve"> </w:t>
      </w:r>
      <w:r>
        <w:t xml:space="preserve">every </w:t>
      </w:r>
      <w:r w:rsidRPr="00101E9C">
        <w:t>count</w:t>
      </w:r>
      <w:r>
        <w:t>y was found to</w:t>
      </w:r>
      <w:r w:rsidRPr="00101E9C">
        <w:t xml:space="preserve"> serve all grades.</w:t>
      </w:r>
      <w:r>
        <w:t xml:space="preserve"> In turn, the district-level enrollment data (for Grades K–12) were first aggregated to the county level to accommodate the calculation of grade-level enrollment projections, which were then prorated across the constituent districts in each county using historical district-level shares of countywide enrollment.</w:t>
      </w:r>
    </w:p>
    <w:p w:rsidR="00C157EC" w:rsidRPr="00101E9C" w:rsidRDefault="00C157EC" w:rsidP="00312F3B">
      <w:pPr>
        <w:pStyle w:val="Heading4NoTOC"/>
      </w:pPr>
      <w:bookmarkStart w:id="137" w:name="_Toc435614397"/>
      <w:r w:rsidRPr="00101E9C">
        <w:t>Calculati</w:t>
      </w:r>
      <w:r>
        <w:t>on of GPRs for</w:t>
      </w:r>
      <w:r w:rsidRPr="00101E9C">
        <w:t xml:space="preserve"> </w:t>
      </w:r>
      <w:r>
        <w:t xml:space="preserve">Grades </w:t>
      </w:r>
      <w:r w:rsidRPr="00101E9C">
        <w:t>K</w:t>
      </w:r>
      <w:r>
        <w:t>–</w:t>
      </w:r>
      <w:r w:rsidRPr="00101E9C">
        <w:t xml:space="preserve">1 </w:t>
      </w:r>
      <w:proofErr w:type="gramStart"/>
      <w:r>
        <w:t>T</w:t>
      </w:r>
      <w:r w:rsidRPr="00101E9C">
        <w:t>hrough</w:t>
      </w:r>
      <w:proofErr w:type="gramEnd"/>
      <w:r w:rsidRPr="00101E9C">
        <w:t xml:space="preserve"> 11</w:t>
      </w:r>
      <w:r>
        <w:t>–</w:t>
      </w:r>
      <w:r w:rsidRPr="00101E9C">
        <w:t>12</w:t>
      </w:r>
      <w:bookmarkEnd w:id="137"/>
    </w:p>
    <w:p w:rsidR="00C157EC" w:rsidRPr="00341E2E" w:rsidRDefault="00C157EC" w:rsidP="00456C2C">
      <w:pPr>
        <w:pStyle w:val="BodyText"/>
      </w:pPr>
      <w:r>
        <w:t>We used the</w:t>
      </w:r>
      <w:r w:rsidRPr="00341E2E">
        <w:t xml:space="preserve"> following equation to calculate the progression ratio from </w:t>
      </w:r>
      <w:r>
        <w:t>G</w:t>
      </w:r>
      <w:r w:rsidRPr="00341E2E">
        <w:t xml:space="preserve">rade </w:t>
      </w:r>
      <w:r w:rsidRPr="00A46F58">
        <w:rPr>
          <w:i/>
        </w:rPr>
        <w:t>x</w:t>
      </w:r>
      <w:r w:rsidRPr="00341E2E">
        <w:t xml:space="preserve"> in </w:t>
      </w:r>
      <w:r>
        <w:t>Y</w:t>
      </w:r>
      <w:r w:rsidRPr="00341E2E">
        <w:t xml:space="preserve">ear 1 to </w:t>
      </w:r>
      <w:r>
        <w:t>G</w:t>
      </w:r>
      <w:r w:rsidRPr="00341E2E">
        <w:t xml:space="preserve">rade </w:t>
      </w:r>
      <w:r w:rsidRPr="00A46F58">
        <w:rPr>
          <w:i/>
        </w:rPr>
        <w:t>y</w:t>
      </w:r>
      <w:r w:rsidRPr="00341E2E">
        <w:t xml:space="preserve"> in </w:t>
      </w:r>
      <w:r>
        <w:t>Y</w:t>
      </w:r>
      <w:r w:rsidRPr="00341E2E">
        <w:t>ear 2:</w:t>
      </w:r>
    </w:p>
    <w:p w:rsidR="00C157EC" w:rsidRPr="00456C2C" w:rsidRDefault="0037535A" w:rsidP="00456C2C">
      <w:pPr>
        <w:pStyle w:val="BodyText"/>
      </w:pPr>
      <m:oMathPara>
        <m:oMath>
          <m:r>
            <m:rPr>
              <m:sty m:val="p"/>
            </m:rPr>
            <w:rPr>
              <w:rFonts w:ascii="Cambria Math" w:hAnsi="Cambria Math"/>
            </w:rPr>
            <m:t>GPR</m:t>
          </m:r>
          <m:r>
            <m:rPr>
              <m:nor/>
            </m:rPr>
            <w:rPr>
              <w:i/>
            </w:rPr>
            <m:t>x</m:t>
          </m:r>
          <m:r>
            <m:rPr>
              <m:nor/>
            </m:rPr>
            <m:t>-</m:t>
          </m:r>
          <m:r>
            <m:rPr>
              <m:nor/>
            </m:rPr>
            <w:rPr>
              <w:i/>
            </w:rPr>
            <m:t>y</m:t>
          </m:r>
          <m:r>
            <m:rPr>
              <m:nor/>
            </m:rPr>
            <m:t xml:space="preserve"> </m:t>
          </m:r>
          <m:r>
            <m:rPr>
              <m:sty m:val="p"/>
            </m:rPr>
            <w:rPr>
              <w:rFonts w:ascii="Cambria Math" w:hAnsi="Cambria Math"/>
            </w:rPr>
            <m:t xml:space="preserve">= </m:t>
          </m:r>
          <m:f>
            <m:fPr>
              <m:ctrlPr>
                <w:rPr>
                  <w:rFonts w:ascii="Cambria Math" w:hAnsi="Cambria Math"/>
                </w:rPr>
              </m:ctrlPr>
            </m:fPr>
            <m:num>
              <m:r>
                <w:rPr>
                  <w:rFonts w:ascii="Cambria Math" w:hAnsi="Cambria Math"/>
                </w:rPr>
                <m:t>y</m:t>
              </m:r>
              <m:r>
                <m:rPr>
                  <m:sty m:val="p"/>
                </m:rPr>
                <w:rPr>
                  <w:rFonts w:ascii="Cambria Math" w:hAnsi="Cambria Math"/>
                </w:rPr>
                <m:t xml:space="preserve"> Enrollment in Year 2</m:t>
              </m:r>
            </m:num>
            <m:den>
              <m:r>
                <w:rPr>
                  <w:rFonts w:ascii="Cambria Math" w:hAnsi="Cambria Math"/>
                </w:rPr>
                <m:t>x</m:t>
              </m:r>
              <m:r>
                <m:rPr>
                  <m:sty m:val="p"/>
                </m:rPr>
                <w:rPr>
                  <w:rFonts w:ascii="Cambria Math" w:hAnsi="Cambria Math"/>
                </w:rPr>
                <m:t xml:space="preserve"> Enrollment in Year 1</m:t>
              </m:r>
            </m:den>
          </m:f>
        </m:oMath>
      </m:oMathPara>
    </w:p>
    <w:p w:rsidR="00C157EC" w:rsidRPr="00341E2E" w:rsidRDefault="00C157EC" w:rsidP="00456C2C">
      <w:pPr>
        <w:pStyle w:val="BodyText"/>
      </w:pPr>
      <w:r w:rsidRPr="00341E2E">
        <w:t xml:space="preserve">A GPR was calculated for each </w:t>
      </w:r>
      <w:r>
        <w:t xml:space="preserve">consecutive </w:t>
      </w:r>
      <w:r w:rsidRPr="00341E2E">
        <w:t>K</w:t>
      </w:r>
      <w:r>
        <w:t>–</w:t>
      </w:r>
      <w:r w:rsidRPr="00341E2E">
        <w:t xml:space="preserve">12 grade combination </w:t>
      </w:r>
      <w:r>
        <w:t xml:space="preserve">(e.g., </w:t>
      </w:r>
      <w:r w:rsidR="0037535A">
        <w:t xml:space="preserve">Grade </w:t>
      </w:r>
      <w:r>
        <w:t>K</w:t>
      </w:r>
      <w:r w:rsidRPr="001068C0">
        <w:t>–</w:t>
      </w:r>
      <w:r>
        <w:t>1, 1</w:t>
      </w:r>
      <w:r w:rsidRPr="001068C0">
        <w:t>–</w:t>
      </w:r>
      <w:r>
        <w:t xml:space="preserve">2) </w:t>
      </w:r>
      <w:r w:rsidRPr="00341E2E">
        <w:t>for</w:t>
      </w:r>
      <w:r>
        <w:t xml:space="preserve"> the</w:t>
      </w:r>
      <w:r w:rsidRPr="00341E2E">
        <w:t xml:space="preserve"> 20</w:t>
      </w:r>
      <w:r>
        <w:t>03</w:t>
      </w:r>
      <w:r w:rsidRPr="001068C0">
        <w:t>–</w:t>
      </w:r>
      <w:r w:rsidRPr="00341E2E">
        <w:t>04</w:t>
      </w:r>
      <w:r>
        <w:t>/2004</w:t>
      </w:r>
      <w:r w:rsidRPr="001068C0">
        <w:t>–</w:t>
      </w:r>
      <w:r>
        <w:t>05</w:t>
      </w:r>
      <w:r w:rsidRPr="00341E2E">
        <w:t xml:space="preserve"> through </w:t>
      </w:r>
      <w:r>
        <w:t>2013</w:t>
      </w:r>
      <w:r w:rsidRPr="001068C0">
        <w:t>–</w:t>
      </w:r>
      <w:r>
        <w:t>14/</w:t>
      </w:r>
      <w:r w:rsidRPr="00341E2E">
        <w:t>20</w:t>
      </w:r>
      <w:r>
        <w:t>14</w:t>
      </w:r>
      <w:r w:rsidRPr="001068C0">
        <w:t>–</w:t>
      </w:r>
      <w:r w:rsidRPr="00341E2E">
        <w:t>15</w:t>
      </w:r>
      <w:r>
        <w:t xml:space="preserve"> school year pairs</w:t>
      </w:r>
      <w:r w:rsidRPr="00341E2E">
        <w:t xml:space="preserve">, and </w:t>
      </w:r>
      <w:r>
        <w:t xml:space="preserve">overall progressions for each grade combination used to </w:t>
      </w:r>
      <w:r w:rsidRPr="00341E2E">
        <w:t>project</w:t>
      </w:r>
      <w:r>
        <w:t xml:space="preserve"> enrollment </w:t>
      </w:r>
      <w:r w:rsidRPr="00341E2E">
        <w:t xml:space="preserve">were created </w:t>
      </w:r>
      <w:r>
        <w:t xml:space="preserve">by taking </w:t>
      </w:r>
      <w:r w:rsidRPr="00341E2E">
        <w:t>the average GPR</w:t>
      </w:r>
      <w:r>
        <w:t>s</w:t>
      </w:r>
      <w:r w:rsidRPr="00341E2E">
        <w:t xml:space="preserve"> </w:t>
      </w:r>
      <w:r>
        <w:t>over these years</w:t>
      </w:r>
      <w:r w:rsidRPr="00341E2E">
        <w:t>.</w:t>
      </w:r>
    </w:p>
    <w:p w:rsidR="00C157EC" w:rsidRPr="00101E9C" w:rsidRDefault="00C157EC" w:rsidP="00312F3B">
      <w:pPr>
        <w:pStyle w:val="Heading4NoTOC"/>
      </w:pPr>
      <w:bookmarkStart w:id="138" w:name="_Toc435614398"/>
      <w:r w:rsidRPr="00101E9C">
        <w:t>Calculating Birth to Kindergarten GPRs</w:t>
      </w:r>
      <w:bookmarkEnd w:id="138"/>
    </w:p>
    <w:p w:rsidR="00C157EC" w:rsidRPr="00341E2E" w:rsidRDefault="00C157EC" w:rsidP="00456C2C">
      <w:pPr>
        <w:pStyle w:val="BodyText"/>
      </w:pPr>
      <w:r w:rsidRPr="00341E2E">
        <w:t>To calculate the progression ratio</w:t>
      </w:r>
      <w:r>
        <w:t>s</w:t>
      </w:r>
      <w:r w:rsidRPr="00341E2E">
        <w:t xml:space="preserve"> from birth to kindergarten, birth counts five years prior were used i</w:t>
      </w:r>
      <w:r>
        <w:t>n place of “Year 1” enrollment.</w:t>
      </w:r>
      <w:r w:rsidRPr="00341E2E">
        <w:t xml:space="preserve"> </w:t>
      </w:r>
      <w:r>
        <w:t>Specifically, i</w:t>
      </w:r>
      <w:r w:rsidRPr="00341E2E">
        <w:t xml:space="preserve">t was assumed that kindergarten enrollment in a given year represents the proportion of children born five years earlier that will progress to kindergarten. The equation used </w:t>
      </w:r>
      <w:r>
        <w:t>to calculate the birth</w:t>
      </w:r>
      <w:r w:rsidRPr="008D78C5">
        <w:t>–</w:t>
      </w:r>
      <w:r>
        <w:t xml:space="preserve">K GPRs </w:t>
      </w:r>
      <w:r w:rsidRPr="00341E2E">
        <w:t>is the same</w:t>
      </w:r>
      <w:r>
        <w:t xml:space="preserve"> as that presented above</w:t>
      </w:r>
      <w:r w:rsidRPr="00341E2E">
        <w:t xml:space="preserve">, and the average across </w:t>
      </w:r>
      <w:r>
        <w:t>the previous six years (</w:t>
      </w:r>
      <w:r w:rsidRPr="00341E2E">
        <w:t>20</w:t>
      </w:r>
      <w:r>
        <w:t>09</w:t>
      </w:r>
      <w:r w:rsidRPr="008D78C5">
        <w:t>–</w:t>
      </w:r>
      <w:r>
        <w:t>10/2010</w:t>
      </w:r>
      <w:r w:rsidRPr="008D78C5">
        <w:t>–</w:t>
      </w:r>
      <w:r>
        <w:t>11</w:t>
      </w:r>
      <w:r w:rsidRPr="00341E2E">
        <w:t xml:space="preserve"> through </w:t>
      </w:r>
      <w:r>
        <w:t>2013</w:t>
      </w:r>
      <w:r w:rsidRPr="008D78C5">
        <w:t>–</w:t>
      </w:r>
      <w:r>
        <w:t>14/</w:t>
      </w:r>
      <w:r w:rsidRPr="00341E2E">
        <w:t>20</w:t>
      </w:r>
      <w:r>
        <w:t>14</w:t>
      </w:r>
      <w:r w:rsidRPr="008D78C5">
        <w:t>–</w:t>
      </w:r>
      <w:r w:rsidRPr="00341E2E">
        <w:t>15</w:t>
      </w:r>
      <w:r>
        <w:t xml:space="preserve">) </w:t>
      </w:r>
      <w:r w:rsidRPr="00341E2E">
        <w:t>was used</w:t>
      </w:r>
      <w:r>
        <w:t xml:space="preserve"> in projection models</w:t>
      </w:r>
      <w:r w:rsidRPr="00341E2E">
        <w:t>.</w:t>
      </w:r>
    </w:p>
    <w:p w:rsidR="00C157EC" w:rsidRPr="00456C2C" w:rsidRDefault="00C157EC" w:rsidP="00312F3B">
      <w:pPr>
        <w:pStyle w:val="Heading4NoTOC"/>
      </w:pPr>
      <w:bookmarkStart w:id="139" w:name="_Toc435614399"/>
      <w:r w:rsidRPr="00456C2C">
        <w:t>Estimating Births for Years</w:t>
      </w:r>
      <w:bookmarkEnd w:id="139"/>
      <w:r w:rsidRPr="00456C2C">
        <w:t xml:space="preserve"> in Which No Data Are Available</w:t>
      </w:r>
    </w:p>
    <w:p w:rsidR="00C157EC" w:rsidRPr="00341E2E" w:rsidRDefault="00C157EC" w:rsidP="00456C2C">
      <w:pPr>
        <w:pStyle w:val="BodyText"/>
      </w:pPr>
      <w:r w:rsidRPr="00341E2E">
        <w:t xml:space="preserve">To calculate 10-year projections, birth counts were needed for years where these data are unavailable because </w:t>
      </w:r>
      <w:r>
        <w:t xml:space="preserve">either </w:t>
      </w:r>
      <w:r w:rsidRPr="00341E2E">
        <w:t>these years are in the future</w:t>
      </w:r>
      <w:r>
        <w:t xml:space="preserve"> or the birth estimates have yet to be published</w:t>
      </w:r>
      <w:r w:rsidRPr="00341E2E">
        <w:t>. Specifically, these data are not available for 2014 through 2019. To estimate birth counts</w:t>
      </w:r>
      <w:r>
        <w:t xml:space="preserve"> for these years</w:t>
      </w:r>
      <w:r w:rsidRPr="00341E2E">
        <w:t xml:space="preserve">, the county-level population of women </w:t>
      </w:r>
      <w:r>
        <w:t xml:space="preserve">of child-bearing age (i.e., between </w:t>
      </w:r>
      <w:r w:rsidRPr="00341E2E">
        <w:t xml:space="preserve">15 </w:t>
      </w:r>
      <w:r>
        <w:t>and</w:t>
      </w:r>
      <w:r w:rsidRPr="00341E2E">
        <w:t xml:space="preserve"> 44</w:t>
      </w:r>
      <w:r>
        <w:t xml:space="preserve"> years of age) was calculated for future years (2015 through 2019) based on 2014 population data, and this population for each year</w:t>
      </w:r>
      <w:r w:rsidRPr="00341E2E">
        <w:t xml:space="preserve"> was multiplied by the county fertility rate</w:t>
      </w:r>
      <w:r>
        <w:rPr>
          <w:rStyle w:val="FootnoteReference"/>
        </w:rPr>
        <w:footnoteReference w:id="33"/>
      </w:r>
      <w:r w:rsidRPr="00341E2E">
        <w:t xml:space="preserve"> in the most recent year available, </w:t>
      </w:r>
      <w:r>
        <w:t xml:space="preserve">which was </w:t>
      </w:r>
      <w:r w:rsidRPr="00341E2E">
        <w:t>2013.</w:t>
      </w:r>
      <w:bookmarkEnd w:id="134"/>
    </w:p>
    <w:p w:rsidR="00C157EC" w:rsidRPr="00101E9C" w:rsidRDefault="00C157EC" w:rsidP="00312F3B">
      <w:pPr>
        <w:pStyle w:val="Heading4NoTOC"/>
      </w:pPr>
      <w:bookmarkStart w:id="140" w:name="_Toc435461200"/>
      <w:r w:rsidRPr="00101E9C">
        <w:t>Calculating Projected Enrollment</w:t>
      </w:r>
      <w:bookmarkEnd w:id="140"/>
    </w:p>
    <w:p w:rsidR="00C157EC" w:rsidRPr="00341E2E" w:rsidRDefault="00C157EC" w:rsidP="00456C2C">
      <w:pPr>
        <w:pStyle w:val="BodyText"/>
      </w:pPr>
      <w:r w:rsidRPr="00341E2E">
        <w:t xml:space="preserve">Finally, to calculate 1-year to 10-year enrollment projections, average GPRs were paired with the most recent cohort of students in a given grade to forecast enrollment in a future period. For example, students in </w:t>
      </w:r>
      <w:r>
        <w:t>first</w:t>
      </w:r>
      <w:r w:rsidRPr="00341E2E">
        <w:t xml:space="preserve"> grade in the </w:t>
      </w:r>
      <w:r>
        <w:t>last</w:t>
      </w:r>
      <w:r w:rsidRPr="00341E2E">
        <w:t xml:space="preserve"> year of </w:t>
      </w:r>
      <w:r>
        <w:t xml:space="preserve">observed </w:t>
      </w:r>
      <w:r w:rsidRPr="00341E2E">
        <w:t>data</w:t>
      </w:r>
      <w:r>
        <w:t xml:space="preserve"> (2013</w:t>
      </w:r>
      <w:r w:rsidRPr="008D78C5">
        <w:t>–</w:t>
      </w:r>
      <w:r>
        <w:t>14)</w:t>
      </w:r>
      <w:r w:rsidRPr="00341E2E">
        <w:t xml:space="preserve"> will be in </w:t>
      </w:r>
      <w:r>
        <w:t>four</w:t>
      </w:r>
      <w:r w:rsidRPr="00341E2E">
        <w:t xml:space="preserve">th grade when calculating </w:t>
      </w:r>
      <w:r>
        <w:t>three</w:t>
      </w:r>
      <w:r w:rsidRPr="00341E2E">
        <w:t>-year projections.</w:t>
      </w:r>
      <w:r>
        <w:rPr>
          <w:rStyle w:val="FootnoteReference"/>
        </w:rPr>
        <w:footnoteReference w:id="34"/>
      </w:r>
      <w:r w:rsidRPr="00341E2E">
        <w:t xml:space="preserve"> The GPRs estimate the proportion of students in a given cohort that will progress forward </w:t>
      </w:r>
      <w:r>
        <w:t xml:space="preserve">during </w:t>
      </w:r>
      <w:r w:rsidRPr="00341E2E">
        <w:t xml:space="preserve">those three years. </w:t>
      </w:r>
      <w:r w:rsidR="0027264A">
        <w:t>Table</w:t>
      </w:r>
      <w:r>
        <w:t xml:space="preserve"> A2 </w:t>
      </w:r>
      <w:r w:rsidRPr="00341E2E">
        <w:t>displays the equation used to calculate 10-year projections:</w:t>
      </w:r>
    </w:p>
    <w:p w:rsidR="00C157EC" w:rsidRPr="00341E2E" w:rsidRDefault="0027264A" w:rsidP="00456C2C">
      <w:pPr>
        <w:pStyle w:val="ExhibitTitle"/>
      </w:pPr>
      <w:r>
        <w:t>Table</w:t>
      </w:r>
      <w:r w:rsidR="00C157EC">
        <w:t xml:space="preserve"> A2.</w:t>
      </w:r>
      <w:r w:rsidR="00C157EC" w:rsidRPr="00341E2E">
        <w:t xml:space="preserve"> Calcu</w:t>
      </w:r>
      <w:r w:rsidR="00C157EC">
        <w:t>lations for 10-Year Forecasts (F</w:t>
      </w:r>
      <w:r w:rsidR="00C157EC" w:rsidRPr="00341E2E">
        <w:t xml:space="preserve">rom </w:t>
      </w:r>
      <w:r w:rsidR="00C157EC">
        <w:t>the 2013</w:t>
      </w:r>
      <w:r w:rsidR="0037535A">
        <w:t>–</w:t>
      </w:r>
      <w:r w:rsidR="00C157EC">
        <w:t xml:space="preserve">14 School </w:t>
      </w:r>
      <w:proofErr w:type="gramStart"/>
      <w:r w:rsidR="00C157EC">
        <w:t>Y</w:t>
      </w:r>
      <w:r w:rsidR="00C157EC" w:rsidRPr="00341E2E">
        <w:t>ear</w:t>
      </w:r>
      <w:proofErr w:type="gramEnd"/>
      <w:r w:rsidR="00C157EC" w:rsidRPr="00341E2E">
        <w:t>)</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1280"/>
        <w:gridCol w:w="1262"/>
        <w:gridCol w:w="7048"/>
      </w:tblGrid>
      <w:tr w:rsidR="00C157EC" w:rsidRPr="00341E2E" w:rsidTr="00A2777B">
        <w:trPr>
          <w:cnfStyle w:val="100000000000"/>
          <w:trHeight w:val="638"/>
        </w:trPr>
        <w:tc>
          <w:tcPr>
            <w:tcW w:w="1278" w:type="dxa"/>
            <w:tcBorders>
              <w:bottom w:val="single" w:sz="4" w:space="0" w:color="auto"/>
            </w:tcBorders>
            <w:noWrap/>
            <w:hideMark/>
          </w:tcPr>
          <w:p w:rsidR="00C157EC" w:rsidRPr="00341E2E" w:rsidRDefault="00C157EC" w:rsidP="003C50C4">
            <w:pPr>
              <w:pStyle w:val="TableText"/>
              <w:jc w:val="center"/>
              <w:rPr>
                <w:b w:val="0"/>
              </w:rPr>
            </w:pPr>
            <w:r>
              <w:t>Grade in 10 Y</w:t>
            </w:r>
            <w:r w:rsidRPr="00341E2E">
              <w:t>ears</w:t>
            </w:r>
          </w:p>
        </w:tc>
        <w:tc>
          <w:tcPr>
            <w:tcW w:w="1260" w:type="dxa"/>
            <w:tcBorders>
              <w:bottom w:val="single" w:sz="4" w:space="0" w:color="auto"/>
            </w:tcBorders>
            <w:noWrap/>
            <w:hideMark/>
          </w:tcPr>
          <w:p w:rsidR="00C157EC" w:rsidRPr="00341E2E" w:rsidRDefault="00C157EC" w:rsidP="003C50C4">
            <w:pPr>
              <w:pStyle w:val="TableText"/>
              <w:jc w:val="center"/>
              <w:rPr>
                <w:b w:val="0"/>
              </w:rPr>
            </w:pPr>
            <w:r w:rsidRPr="00341E2E">
              <w:t>Status in 2013</w:t>
            </w:r>
            <w:r w:rsidRPr="00C10FED">
              <w:t>–</w:t>
            </w:r>
            <w:r w:rsidRPr="00341E2E">
              <w:t>14</w:t>
            </w:r>
          </w:p>
        </w:tc>
        <w:tc>
          <w:tcPr>
            <w:tcW w:w="7038" w:type="dxa"/>
            <w:tcBorders>
              <w:bottom w:val="single" w:sz="4" w:space="0" w:color="auto"/>
            </w:tcBorders>
            <w:noWrap/>
            <w:hideMark/>
          </w:tcPr>
          <w:p w:rsidR="00C157EC" w:rsidRPr="00341E2E" w:rsidRDefault="00C157EC" w:rsidP="00456C2C">
            <w:pPr>
              <w:pStyle w:val="TableText"/>
              <w:rPr>
                <w:b w:val="0"/>
              </w:rPr>
            </w:pPr>
            <w:r w:rsidRPr="00341E2E">
              <w:t>Calculations for 20</w:t>
            </w:r>
            <w:r>
              <w:t>23</w:t>
            </w:r>
            <w:r w:rsidRPr="00C10FED">
              <w:t>–</w:t>
            </w:r>
            <w:r w:rsidRPr="00341E2E">
              <w:t xml:space="preserve">24 </w:t>
            </w:r>
            <w:r>
              <w:t>F</w:t>
            </w:r>
            <w:r w:rsidRPr="00341E2E">
              <w:t>orecast</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12</w:t>
            </w:r>
          </w:p>
        </w:tc>
        <w:tc>
          <w:tcPr>
            <w:tcW w:w="1260" w:type="dxa"/>
            <w:tcBorders>
              <w:bottom w:val="single" w:sz="4" w:space="0" w:color="auto"/>
            </w:tcBorders>
            <w:noWrap/>
            <w:hideMark/>
          </w:tcPr>
          <w:p w:rsidR="00C157EC" w:rsidRPr="00341E2E" w:rsidRDefault="00C157EC" w:rsidP="003C50C4">
            <w:pPr>
              <w:pStyle w:val="TableText"/>
              <w:jc w:val="center"/>
            </w:pPr>
            <w:r>
              <w:t>G</w:t>
            </w:r>
            <w:r w:rsidRPr="00341E2E">
              <w:t>rade 2</w:t>
            </w:r>
          </w:p>
        </w:tc>
        <w:tc>
          <w:tcPr>
            <w:tcW w:w="7038" w:type="dxa"/>
            <w:tcBorders>
              <w:bottom w:val="single" w:sz="4" w:space="0" w:color="auto"/>
            </w:tcBorders>
            <w:noWrap/>
            <w:vAlign w:val="top"/>
            <w:hideMark/>
          </w:tcPr>
          <w:p w:rsidR="00C157EC" w:rsidRPr="00341E2E" w:rsidRDefault="00C157EC" w:rsidP="00456C2C">
            <w:pPr>
              <w:pStyle w:val="TableText"/>
            </w:pPr>
            <w:r w:rsidRPr="00341E2E">
              <w:t>grade 2*gpr2-3*gpr3-4*gpr4-5*gpr5-6*gpr6-7*gpr7-8* gpr8-9* gpr9-10*gpr10-11*gpr11-12</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11</w:t>
            </w:r>
          </w:p>
        </w:tc>
        <w:tc>
          <w:tcPr>
            <w:tcW w:w="1260" w:type="dxa"/>
            <w:tcBorders>
              <w:bottom w:val="single" w:sz="4" w:space="0" w:color="auto"/>
            </w:tcBorders>
            <w:noWrap/>
            <w:hideMark/>
          </w:tcPr>
          <w:p w:rsidR="00C157EC" w:rsidRPr="00341E2E" w:rsidRDefault="00C157EC" w:rsidP="003C50C4">
            <w:pPr>
              <w:pStyle w:val="TableText"/>
              <w:jc w:val="center"/>
            </w:pPr>
            <w:r>
              <w:t>G</w:t>
            </w:r>
            <w:r w:rsidRPr="00341E2E">
              <w:t>rade 1</w:t>
            </w:r>
          </w:p>
        </w:tc>
        <w:tc>
          <w:tcPr>
            <w:tcW w:w="7038" w:type="dxa"/>
            <w:tcBorders>
              <w:bottom w:val="single" w:sz="4" w:space="0" w:color="auto"/>
            </w:tcBorders>
            <w:noWrap/>
            <w:vAlign w:val="top"/>
            <w:hideMark/>
          </w:tcPr>
          <w:p w:rsidR="00C157EC" w:rsidRPr="00341E2E" w:rsidRDefault="00C157EC" w:rsidP="00456C2C">
            <w:pPr>
              <w:pStyle w:val="TableText"/>
            </w:pPr>
            <w:r w:rsidRPr="00341E2E">
              <w:t>grade 1*gpr1-2*gpr2-3*gpr3-4*gpr4-5*gpr5-6*gpr6-7*gpr7-8*gpr8-9*gpr9-10*gpr10-11</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10</w:t>
            </w:r>
          </w:p>
        </w:tc>
        <w:tc>
          <w:tcPr>
            <w:tcW w:w="1260" w:type="dxa"/>
            <w:tcBorders>
              <w:bottom w:val="single" w:sz="4" w:space="0" w:color="auto"/>
            </w:tcBorders>
            <w:noWrap/>
            <w:hideMark/>
          </w:tcPr>
          <w:p w:rsidR="00C157EC" w:rsidRPr="00341E2E" w:rsidRDefault="00C157EC" w:rsidP="003C50C4">
            <w:pPr>
              <w:pStyle w:val="TableText"/>
              <w:jc w:val="center"/>
            </w:pPr>
            <w:r>
              <w:t>G</w:t>
            </w:r>
            <w:r w:rsidRPr="00341E2E">
              <w:t>rade K</w:t>
            </w:r>
          </w:p>
        </w:tc>
        <w:tc>
          <w:tcPr>
            <w:tcW w:w="7038" w:type="dxa"/>
            <w:tcBorders>
              <w:bottom w:val="single" w:sz="4" w:space="0" w:color="auto"/>
            </w:tcBorders>
            <w:noWrap/>
            <w:vAlign w:val="top"/>
            <w:hideMark/>
          </w:tcPr>
          <w:p w:rsidR="00C157EC" w:rsidRPr="00341E2E" w:rsidRDefault="00C157EC" w:rsidP="00456C2C">
            <w:pPr>
              <w:pStyle w:val="TableText"/>
            </w:pPr>
            <w:r w:rsidRPr="00341E2E">
              <w:t>grade K*gprK-1*gpr1-2*gpr2-3*gpr3-4*gpr4-5*gpr5-6*gpr6-7*gpr7-8*gpr8-9*gpr9-10</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9</w:t>
            </w:r>
          </w:p>
        </w:tc>
        <w:tc>
          <w:tcPr>
            <w:tcW w:w="1260" w:type="dxa"/>
            <w:tcBorders>
              <w:bottom w:val="single" w:sz="4" w:space="0" w:color="auto"/>
            </w:tcBorders>
            <w:noWrap/>
            <w:hideMark/>
          </w:tcPr>
          <w:p w:rsidR="00C157EC" w:rsidRPr="00341E2E" w:rsidRDefault="00C157EC" w:rsidP="003C50C4">
            <w:pPr>
              <w:pStyle w:val="TableText"/>
              <w:jc w:val="center"/>
            </w:pPr>
            <w:r>
              <w:t>B</w:t>
            </w:r>
            <w:r w:rsidRPr="00341E2E">
              <w:t>orn 2009</w:t>
            </w:r>
          </w:p>
        </w:tc>
        <w:tc>
          <w:tcPr>
            <w:tcW w:w="7038" w:type="dxa"/>
            <w:tcBorders>
              <w:bottom w:val="single" w:sz="4" w:space="0" w:color="auto"/>
            </w:tcBorders>
            <w:noWrap/>
            <w:vAlign w:val="top"/>
            <w:hideMark/>
          </w:tcPr>
          <w:p w:rsidR="00C157EC" w:rsidRPr="00341E2E" w:rsidRDefault="00C157EC" w:rsidP="00456C2C">
            <w:pPr>
              <w:pStyle w:val="TableText"/>
            </w:pPr>
            <w:r w:rsidRPr="00341E2E">
              <w:t>births2009*Birth-K*gprK-1*gpr1-2*gpr2-3*gpr3-4*gpr4-5*gpr5-6*gpr6-7*gpr7-8*gpr8-9</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8</w:t>
            </w:r>
          </w:p>
        </w:tc>
        <w:tc>
          <w:tcPr>
            <w:tcW w:w="1260" w:type="dxa"/>
            <w:tcBorders>
              <w:bottom w:val="single" w:sz="4" w:space="0" w:color="auto"/>
            </w:tcBorders>
            <w:noWrap/>
            <w:hideMark/>
          </w:tcPr>
          <w:p w:rsidR="00C157EC" w:rsidRPr="00341E2E" w:rsidRDefault="00C157EC" w:rsidP="003C50C4">
            <w:pPr>
              <w:pStyle w:val="TableText"/>
              <w:jc w:val="center"/>
            </w:pPr>
            <w:r>
              <w:t>B</w:t>
            </w:r>
            <w:r w:rsidRPr="00341E2E">
              <w:t>orn 2010</w:t>
            </w:r>
          </w:p>
        </w:tc>
        <w:tc>
          <w:tcPr>
            <w:tcW w:w="7038" w:type="dxa"/>
            <w:tcBorders>
              <w:bottom w:val="single" w:sz="4" w:space="0" w:color="auto"/>
            </w:tcBorders>
            <w:noWrap/>
            <w:vAlign w:val="top"/>
            <w:hideMark/>
          </w:tcPr>
          <w:p w:rsidR="00C157EC" w:rsidRPr="00341E2E" w:rsidRDefault="00C157EC" w:rsidP="00456C2C">
            <w:pPr>
              <w:pStyle w:val="TableText"/>
            </w:pPr>
            <w:r w:rsidRPr="00341E2E">
              <w:t>births2010*Birth-K*gprK-1*gpr1-2*gpr2-3*gpr3-4*gpr4-5*gpr5-6*gpr6-7*gpr7-8</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7</w:t>
            </w:r>
          </w:p>
        </w:tc>
        <w:tc>
          <w:tcPr>
            <w:tcW w:w="1260" w:type="dxa"/>
            <w:tcBorders>
              <w:bottom w:val="single" w:sz="4" w:space="0" w:color="auto"/>
            </w:tcBorders>
            <w:noWrap/>
            <w:hideMark/>
          </w:tcPr>
          <w:p w:rsidR="00C157EC" w:rsidRPr="00341E2E" w:rsidRDefault="00C157EC" w:rsidP="003C50C4">
            <w:pPr>
              <w:pStyle w:val="TableText"/>
              <w:jc w:val="center"/>
            </w:pPr>
            <w:r>
              <w:t>B</w:t>
            </w:r>
            <w:r w:rsidRPr="00341E2E">
              <w:t>orn 2011</w:t>
            </w:r>
          </w:p>
        </w:tc>
        <w:tc>
          <w:tcPr>
            <w:tcW w:w="7038" w:type="dxa"/>
            <w:tcBorders>
              <w:bottom w:val="single" w:sz="4" w:space="0" w:color="auto"/>
            </w:tcBorders>
            <w:noWrap/>
            <w:vAlign w:val="top"/>
            <w:hideMark/>
          </w:tcPr>
          <w:p w:rsidR="00C157EC" w:rsidRPr="00341E2E" w:rsidRDefault="00C157EC" w:rsidP="00456C2C">
            <w:pPr>
              <w:pStyle w:val="TableText"/>
            </w:pPr>
            <w:r w:rsidRPr="00341E2E">
              <w:t>births2011*Birth-K*gprK-1*gpr1-2*gpr2-3*gpr3-4*gpr4-5*gpr5-6*gpr6-7</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6</w:t>
            </w:r>
          </w:p>
        </w:tc>
        <w:tc>
          <w:tcPr>
            <w:tcW w:w="1260" w:type="dxa"/>
            <w:tcBorders>
              <w:bottom w:val="single" w:sz="4" w:space="0" w:color="auto"/>
            </w:tcBorders>
            <w:noWrap/>
            <w:hideMark/>
          </w:tcPr>
          <w:p w:rsidR="00C157EC" w:rsidRPr="00341E2E" w:rsidRDefault="00C157EC" w:rsidP="003C50C4">
            <w:pPr>
              <w:pStyle w:val="TableText"/>
              <w:jc w:val="center"/>
            </w:pPr>
            <w:r>
              <w:t>B</w:t>
            </w:r>
            <w:r w:rsidRPr="00341E2E">
              <w:t>orn 2012</w:t>
            </w:r>
          </w:p>
        </w:tc>
        <w:tc>
          <w:tcPr>
            <w:tcW w:w="7038" w:type="dxa"/>
            <w:tcBorders>
              <w:bottom w:val="single" w:sz="4" w:space="0" w:color="auto"/>
            </w:tcBorders>
            <w:noWrap/>
            <w:vAlign w:val="top"/>
            <w:hideMark/>
          </w:tcPr>
          <w:p w:rsidR="00C157EC" w:rsidRPr="00341E2E" w:rsidRDefault="00C157EC" w:rsidP="00456C2C">
            <w:pPr>
              <w:pStyle w:val="TableText"/>
            </w:pPr>
            <w:r w:rsidRPr="00341E2E">
              <w:t>births2012*Birth-K*gprK-1*gpr1-2*gpr2-3*gpr3-4*gpr4-5*gpr5-6</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5</w:t>
            </w:r>
          </w:p>
        </w:tc>
        <w:tc>
          <w:tcPr>
            <w:tcW w:w="1260" w:type="dxa"/>
            <w:tcBorders>
              <w:bottom w:val="single" w:sz="4" w:space="0" w:color="auto"/>
            </w:tcBorders>
            <w:noWrap/>
            <w:hideMark/>
          </w:tcPr>
          <w:p w:rsidR="00C157EC" w:rsidRPr="00341E2E" w:rsidRDefault="00C157EC" w:rsidP="003C50C4">
            <w:pPr>
              <w:pStyle w:val="TableText"/>
              <w:jc w:val="center"/>
            </w:pPr>
            <w:r>
              <w:t>B</w:t>
            </w:r>
            <w:r w:rsidRPr="00341E2E">
              <w:t>orn 2013</w:t>
            </w:r>
          </w:p>
        </w:tc>
        <w:tc>
          <w:tcPr>
            <w:tcW w:w="7038" w:type="dxa"/>
            <w:tcBorders>
              <w:bottom w:val="single" w:sz="4" w:space="0" w:color="auto"/>
            </w:tcBorders>
            <w:noWrap/>
            <w:vAlign w:val="top"/>
            <w:hideMark/>
          </w:tcPr>
          <w:p w:rsidR="00C157EC" w:rsidRPr="00341E2E" w:rsidRDefault="00C157EC" w:rsidP="00456C2C">
            <w:pPr>
              <w:pStyle w:val="TableText"/>
            </w:pPr>
            <w:r>
              <w:t>b</w:t>
            </w:r>
            <w:r w:rsidRPr="00341E2E">
              <w:t>irths2013*Birth-K*gprK-1*gpr1-2*gpr2-3*gpr3-4*gpr4-5</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4</w:t>
            </w:r>
          </w:p>
        </w:tc>
        <w:tc>
          <w:tcPr>
            <w:tcW w:w="1260" w:type="dxa"/>
            <w:tcBorders>
              <w:bottom w:val="single" w:sz="4" w:space="0" w:color="auto"/>
            </w:tcBorders>
            <w:noWrap/>
            <w:hideMark/>
          </w:tcPr>
          <w:p w:rsidR="00C157EC" w:rsidRPr="00341E2E" w:rsidRDefault="00C157EC" w:rsidP="003C50C4">
            <w:pPr>
              <w:pStyle w:val="TableText"/>
              <w:jc w:val="center"/>
            </w:pPr>
            <w:r>
              <w:t>B</w:t>
            </w:r>
            <w:r w:rsidRPr="00341E2E">
              <w:t>orn 2014</w:t>
            </w:r>
          </w:p>
        </w:tc>
        <w:tc>
          <w:tcPr>
            <w:tcW w:w="7038" w:type="dxa"/>
            <w:tcBorders>
              <w:bottom w:val="single" w:sz="4" w:space="0" w:color="auto"/>
            </w:tcBorders>
            <w:noWrap/>
            <w:vAlign w:val="top"/>
            <w:hideMark/>
          </w:tcPr>
          <w:p w:rsidR="00C157EC" w:rsidRPr="00341E2E" w:rsidRDefault="00C157EC" w:rsidP="000E4902">
            <w:pPr>
              <w:pStyle w:val="TableText"/>
            </w:pPr>
            <w:r w:rsidRPr="00341E2E">
              <w:t>F</w:t>
            </w:r>
            <w:r>
              <w:t xml:space="preserve">emales aged </w:t>
            </w:r>
            <w:r w:rsidRPr="00341E2E">
              <w:t>15</w:t>
            </w:r>
            <w:r w:rsidR="000E4902">
              <w:t>–</w:t>
            </w:r>
            <w:r w:rsidRPr="00341E2E">
              <w:t xml:space="preserve">44 in </w:t>
            </w:r>
            <w:r>
              <w:t>20</w:t>
            </w:r>
            <w:r w:rsidRPr="00341E2E">
              <w:t>14*</w:t>
            </w:r>
            <w:r>
              <w:t>Fertility rate in 20</w:t>
            </w:r>
            <w:r w:rsidRPr="00341E2E">
              <w:t>13*Birth-K*gprK-1*gpr1-2*gpr2-3*gpr3-4</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3</w:t>
            </w:r>
          </w:p>
        </w:tc>
        <w:tc>
          <w:tcPr>
            <w:tcW w:w="1260" w:type="dxa"/>
            <w:tcBorders>
              <w:bottom w:val="single" w:sz="4" w:space="0" w:color="auto"/>
            </w:tcBorders>
            <w:noWrap/>
            <w:hideMark/>
          </w:tcPr>
          <w:p w:rsidR="00C157EC" w:rsidRPr="00341E2E" w:rsidRDefault="00C157EC" w:rsidP="003C50C4">
            <w:pPr>
              <w:pStyle w:val="TableText"/>
              <w:jc w:val="center"/>
            </w:pPr>
            <w:r>
              <w:t>B</w:t>
            </w:r>
            <w:r w:rsidRPr="00341E2E">
              <w:t>orn 2015</w:t>
            </w:r>
          </w:p>
        </w:tc>
        <w:tc>
          <w:tcPr>
            <w:tcW w:w="7038" w:type="dxa"/>
            <w:tcBorders>
              <w:bottom w:val="single" w:sz="4" w:space="0" w:color="auto"/>
            </w:tcBorders>
            <w:noWrap/>
            <w:vAlign w:val="top"/>
            <w:hideMark/>
          </w:tcPr>
          <w:p w:rsidR="00C157EC" w:rsidRPr="00341E2E" w:rsidRDefault="00C157EC" w:rsidP="00456C2C">
            <w:pPr>
              <w:pStyle w:val="TableText"/>
            </w:pPr>
            <w:r w:rsidRPr="00341E2E">
              <w:t>F</w:t>
            </w:r>
            <w:r>
              <w:t xml:space="preserve">emales aged </w:t>
            </w:r>
            <w:r w:rsidRPr="00341E2E">
              <w:t>14</w:t>
            </w:r>
            <w:r w:rsidR="000E4902">
              <w:t>–</w:t>
            </w:r>
            <w:r w:rsidRPr="00341E2E">
              <w:t xml:space="preserve">43 in </w:t>
            </w:r>
            <w:r>
              <w:t>20</w:t>
            </w:r>
            <w:r w:rsidRPr="00341E2E">
              <w:t>14*</w:t>
            </w:r>
            <w:r>
              <w:t>Fertility rate in 20</w:t>
            </w:r>
            <w:r w:rsidRPr="00341E2E">
              <w:t>13*Birth-K*gprK-1*gpr1-2*gpr2-3</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2</w:t>
            </w:r>
          </w:p>
        </w:tc>
        <w:tc>
          <w:tcPr>
            <w:tcW w:w="1260" w:type="dxa"/>
            <w:tcBorders>
              <w:bottom w:val="single" w:sz="4" w:space="0" w:color="auto"/>
            </w:tcBorders>
            <w:noWrap/>
            <w:hideMark/>
          </w:tcPr>
          <w:p w:rsidR="00C157EC" w:rsidRPr="00341E2E" w:rsidRDefault="00C157EC" w:rsidP="003C50C4">
            <w:pPr>
              <w:pStyle w:val="TableText"/>
              <w:jc w:val="center"/>
            </w:pPr>
            <w:r>
              <w:t>B</w:t>
            </w:r>
            <w:r w:rsidRPr="00341E2E">
              <w:t>orn 2016</w:t>
            </w:r>
          </w:p>
        </w:tc>
        <w:tc>
          <w:tcPr>
            <w:tcW w:w="7038" w:type="dxa"/>
            <w:tcBorders>
              <w:bottom w:val="single" w:sz="4" w:space="0" w:color="auto"/>
            </w:tcBorders>
            <w:noWrap/>
            <w:vAlign w:val="top"/>
            <w:hideMark/>
          </w:tcPr>
          <w:p w:rsidR="00C157EC" w:rsidRPr="00341E2E" w:rsidRDefault="00C157EC" w:rsidP="00456C2C">
            <w:pPr>
              <w:pStyle w:val="TableText"/>
            </w:pPr>
            <w:r w:rsidRPr="00341E2E">
              <w:t>F</w:t>
            </w:r>
            <w:r>
              <w:t xml:space="preserve">emales aged </w:t>
            </w:r>
            <w:r w:rsidRPr="00341E2E">
              <w:t>13</w:t>
            </w:r>
            <w:r w:rsidR="000E4902">
              <w:t>–</w:t>
            </w:r>
            <w:r w:rsidRPr="00341E2E">
              <w:t xml:space="preserve">42 in </w:t>
            </w:r>
            <w:r>
              <w:t>20</w:t>
            </w:r>
            <w:r w:rsidRPr="00341E2E">
              <w:t>14*</w:t>
            </w:r>
            <w:r>
              <w:t>Fertility rate in 20</w:t>
            </w:r>
            <w:r w:rsidRPr="00341E2E">
              <w:t xml:space="preserve">13*Birth-K*gprK-1*gpr1-2 </w:t>
            </w:r>
          </w:p>
        </w:tc>
      </w:tr>
      <w:tr w:rsidR="00C157EC" w:rsidRPr="00341E2E" w:rsidTr="003C50C4">
        <w:tc>
          <w:tcPr>
            <w:tcW w:w="1278" w:type="dxa"/>
            <w:tcBorders>
              <w:bottom w:val="single" w:sz="4" w:space="0" w:color="auto"/>
            </w:tcBorders>
            <w:noWrap/>
            <w:hideMark/>
          </w:tcPr>
          <w:p w:rsidR="00C157EC" w:rsidRPr="00341E2E" w:rsidRDefault="00C157EC" w:rsidP="003C50C4">
            <w:pPr>
              <w:pStyle w:val="TableText"/>
              <w:jc w:val="center"/>
            </w:pPr>
            <w:r w:rsidRPr="00341E2E">
              <w:t>1</w:t>
            </w:r>
          </w:p>
        </w:tc>
        <w:tc>
          <w:tcPr>
            <w:tcW w:w="1260" w:type="dxa"/>
            <w:tcBorders>
              <w:bottom w:val="single" w:sz="4" w:space="0" w:color="auto"/>
            </w:tcBorders>
            <w:noWrap/>
            <w:hideMark/>
          </w:tcPr>
          <w:p w:rsidR="00C157EC" w:rsidRPr="00341E2E" w:rsidRDefault="00C157EC" w:rsidP="003C50C4">
            <w:pPr>
              <w:pStyle w:val="TableText"/>
              <w:jc w:val="center"/>
            </w:pPr>
            <w:r>
              <w:t>B</w:t>
            </w:r>
            <w:r w:rsidRPr="00341E2E">
              <w:t>orn 2017</w:t>
            </w:r>
          </w:p>
        </w:tc>
        <w:tc>
          <w:tcPr>
            <w:tcW w:w="7038" w:type="dxa"/>
            <w:tcBorders>
              <w:bottom w:val="single" w:sz="4" w:space="0" w:color="auto"/>
            </w:tcBorders>
            <w:noWrap/>
            <w:vAlign w:val="top"/>
            <w:hideMark/>
          </w:tcPr>
          <w:p w:rsidR="00C157EC" w:rsidRPr="00341E2E" w:rsidRDefault="00C157EC" w:rsidP="00456C2C">
            <w:pPr>
              <w:pStyle w:val="TableText"/>
            </w:pPr>
            <w:r w:rsidRPr="00341E2E">
              <w:t>F</w:t>
            </w:r>
            <w:r>
              <w:t xml:space="preserve">emales aged </w:t>
            </w:r>
            <w:r w:rsidRPr="00341E2E">
              <w:t>12</w:t>
            </w:r>
            <w:r w:rsidR="000E4902">
              <w:t>–</w:t>
            </w:r>
            <w:r w:rsidRPr="00341E2E">
              <w:t xml:space="preserve">41 in </w:t>
            </w:r>
            <w:r>
              <w:t>20</w:t>
            </w:r>
            <w:r w:rsidRPr="00341E2E">
              <w:t>14*</w:t>
            </w:r>
            <w:r>
              <w:t>Fertility rate in 20</w:t>
            </w:r>
            <w:r w:rsidRPr="00341E2E">
              <w:t>13*Birth-K*gprK-1</w:t>
            </w:r>
          </w:p>
        </w:tc>
      </w:tr>
      <w:tr w:rsidR="00C157EC" w:rsidRPr="00341E2E" w:rsidTr="003C50C4">
        <w:tc>
          <w:tcPr>
            <w:tcW w:w="1278" w:type="dxa"/>
            <w:noWrap/>
            <w:hideMark/>
          </w:tcPr>
          <w:p w:rsidR="00C157EC" w:rsidRPr="00341E2E" w:rsidRDefault="00C157EC" w:rsidP="003C50C4">
            <w:pPr>
              <w:pStyle w:val="TableText"/>
              <w:jc w:val="center"/>
            </w:pPr>
            <w:r w:rsidRPr="00341E2E">
              <w:t>K</w:t>
            </w:r>
          </w:p>
        </w:tc>
        <w:tc>
          <w:tcPr>
            <w:tcW w:w="1260" w:type="dxa"/>
            <w:noWrap/>
            <w:hideMark/>
          </w:tcPr>
          <w:p w:rsidR="00C157EC" w:rsidRPr="00341E2E" w:rsidRDefault="00C157EC" w:rsidP="003C50C4">
            <w:pPr>
              <w:pStyle w:val="TableText"/>
              <w:jc w:val="center"/>
            </w:pPr>
            <w:r>
              <w:t>B</w:t>
            </w:r>
            <w:r w:rsidRPr="00341E2E">
              <w:t>orn 2018</w:t>
            </w:r>
          </w:p>
        </w:tc>
        <w:tc>
          <w:tcPr>
            <w:tcW w:w="7038" w:type="dxa"/>
            <w:noWrap/>
            <w:vAlign w:val="top"/>
            <w:hideMark/>
          </w:tcPr>
          <w:p w:rsidR="00C157EC" w:rsidRPr="00341E2E" w:rsidRDefault="00C157EC" w:rsidP="00456C2C">
            <w:pPr>
              <w:pStyle w:val="TableText"/>
            </w:pPr>
            <w:r w:rsidRPr="00341E2E">
              <w:t>F</w:t>
            </w:r>
            <w:r>
              <w:t xml:space="preserve">emales aged </w:t>
            </w:r>
            <w:r w:rsidRPr="00341E2E">
              <w:t>11</w:t>
            </w:r>
            <w:r w:rsidR="000E4902">
              <w:t>–</w:t>
            </w:r>
            <w:r w:rsidRPr="00341E2E">
              <w:t xml:space="preserve">40 in </w:t>
            </w:r>
            <w:r>
              <w:t>20</w:t>
            </w:r>
            <w:r w:rsidRPr="00341E2E">
              <w:t>14*</w:t>
            </w:r>
            <w:r>
              <w:t>Fertility rate in 20</w:t>
            </w:r>
            <w:r w:rsidRPr="00341E2E">
              <w:t>13*Birth-K</w:t>
            </w:r>
          </w:p>
        </w:tc>
      </w:tr>
    </w:tbl>
    <w:p w:rsidR="0037535A" w:rsidRPr="00A46F58" w:rsidRDefault="0037535A" w:rsidP="00A46F58">
      <w:pPr>
        <w:pStyle w:val="BodyText"/>
        <w:spacing w:before="0"/>
        <w:rPr>
          <w:i/>
        </w:rPr>
      </w:pPr>
      <w:r>
        <w:rPr>
          <w:i/>
        </w:rPr>
        <w:t xml:space="preserve">Note. GPR = </w:t>
      </w:r>
      <w:r>
        <w:t>grade progression ratios.</w:t>
      </w:r>
    </w:p>
    <w:p w:rsidR="00C157EC" w:rsidRPr="0002730D" w:rsidRDefault="00C157EC" w:rsidP="00C157EC">
      <w:pPr>
        <w:pStyle w:val="BodyText"/>
      </w:pPr>
      <w:r w:rsidRPr="00341E2E">
        <w:t xml:space="preserve">In order to report projected enrollment at the district level, the proportion of total county enrollment made up by </w:t>
      </w:r>
      <w:r>
        <w:t xml:space="preserve">each </w:t>
      </w:r>
      <w:r w:rsidRPr="00341E2E">
        <w:t xml:space="preserve">member district was calculated using the most recent year of available data, </w:t>
      </w:r>
      <w:r>
        <w:t xml:space="preserve">which was </w:t>
      </w:r>
      <w:r w:rsidRPr="00341E2E">
        <w:t>20</w:t>
      </w:r>
      <w:r>
        <w:t>14</w:t>
      </w:r>
      <w:r w:rsidRPr="00C10FED">
        <w:t>–</w:t>
      </w:r>
      <w:r w:rsidRPr="00341E2E">
        <w:t>15. Th</w:t>
      </w:r>
      <w:r>
        <w:t>e</w:t>
      </w:r>
      <w:r w:rsidRPr="00341E2E">
        <w:t>s</w:t>
      </w:r>
      <w:r>
        <w:t>e</w:t>
      </w:r>
      <w:r w:rsidRPr="00341E2E">
        <w:t xml:space="preserve"> proportion</w:t>
      </w:r>
      <w:r>
        <w:t>s</w:t>
      </w:r>
      <w:r w:rsidRPr="00341E2E">
        <w:t xml:space="preserve"> w</w:t>
      </w:r>
      <w:r>
        <w:t>ere</w:t>
      </w:r>
      <w:r w:rsidRPr="00341E2E">
        <w:t xml:space="preserve"> then used to prorate the county-level projected enrollment </w:t>
      </w:r>
      <w:r>
        <w:t>f</w:t>
      </w:r>
      <w:r w:rsidRPr="00341E2E">
        <w:t>o</w:t>
      </w:r>
      <w:r>
        <w:t>r</w:t>
      </w:r>
      <w:r w:rsidRPr="00341E2E">
        <w:t xml:space="preserve"> each of the member districts </w:t>
      </w:r>
      <w:r>
        <w:t>in</w:t>
      </w:r>
      <w:r w:rsidRPr="00341E2E">
        <w:t xml:space="preserve"> each projected year from 20</w:t>
      </w:r>
      <w:r>
        <w:t>14</w:t>
      </w:r>
      <w:r w:rsidRPr="00C10FED">
        <w:t>–</w:t>
      </w:r>
      <w:r w:rsidRPr="00341E2E">
        <w:t>15 through 20</w:t>
      </w:r>
      <w:r>
        <w:t>23</w:t>
      </w:r>
      <w:r w:rsidRPr="00C10FED">
        <w:t>–</w:t>
      </w:r>
      <w:r w:rsidRPr="00341E2E">
        <w:t>24.</w:t>
      </w:r>
      <w:r w:rsidRPr="00341E2E">
        <w:rPr>
          <w:vertAlign w:val="superscript"/>
        </w:rPr>
        <w:footnoteReference w:id="35"/>
      </w:r>
    </w:p>
    <w:p w:rsidR="00C157EC" w:rsidRPr="00C24E36" w:rsidRDefault="00C157EC" w:rsidP="00312F3B">
      <w:pPr>
        <w:pStyle w:val="Heading4NoTOC"/>
      </w:pPr>
      <w:bookmarkStart w:id="141" w:name="_Toc435461201"/>
      <w:r w:rsidRPr="00C24E36">
        <w:t>Prekindergarten and Ungraded Enrollments</w:t>
      </w:r>
      <w:bookmarkEnd w:id="141"/>
    </w:p>
    <w:p w:rsidR="00C157EC" w:rsidRDefault="00C157EC" w:rsidP="0002730D">
      <w:pPr>
        <w:pStyle w:val="BodyText"/>
      </w:pPr>
      <w:r>
        <w:t xml:space="preserve">Although </w:t>
      </w:r>
      <w:r w:rsidRPr="00C24E36">
        <w:t xml:space="preserve">the research team projected enrollment for </w:t>
      </w:r>
      <w:r>
        <w:t>G</w:t>
      </w:r>
      <w:r w:rsidRPr="00C24E36">
        <w:t xml:space="preserve">rades K–12, </w:t>
      </w:r>
      <w:r>
        <w:t>it did not do so for</w:t>
      </w:r>
      <w:r w:rsidRPr="00C24E36">
        <w:t xml:space="preserve"> prekindergarten or </w:t>
      </w:r>
      <w:r>
        <w:t>ungraded</w:t>
      </w:r>
      <w:r w:rsidRPr="00C24E36">
        <w:t xml:space="preserve"> students (</w:t>
      </w:r>
      <w:r>
        <w:t>e.g.</w:t>
      </w:r>
      <w:r w:rsidRPr="00C24E36">
        <w:t xml:space="preserve">, </w:t>
      </w:r>
      <w:r>
        <w:t>non K</w:t>
      </w:r>
      <w:r w:rsidRPr="00C10FED">
        <w:t>–</w:t>
      </w:r>
      <w:r>
        <w:t>12 special education</w:t>
      </w:r>
      <w:r w:rsidRPr="00C24E36">
        <w:t xml:space="preserve">). We made this decision for a number of reasons. </w:t>
      </w:r>
      <w:r>
        <w:t>F</w:t>
      </w:r>
      <w:r w:rsidRPr="00C24E36">
        <w:t>irst</w:t>
      </w:r>
      <w:r>
        <w:t>,</w:t>
      </w:r>
      <w:r w:rsidRPr="00C24E36">
        <w:t xml:space="preserve"> our projection methodology relied on estimating the number of students progressing from grade to grade (see discussion of the GPR approach</w:t>
      </w:r>
      <w:r>
        <w:t xml:space="preserve"> above</w:t>
      </w:r>
      <w:r w:rsidRPr="00C24E36">
        <w:t xml:space="preserve">). </w:t>
      </w:r>
      <w:r>
        <w:t>Second, e</w:t>
      </w:r>
      <w:r w:rsidRPr="00C24E36">
        <w:t xml:space="preserve">nrollment in prekindergarten, unlike kindergarten, is not </w:t>
      </w:r>
      <w:r>
        <w:t xml:space="preserve">compulsory and preschool enrollment data are not </w:t>
      </w:r>
      <w:r w:rsidRPr="00C24E36">
        <w:t xml:space="preserve">consistently available in all communities </w:t>
      </w:r>
      <w:r>
        <w:t>in which it is offered</w:t>
      </w:r>
      <w:r w:rsidRPr="00C24E36">
        <w:t>. For th</w:t>
      </w:r>
      <w:r>
        <w:t>ese</w:t>
      </w:r>
      <w:r w:rsidRPr="00C24E36">
        <w:t xml:space="preserve"> reason</w:t>
      </w:r>
      <w:r>
        <w:t>s</w:t>
      </w:r>
      <w:r w:rsidRPr="00C24E36">
        <w:t xml:space="preserve">, estimating the average progression of prekindergarten students to kindergarten is problematic and would require making potentially inaccurate assumptions. Similarly, estimating progression rates from birth to prekindergarten would require </w:t>
      </w:r>
      <w:r>
        <w:t xml:space="preserve">questionable </w:t>
      </w:r>
      <w:r w:rsidRPr="00C24E36">
        <w:t xml:space="preserve">assumptions regarding the numbers of children entering prekindergarten at various ages in different locations. </w:t>
      </w:r>
      <w:r>
        <w:t xml:space="preserve">Third, a </w:t>
      </w:r>
      <w:r w:rsidRPr="00C24E36">
        <w:t xml:space="preserve">similar </w:t>
      </w:r>
      <w:r>
        <w:t xml:space="preserve">issue exists </w:t>
      </w:r>
      <w:r w:rsidRPr="00C24E36">
        <w:t xml:space="preserve">for ungraded students, in that they do not exist as a regular part of </w:t>
      </w:r>
      <w:r>
        <w:t>G</w:t>
      </w:r>
      <w:r w:rsidRPr="00C24E36">
        <w:t>rades K</w:t>
      </w:r>
      <w:r w:rsidRPr="00C10FED">
        <w:t>–</w:t>
      </w:r>
      <w:r w:rsidRPr="00C24E36">
        <w:t>12, and thus could not be incorporated into the grade progression methodology without making assumptions. For these reasons, we chose not to include enrollments in these grades in our projections.</w:t>
      </w:r>
    </w:p>
    <w:p w:rsidR="00C157EC" w:rsidRDefault="00C157EC" w:rsidP="0002730D">
      <w:pPr>
        <w:pStyle w:val="Heading3NoTOC"/>
      </w:pPr>
      <w:bookmarkStart w:id="142" w:name="_Toc436724309"/>
      <w:r>
        <w:t>Research Question 2: Supply Projections</w:t>
      </w:r>
      <w:bookmarkEnd w:id="142"/>
    </w:p>
    <w:p w:rsidR="00C157EC" w:rsidRPr="00FB02C7" w:rsidRDefault="00C157EC" w:rsidP="0002730D">
      <w:pPr>
        <w:pStyle w:val="BodyText"/>
      </w:pPr>
      <w:r>
        <w:t>Projections of total supply, numbers of retained teachers, and numbers of newly entering teachers were estimated using a regression-based approach, which modeled each of these as a function of factors believed to influence supply. What follows is a detailed description of the specific models used to create</w:t>
      </w:r>
      <w:r w:rsidR="00461E17">
        <w:t xml:space="preserve"> these projections and address Research Q</w:t>
      </w:r>
      <w:r>
        <w:t>uestion 2.</w:t>
      </w:r>
    </w:p>
    <w:p w:rsidR="00C157EC" w:rsidRPr="00556A2B" w:rsidRDefault="00C157EC" w:rsidP="00312F3B">
      <w:pPr>
        <w:pStyle w:val="Heading4NoTOC"/>
      </w:pPr>
      <w:r>
        <w:t>Total Supply</w:t>
      </w:r>
    </w:p>
    <w:p w:rsidR="00C157EC" w:rsidRDefault="00C157EC" w:rsidP="0002730D">
      <w:pPr>
        <w:pStyle w:val="BodyText"/>
      </w:pPr>
      <w:r>
        <w:t>Using both the total number of teachers and total teacher full-time-equivalents (FTEs) in a given district as measures of supply, the research team created projections for the 10-year period, from 2014</w:t>
      </w:r>
      <w:r w:rsidRPr="00C10FED">
        <w:t>–</w:t>
      </w:r>
      <w:r>
        <w:t>15 to 2023</w:t>
      </w:r>
      <w:r w:rsidRPr="00C10FED">
        <w:t>–</w:t>
      </w:r>
      <w:r>
        <w:t xml:space="preserve">24. These projections were created using a </w:t>
      </w:r>
      <w:r w:rsidRPr="00556A2B">
        <w:t xml:space="preserve">regression analysis to forecast </w:t>
      </w:r>
      <w:r>
        <w:t>the total number of teachers and teacher FTEs in future years</w:t>
      </w:r>
      <w:r w:rsidRPr="00556A2B">
        <w:t xml:space="preserve">. Specifically, </w:t>
      </w:r>
      <w:r>
        <w:t>in separate regressions the total number of teachers</w:t>
      </w:r>
      <w:r w:rsidRPr="00556A2B">
        <w:t xml:space="preserve"> </w:t>
      </w:r>
      <w:r>
        <w:t xml:space="preserve">and total teacher FTEs </w:t>
      </w:r>
      <w:r w:rsidRPr="00556A2B">
        <w:t xml:space="preserve">were modeled as a function </w:t>
      </w:r>
      <w:r>
        <w:t xml:space="preserve">of a yearly time trend, District and School Assistance Center (DSAC) region, an interaction between the time trend and region, </w:t>
      </w:r>
      <w:r w:rsidR="009C4B08">
        <w:t>sponsoring organization</w:t>
      </w:r>
      <w:r>
        <w:t xml:space="preserve"> (</w:t>
      </w:r>
      <w:r w:rsidR="009C4B08">
        <w:t>SO</w:t>
      </w:r>
      <w:r>
        <w:t>) area,</w:t>
      </w:r>
      <w:r>
        <w:rPr>
          <w:rStyle w:val="FootnoteReference"/>
        </w:rPr>
        <w:footnoteReference w:id="36"/>
      </w:r>
      <w:r>
        <w:t xml:space="preserve"> an interaction between </w:t>
      </w:r>
      <w:r w:rsidR="009C4B08">
        <w:t xml:space="preserve">SO </w:t>
      </w:r>
      <w:r>
        <w:t>area and the time trend, major metropolitan area, an interaction between metropolitan area and the time trend, National Center for Education Statistics (NCES) locale, the interaction between locale and the time trend, enrollment, enrollment squared, the proportion of students receiving free/reduced-price lunch,</w:t>
      </w:r>
      <w:r>
        <w:rPr>
          <w:rStyle w:val="FootnoteReference"/>
        </w:rPr>
        <w:footnoteReference w:id="37"/>
      </w:r>
      <w:r>
        <w:t xml:space="preserve"> and the interaction between free/reduced-price lunch proportion and total students. The model is presented in </w:t>
      </w:r>
      <w:r w:rsidR="0027264A">
        <w:t>Box</w:t>
      </w:r>
      <w:r>
        <w:t xml:space="preserve"> A</w:t>
      </w:r>
      <w:r w:rsidR="0027264A">
        <w:t>1</w:t>
      </w:r>
      <w:r>
        <w:t>, with total teacher F</w:t>
      </w:r>
      <w:r w:rsidR="00A4614C">
        <w:t xml:space="preserve">TEs as the dependent variable. </w:t>
      </w:r>
      <w:r>
        <w:t>The same model was used to project the total number of teachers.</w:t>
      </w:r>
    </w:p>
    <w:p w:rsidR="00C157EC" w:rsidRPr="00DC7CBA" w:rsidRDefault="0027264A" w:rsidP="0002730D">
      <w:pPr>
        <w:pStyle w:val="ExhibitTitle"/>
      </w:pPr>
      <w:r>
        <w:t>Box</w:t>
      </w:r>
      <w:r w:rsidR="00C157EC" w:rsidRPr="00DC7CBA">
        <w:t xml:space="preserve"> </w:t>
      </w:r>
      <w:r w:rsidR="00C157EC">
        <w:t>A</w:t>
      </w:r>
      <w:r>
        <w:t>1</w:t>
      </w:r>
      <w:r w:rsidR="00C157EC" w:rsidRPr="00DC7CBA">
        <w:t xml:space="preserve">. Model </w:t>
      </w:r>
      <w:r w:rsidR="00C157EC">
        <w:t xml:space="preserve">Used </w:t>
      </w:r>
      <w:r w:rsidR="00C157EC" w:rsidRPr="00DC7CBA">
        <w:t>to Project Total Teacher Supply</w:t>
      </w:r>
    </w:p>
    <w:p w:rsidR="00C157EC" w:rsidRDefault="002555E4" w:rsidP="0002730D">
      <w:pPr>
        <w:pStyle w:val="FigurePlacement"/>
      </w:pPr>
      <w:r w:rsidRPr="002555E4">
        <w:rPr>
          <w:rFonts w:ascii="Times New Roman" w:hAnsi="Times New Roman"/>
          <w:noProof/>
          <w:color w:val="000000"/>
        </w:rPr>
      </w:r>
      <w:r w:rsidRPr="002555E4">
        <w:rPr>
          <w:rFonts w:ascii="Times New Roman" w:hAnsi="Times New Roman"/>
          <w:noProof/>
          <w:color w:val="000000"/>
        </w:rPr>
        <w:pict>
          <v:shape id="Text Box 27" o:spid="_x0000_s1051" type="#_x0000_t202" style="width:450.95pt;height:53.6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Pr="00DC7CBA" w:rsidRDefault="009C4B08" w:rsidP="00C157EC">
                  <w:pPr>
                    <w:contextualSpacing/>
                  </w:pPr>
                  <w:r w:rsidRPr="007B0FDD">
                    <w:rPr>
                      <w:rFonts w:cs="Times New Roman"/>
                      <w:b/>
                      <w:i/>
                      <w:iCs/>
                      <w:color w:val="000000"/>
                    </w:rPr>
                    <w:t>Total Teacher FTEs</w:t>
                  </w:r>
                  <w:r w:rsidRPr="00DC7CBA">
                    <w:rPr>
                      <w:rFonts w:cs="Times New Roman"/>
                      <w:i/>
                      <w:iCs/>
                      <w:color w:val="000000"/>
                    </w:rPr>
                    <w:t xml:space="preserve"> = f(Time Trend, Region, Time</w:t>
                  </w:r>
                  <w:r>
                    <w:rPr>
                      <w:rFonts w:cs="Times New Roman"/>
                      <w:i/>
                      <w:iCs/>
                      <w:color w:val="000000"/>
                    </w:rPr>
                    <w:t xml:space="preserve"> </w:t>
                  </w:r>
                  <w:r w:rsidRPr="00DC7CBA">
                    <w:rPr>
                      <w:rFonts w:cs="Times New Roman"/>
                      <w:i/>
                      <w:iCs/>
                      <w:color w:val="000000"/>
                    </w:rPr>
                    <w:t>X</w:t>
                  </w:r>
                  <w:r>
                    <w:rPr>
                      <w:rFonts w:cs="Times New Roman"/>
                      <w:i/>
                      <w:iCs/>
                      <w:color w:val="000000"/>
                    </w:rPr>
                    <w:t xml:space="preserve"> </w:t>
                  </w:r>
                  <w:r w:rsidRPr="00DC7CBA">
                    <w:rPr>
                      <w:rFonts w:cs="Times New Roman"/>
                      <w:i/>
                      <w:iCs/>
                      <w:color w:val="000000"/>
                    </w:rPr>
                    <w:t>Region, Enrollment, Enrollment</w:t>
                  </w:r>
                  <w:r w:rsidRPr="00DC7CBA">
                    <w:rPr>
                      <w:rFonts w:cs="Times New Roman"/>
                      <w:i/>
                      <w:iCs/>
                      <w:color w:val="000000"/>
                      <w:vertAlign w:val="superscript"/>
                    </w:rPr>
                    <w:t>2</w:t>
                  </w:r>
                  <w:r w:rsidRPr="00DC7CBA">
                    <w:rPr>
                      <w:rFonts w:cs="Times New Roman"/>
                      <w:i/>
                      <w:iCs/>
                      <w:color w:val="000000"/>
                    </w:rPr>
                    <w:t xml:space="preserve">, </w:t>
                  </w:r>
                  <w:r>
                    <w:rPr>
                      <w:rFonts w:cs="Times New Roman"/>
                      <w:i/>
                      <w:iCs/>
                      <w:color w:val="000000"/>
                    </w:rPr>
                    <w:t xml:space="preserve">% </w:t>
                  </w:r>
                  <w:r w:rsidRPr="00DC7CBA">
                    <w:rPr>
                      <w:rFonts w:cs="Times New Roman"/>
                      <w:i/>
                      <w:iCs/>
                      <w:color w:val="000000"/>
                    </w:rPr>
                    <w:t xml:space="preserve">Free Lunch, </w:t>
                  </w:r>
                  <w:r>
                    <w:rPr>
                      <w:rFonts w:cs="Times New Roman"/>
                      <w:i/>
                      <w:iCs/>
                      <w:color w:val="000000"/>
                    </w:rPr>
                    <w:t xml:space="preserve">% </w:t>
                  </w:r>
                  <w:r w:rsidRPr="00DC7CBA">
                    <w:rPr>
                      <w:rFonts w:cs="Times New Roman"/>
                      <w:i/>
                      <w:iCs/>
                      <w:color w:val="000000"/>
                    </w:rPr>
                    <w:t>Free Lunch X Enrollment</w:t>
                  </w:r>
                  <w:r>
                    <w:rPr>
                      <w:rFonts w:cs="Times New Roman"/>
                      <w:i/>
                      <w:iCs/>
                      <w:color w:val="000000"/>
                    </w:rPr>
                    <w:t>,</w:t>
                  </w:r>
                  <w:r>
                    <w:rPr>
                      <w:i/>
                    </w:rPr>
                    <w:t xml:space="preserve"> SO Area, SO Area X Time, Metro Area, Metro Area X Time, Locale, Locale X Time</w:t>
                  </w:r>
                  <w:r w:rsidRPr="00DC7CBA">
                    <w:rPr>
                      <w:rFonts w:cs="Times New Roman"/>
                      <w:i/>
                      <w:iCs/>
                      <w:color w:val="000000"/>
                    </w:rPr>
                    <w:t>)</w:t>
                  </w:r>
                </w:p>
              </w:txbxContent>
            </v:textbox>
            <w10:wrap type="none"/>
            <w10:anchorlock/>
          </v:shape>
        </w:pict>
      </w:r>
      <w:r w:rsidR="00C157EC">
        <w:t xml:space="preserve"> </w:t>
      </w:r>
    </w:p>
    <w:p w:rsidR="00C157EC" w:rsidRDefault="00C157EC" w:rsidP="0002730D">
      <w:pPr>
        <w:pStyle w:val="BodyText"/>
      </w:pPr>
      <w:r>
        <w:t xml:space="preserve">DSAC region, </w:t>
      </w:r>
      <w:r w:rsidR="009C4B08">
        <w:t xml:space="preserve">SO </w:t>
      </w:r>
      <w:r>
        <w:t xml:space="preserve">area, metropolitan area, locale, and the interactions between those variables and time were included to account for the differences in supply across those different geographic areas and to allow the time trends for those areas to vary over time. Enrollment (squared) was included to account for the differences in supply across districts of varying sizes and to account for the possibility that the supply-enrollment relationship is nonlinear. The inclusion of the percentage of free/reduced-price lunch students is to account for differences in supply across districts with varying rates of student poverty. Finally, the inclusion of the interaction between students in poverty and enrollment is to allow the effect of students in poverty to vary by district size. The set of variables included in the model was based on both theoretical </w:t>
      </w:r>
      <w:proofErr w:type="gramStart"/>
      <w:r>
        <w:t>justification</w:t>
      </w:r>
      <w:proofErr w:type="gramEnd"/>
      <w:r>
        <w:t xml:space="preserve"> as well as testing of competing models to improve model fit.</w:t>
      </w:r>
    </w:p>
    <w:p w:rsidR="00C157EC" w:rsidRDefault="00C157EC" w:rsidP="00AD2F9C">
      <w:pPr>
        <w:pStyle w:val="BodyText"/>
      </w:pPr>
      <w:r>
        <w:t>For the primary measure of supply, the number of FTEs was used, rather than a total count of teachers. This decision was made to take into consideration the varying level of service that each teacher provides, including those serving in part-time roles, and ultimately more accurately reflect the total supply. The use of staff counts would assume that all staff provide equal levels of service and mask the extent to which some teachers work only part time (i.e., it would overestimate the number of FTE teachers providing services). However, as discussed next, it also was necessary to create a secondary measure of projected teacher supply based on the total number of teachers.</w:t>
      </w:r>
    </w:p>
    <w:p w:rsidR="00C157EC" w:rsidRDefault="00C157EC" w:rsidP="00312F3B">
      <w:pPr>
        <w:pStyle w:val="Heading4NoTOC"/>
      </w:pPr>
      <w:r>
        <w:t>Components of Supply</w:t>
      </w:r>
    </w:p>
    <w:p w:rsidR="00C157EC" w:rsidRDefault="00C157EC" w:rsidP="00AD2F9C">
      <w:pPr>
        <w:pStyle w:val="BodyText"/>
      </w:pPr>
      <w:r>
        <w:t>Although total teacher FTEs was the primary measure of supply u</w:t>
      </w:r>
      <w:r w:rsidR="00461E17">
        <w:t>sed to address Research Q</w:t>
      </w:r>
      <w:r>
        <w:t>uestion 2, the research team also created projections of the total number of teachers and the individual components of supply, including numbers of retained teachers, new entrants, and teachers transferring across districts or from out of state. Projections were calculated for the numbers of retained and newly entering teachers, while the projected number of transferring teachers was calculated based on taking the difference between the total projected number of teachers and the sum of the projections of the other two components (numbers retained and newly entering). The teacher count projections for the three components were then used to calculate shares of total teacher supply, which were then applied to the total projected teacher FTEs. This process is discussed below in the section Harmonizing Staff Counts and Fulltime Equivalents (FTEs). In addition, the methods used to project each component of teacher supply are discussed further below.</w:t>
      </w:r>
    </w:p>
    <w:p w:rsidR="00C157EC" w:rsidRPr="00AD2F9C" w:rsidRDefault="00C157EC" w:rsidP="00312F3B">
      <w:pPr>
        <w:pStyle w:val="Heading4NoTOC"/>
      </w:pPr>
      <w:r w:rsidRPr="00AD2F9C">
        <w:t>Retained Teachers</w:t>
      </w:r>
    </w:p>
    <w:p w:rsidR="00C157EC" w:rsidRDefault="00C157EC" w:rsidP="00AD2F9C">
      <w:pPr>
        <w:pStyle w:val="BodyText"/>
      </w:pPr>
      <w:r>
        <w:t xml:space="preserve">The projected number of retained teachers was calculated by estimating a </w:t>
      </w:r>
      <w:r w:rsidRPr="00556A2B">
        <w:t xml:space="preserve">regression </w:t>
      </w:r>
      <w:r>
        <w:t xml:space="preserve">model that was used </w:t>
      </w:r>
      <w:r w:rsidRPr="00556A2B">
        <w:t xml:space="preserve">to forecast </w:t>
      </w:r>
      <w:r>
        <w:t>the total numbers of retained teachers in future years</w:t>
      </w:r>
      <w:r w:rsidRPr="00556A2B">
        <w:t xml:space="preserve">. Specifically, </w:t>
      </w:r>
      <w:r>
        <w:t>total numbers of retained teachers</w:t>
      </w:r>
      <w:r w:rsidRPr="00556A2B">
        <w:t xml:space="preserve"> were modeled as a function </w:t>
      </w:r>
      <w:r>
        <w:t>of a yearly time trend</w:t>
      </w:r>
      <w:r w:rsidR="00254D5A">
        <w:t>,</w:t>
      </w:r>
      <w:r>
        <w:t xml:space="preserve"> </w:t>
      </w:r>
      <w:r w:rsidR="00254D5A">
        <w:t xml:space="preserve">the total number of teachers, </w:t>
      </w:r>
      <w:r>
        <w:t>teacher age</w:t>
      </w:r>
      <w:r w:rsidR="00254D5A">
        <w:t>,</w:t>
      </w:r>
      <w:r>
        <w:t xml:space="preserve"> teacher race/ethnicity</w:t>
      </w:r>
      <w:r w:rsidR="00254D5A">
        <w:t>,</w:t>
      </w:r>
      <w:r>
        <w:t xml:space="preserve"> DSAC region</w:t>
      </w:r>
      <w:r w:rsidR="00254D5A">
        <w:t>,</w:t>
      </w:r>
      <w:r>
        <w:t xml:space="preserve"> interactions of the time trend and total teachers, the time trend and region, </w:t>
      </w:r>
      <w:r w:rsidR="00254D5A">
        <w:t xml:space="preserve">total teachers and region, </w:t>
      </w:r>
      <w:r w:rsidR="00EC5B95">
        <w:t xml:space="preserve">and </w:t>
      </w:r>
      <w:r>
        <w:t>time, region and total teachers</w:t>
      </w:r>
      <w:r w:rsidR="00254D5A">
        <w:t>,</w:t>
      </w:r>
      <w:r>
        <w:t xml:space="preserve"> the percentage of students eligible for free/reduced-price lunch, and the interaction between the percentage of these students and total teachers</w:t>
      </w:r>
      <w:r w:rsidR="00254D5A">
        <w:t>,</w:t>
      </w:r>
      <w:r>
        <w:t xml:space="preserve"> </w:t>
      </w:r>
      <w:r w:rsidR="003F4F9F">
        <w:t xml:space="preserve">SO </w:t>
      </w:r>
      <w:r>
        <w:t>area, metropolitan area, and locale</w:t>
      </w:r>
      <w:r w:rsidR="00254D5A">
        <w:t>,</w:t>
      </w:r>
      <w:r>
        <w:t xml:space="preserve"> and the interactions between those three geographic groupings and the time trend. The model is presented in </w:t>
      </w:r>
      <w:r w:rsidR="0027264A">
        <w:t>Box</w:t>
      </w:r>
      <w:r>
        <w:t xml:space="preserve"> A</w:t>
      </w:r>
      <w:r w:rsidR="0027264A">
        <w:t>2</w:t>
      </w:r>
      <w:r>
        <w:t>.</w:t>
      </w:r>
      <w:r>
        <w:rPr>
          <w:rStyle w:val="FootnoteReference"/>
        </w:rPr>
        <w:footnoteReference w:id="38"/>
      </w:r>
    </w:p>
    <w:p w:rsidR="00C157EC" w:rsidRPr="00DC7CBA" w:rsidRDefault="0027264A" w:rsidP="00AD2F9C">
      <w:pPr>
        <w:pStyle w:val="ExhibitTitle"/>
      </w:pPr>
      <w:r>
        <w:t>Box</w:t>
      </w:r>
      <w:r w:rsidR="00C157EC" w:rsidRPr="00DC7CBA">
        <w:t xml:space="preserve"> </w:t>
      </w:r>
      <w:r w:rsidR="00C157EC">
        <w:t>A</w:t>
      </w:r>
      <w:r>
        <w:t>2</w:t>
      </w:r>
      <w:r w:rsidR="00C157EC" w:rsidRPr="00DC7CBA">
        <w:t>. Model Used to Project Number of Retained Teachers</w:t>
      </w:r>
    </w:p>
    <w:p w:rsidR="00C157EC" w:rsidRDefault="002555E4" w:rsidP="00AD2F9C">
      <w:pPr>
        <w:pStyle w:val="FigurePlacement"/>
      </w:pPr>
      <w:r>
        <w:rPr>
          <w:noProof/>
        </w:rPr>
      </w:r>
      <w:r>
        <w:rPr>
          <w:noProof/>
        </w:rPr>
        <w:pict>
          <v:shape id="Text Box 97" o:spid="_x0000_s1050" type="#_x0000_t202" style="width:450.95pt;height:63.75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Default="009C4B08" w:rsidP="00C157EC">
                  <w:pPr>
                    <w:rPr>
                      <w:i/>
                    </w:rPr>
                  </w:pPr>
                  <w:r w:rsidRPr="007B0FDD">
                    <w:rPr>
                      <w:b/>
                      <w:i/>
                    </w:rPr>
                    <w:t xml:space="preserve">Number of Retained </w:t>
                  </w:r>
                  <w:r>
                    <w:rPr>
                      <w:b/>
                      <w:i/>
                    </w:rPr>
                    <w:t>Teachers</w:t>
                  </w:r>
                  <w:r w:rsidRPr="00492587">
                    <w:rPr>
                      <w:i/>
                    </w:rPr>
                    <w:t xml:space="preserve"> = f(Time Trend, </w:t>
                  </w:r>
                  <w:r>
                    <w:rPr>
                      <w:i/>
                    </w:rPr>
                    <w:t xml:space="preserve">Total Teachers, Teacher </w:t>
                  </w:r>
                  <w:r w:rsidRPr="00492587">
                    <w:rPr>
                      <w:i/>
                    </w:rPr>
                    <w:t xml:space="preserve">Age, </w:t>
                  </w:r>
                  <w:r>
                    <w:rPr>
                      <w:i/>
                    </w:rPr>
                    <w:t xml:space="preserve">Teacher </w:t>
                  </w:r>
                  <w:r w:rsidRPr="00492587">
                    <w:rPr>
                      <w:i/>
                    </w:rPr>
                    <w:t>Race/Ethnicity</w:t>
                  </w:r>
                  <w:r>
                    <w:rPr>
                      <w:i/>
                    </w:rPr>
                    <w:t xml:space="preserve">, Region, Time X Total Teacher, Time X Region, Total Teacher X Region, Time X Region X Total Teacher, % Free Lunch, % Free Lunch X Total Teacher, </w:t>
                  </w:r>
                  <w:r w:rsidR="003F4F9F">
                    <w:rPr>
                      <w:i/>
                    </w:rPr>
                    <w:t xml:space="preserve">SO </w:t>
                  </w:r>
                  <w:r>
                    <w:rPr>
                      <w:i/>
                    </w:rPr>
                    <w:t xml:space="preserve">Area, </w:t>
                  </w:r>
                  <w:r w:rsidR="003F4F9F">
                    <w:rPr>
                      <w:i/>
                    </w:rPr>
                    <w:t xml:space="preserve">SO </w:t>
                  </w:r>
                  <w:r>
                    <w:rPr>
                      <w:i/>
                    </w:rPr>
                    <w:t>Area X Time, Metro Area, Metro Area X Time, Locale, Locale X Time</w:t>
                  </w:r>
                  <w:r w:rsidRPr="00492587">
                    <w:rPr>
                      <w:i/>
                    </w:rPr>
                    <w:t>)</w:t>
                  </w:r>
                </w:p>
                <w:p w:rsidR="009C4B08" w:rsidRPr="00B24BF3" w:rsidRDefault="009C4B08" w:rsidP="00C157EC"/>
              </w:txbxContent>
            </v:textbox>
            <w10:wrap type="none"/>
            <w10:anchorlock/>
          </v:shape>
        </w:pict>
      </w:r>
    </w:p>
    <w:p w:rsidR="00C157EC" w:rsidRDefault="00C157EC" w:rsidP="00AD2F9C">
      <w:pPr>
        <w:pStyle w:val="BodyText"/>
      </w:pPr>
      <w:r>
        <w:t xml:space="preserve">As with the total supply model, the inclusion of DSAC region, </w:t>
      </w:r>
      <w:r w:rsidR="003F4F9F">
        <w:t xml:space="preserve">SO </w:t>
      </w:r>
      <w:r>
        <w:t>area, metropolitan area, and locale, as well as the interaction between those geographic variables and time, is to account for the differences in supply across geographic areas and to allow the time trend for those areas to differ. The inclusion of total teachers is to account for differences in supply across districts of varying size, while also accounting for varying supply for districts with different pupil-teacher ratios. Furthermore, due to the fact that the number of teachers retained is a function of total number of teachers, a three-way interaction between region, time trend, and total teachers is included to allow for the effect of region to vary over time as well as by district size. The inclusion of the percentage of free/reduced-price lunch students is to account for differences in supply across districts with varying rates of student poverty. Finally, the inclusion of the interaction between students in poverty and total teachers is to allow the effect of students in poverty to vary by district size.</w:t>
      </w:r>
    </w:p>
    <w:p w:rsidR="00C157EC" w:rsidRPr="00312F3B" w:rsidRDefault="00C157EC" w:rsidP="00312F3B">
      <w:pPr>
        <w:pStyle w:val="Heading4NoTOC"/>
      </w:pPr>
      <w:r w:rsidRPr="00312F3B">
        <w:t>New Entrants</w:t>
      </w:r>
    </w:p>
    <w:p w:rsidR="00C157EC" w:rsidRDefault="00C157EC" w:rsidP="00AD2F9C">
      <w:pPr>
        <w:pStyle w:val="BodyText"/>
      </w:pPr>
      <w:r>
        <w:t xml:space="preserve">Data for new entrants into the teacher profession are only readily available by the </w:t>
      </w:r>
      <w:r w:rsidR="003F4F9F">
        <w:t xml:space="preserve">SO </w:t>
      </w:r>
      <w:r>
        <w:t xml:space="preserve">(or teacher preparation program) where new entrants were trained, rather than by district. Data on new entrants by </w:t>
      </w:r>
      <w:r w:rsidR="003F4F9F">
        <w:t xml:space="preserve">SO </w:t>
      </w:r>
      <w:r>
        <w:t xml:space="preserve">consist of the number of program completers by </w:t>
      </w:r>
      <w:r w:rsidR="003F4F9F">
        <w:t xml:space="preserve">SO </w:t>
      </w:r>
      <w:r>
        <w:t xml:space="preserve">and an estimate of the proportion of program completers hired by Massachusetts public schools. Therefore, new entrants were calculated as the number of program completers multiplied by the proportion hired by </w:t>
      </w:r>
      <w:r w:rsidR="00065A0D">
        <w:t xml:space="preserve">public schools in </w:t>
      </w:r>
      <w:r>
        <w:t xml:space="preserve">Massachusetts. Because data on the number of new entrants in a given district are not available, in order to calculate these figures, the research team assumed that the majority of new entrants would join the workforce in a district within the vicinity (i.e., within a 45-minute drive) of the </w:t>
      </w:r>
      <w:r w:rsidR="003F4F9F">
        <w:t xml:space="preserve">SO </w:t>
      </w:r>
      <w:r>
        <w:t xml:space="preserve">where they completed their training. </w:t>
      </w:r>
      <w:r w:rsidRPr="00607FED">
        <w:t xml:space="preserve">This approach is based on the tendency for newly certified </w:t>
      </w:r>
      <w:r>
        <w:t>teachers</w:t>
      </w:r>
      <w:r w:rsidRPr="00607FED">
        <w:t xml:space="preserve"> to take positions at a school near their </w:t>
      </w:r>
      <w:r w:rsidR="003F4F9F">
        <w:t>SO</w:t>
      </w:r>
      <w:r w:rsidRPr="00607FED">
        <w:t>, as noted in the ESE workforce report (</w:t>
      </w:r>
      <w:r w:rsidRPr="001F712C">
        <w:t>ESE, 2013) and other research (Boyd, Lankford, Loeb, &amp; Wyckoff, 2009). The method used</w:t>
      </w:r>
      <w:r>
        <w:t xml:space="preserve"> to estimate the number of new entrants by district is described in detail below in the section Distributing New Entrants by District.</w:t>
      </w:r>
    </w:p>
    <w:p w:rsidR="00C157EC" w:rsidRDefault="00C157EC" w:rsidP="00AD2F9C">
      <w:pPr>
        <w:pStyle w:val="BodyText"/>
      </w:pPr>
      <w:r>
        <w:t xml:space="preserve">Once new entrants by district were calculated, a regression model was used </w:t>
      </w:r>
      <w:r w:rsidRPr="00556A2B">
        <w:t xml:space="preserve">to </w:t>
      </w:r>
      <w:r>
        <w:t>predict</w:t>
      </w:r>
      <w:r w:rsidRPr="00556A2B">
        <w:t xml:space="preserve"> </w:t>
      </w:r>
      <w:r>
        <w:t>the total number of new entrants in future years</w:t>
      </w:r>
      <w:r w:rsidRPr="00556A2B">
        <w:t>.</w:t>
      </w:r>
      <w:r>
        <w:t xml:space="preserve"> </w:t>
      </w:r>
      <w:r w:rsidRPr="00556A2B">
        <w:t xml:space="preserve">Specifically, </w:t>
      </w:r>
      <w:r>
        <w:t>total numbers of new entrants</w:t>
      </w:r>
      <w:r w:rsidRPr="00556A2B">
        <w:t xml:space="preserve"> were modeled </w:t>
      </w:r>
      <w:r>
        <w:t>as a function of a yearly time trend, total enrollment, enrollment</w:t>
      </w:r>
      <w:r w:rsidRPr="0054198C">
        <w:t xml:space="preserve"> </w:t>
      </w:r>
      <w:r>
        <w:t xml:space="preserve">squared, DSAC region, an interaction between region and enrollment and region and enrollment squared, </w:t>
      </w:r>
      <w:r w:rsidR="003F4F9F">
        <w:t xml:space="preserve">SO </w:t>
      </w:r>
      <w:r>
        <w:t xml:space="preserve">area, metropolitan area, and locale, as well as the interaction between these geographic areas and the time trend. The model is presented in </w:t>
      </w:r>
      <w:r w:rsidR="0027264A">
        <w:t>Box</w:t>
      </w:r>
      <w:r>
        <w:t xml:space="preserve"> A</w:t>
      </w:r>
      <w:r w:rsidR="0027264A">
        <w:t>3</w:t>
      </w:r>
      <w:r>
        <w:t>.</w:t>
      </w:r>
    </w:p>
    <w:p w:rsidR="00C157EC" w:rsidRPr="00DC7CBA" w:rsidRDefault="0027264A" w:rsidP="00AD2F9C">
      <w:pPr>
        <w:pStyle w:val="ExhibitTitle"/>
      </w:pPr>
      <w:r>
        <w:t>Box</w:t>
      </w:r>
      <w:r w:rsidR="00C157EC" w:rsidRPr="00DC7CBA">
        <w:t xml:space="preserve"> </w:t>
      </w:r>
      <w:r w:rsidR="00C157EC">
        <w:t>A</w:t>
      </w:r>
      <w:r>
        <w:t>3</w:t>
      </w:r>
      <w:r w:rsidR="00C157EC" w:rsidRPr="00DC7CBA">
        <w:t>. Model Used to Project New Entrants</w:t>
      </w:r>
    </w:p>
    <w:p w:rsidR="00C157EC" w:rsidRDefault="002555E4" w:rsidP="00AD2F9C">
      <w:pPr>
        <w:pStyle w:val="FigurePlacement"/>
      </w:pPr>
      <w:r>
        <w:rPr>
          <w:noProof/>
        </w:rPr>
      </w:r>
      <w:r>
        <w:rPr>
          <w:noProof/>
        </w:rPr>
        <w:pict>
          <v:shape id="Text Box 98" o:spid="_x0000_s1049" type="#_x0000_t202" style="width:450.95pt;height:51.75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Pr="00607FED" w:rsidRDefault="009C4B08" w:rsidP="00C157EC">
                  <w:pPr>
                    <w:rPr>
                      <w:i/>
                    </w:rPr>
                  </w:pPr>
                  <w:r w:rsidRPr="007B0FDD">
                    <w:rPr>
                      <w:b/>
                      <w:i/>
                    </w:rPr>
                    <w:t>Number of New Entrants</w:t>
                  </w:r>
                  <w:r w:rsidRPr="00DC4812">
                    <w:rPr>
                      <w:i/>
                    </w:rPr>
                    <w:t xml:space="preserve"> = f</w:t>
                  </w:r>
                  <w:r>
                    <w:rPr>
                      <w:i/>
                    </w:rPr>
                    <w:t>(Time Trend, Region, Enrollment,</w:t>
                  </w:r>
                  <w:r w:rsidRPr="00DC4812">
                    <w:rPr>
                      <w:i/>
                    </w:rPr>
                    <w:t xml:space="preserve"> Enrollment</w:t>
                  </w:r>
                  <w:r w:rsidRPr="00DC4812">
                    <w:rPr>
                      <w:i/>
                      <w:vertAlign w:val="superscript"/>
                    </w:rPr>
                    <w:t>2</w:t>
                  </w:r>
                  <w:r>
                    <w:rPr>
                      <w:i/>
                    </w:rPr>
                    <w:t xml:space="preserve">, Region X </w:t>
                  </w:r>
                  <w:r w:rsidRPr="00DC4812">
                    <w:rPr>
                      <w:i/>
                    </w:rPr>
                    <w:t>Enroll</w:t>
                  </w:r>
                  <w:r>
                    <w:rPr>
                      <w:i/>
                    </w:rPr>
                    <w:t xml:space="preserve">ment, Region X </w:t>
                  </w:r>
                  <w:r w:rsidRPr="00DC4812">
                    <w:rPr>
                      <w:i/>
                    </w:rPr>
                    <w:t>Enroll</w:t>
                  </w:r>
                  <w:r>
                    <w:rPr>
                      <w:i/>
                    </w:rPr>
                    <w:t>ment</w:t>
                  </w:r>
                  <w:r w:rsidRPr="00DC4812">
                    <w:rPr>
                      <w:i/>
                      <w:vertAlign w:val="superscript"/>
                    </w:rPr>
                    <w:t>2</w:t>
                  </w:r>
                  <w:r>
                    <w:rPr>
                      <w:i/>
                    </w:rPr>
                    <w:t xml:space="preserve">, </w:t>
                  </w:r>
                  <w:r w:rsidR="003F4F9F">
                    <w:rPr>
                      <w:i/>
                    </w:rPr>
                    <w:t xml:space="preserve">SO </w:t>
                  </w:r>
                  <w:r>
                    <w:rPr>
                      <w:i/>
                    </w:rPr>
                    <w:t xml:space="preserve">Area, </w:t>
                  </w:r>
                  <w:r w:rsidR="003F4F9F">
                    <w:rPr>
                      <w:i/>
                    </w:rPr>
                    <w:t xml:space="preserve">SO </w:t>
                  </w:r>
                  <w:r>
                    <w:rPr>
                      <w:i/>
                    </w:rPr>
                    <w:t>Area X Time, Metro Area, Metro Area X Time, Locale, Locale X Time</w:t>
                  </w:r>
                  <w:r w:rsidRPr="00DC4812">
                    <w:rPr>
                      <w:i/>
                    </w:rPr>
                    <w:t>)</w:t>
                  </w:r>
                </w:p>
              </w:txbxContent>
            </v:textbox>
            <w10:wrap type="none"/>
            <w10:anchorlock/>
          </v:shape>
        </w:pict>
      </w:r>
    </w:p>
    <w:p w:rsidR="00C157EC" w:rsidRDefault="00C157EC" w:rsidP="00AD2F9C">
      <w:pPr>
        <w:pStyle w:val="BodyText"/>
      </w:pPr>
      <w:r>
        <w:t xml:space="preserve">As with the total supply model, the inclusion of enrollment (squared) is to account for differences in supply across districts of varying sizes and for the possibility that the new entrant-enrollment relationship is nonlinear. The DSAC region is included to account for differences in supply across regions. Interactions between region and enrollment (squared) are included to allow for the effect of the region to vary by district size. </w:t>
      </w:r>
      <w:r w:rsidR="003F4F9F">
        <w:t xml:space="preserve">SO </w:t>
      </w:r>
      <w:r>
        <w:t>area, metropolitan area, and locale, as well as the interactions with those geographic areas and the time trend, were included to account for differences in supply across geographic area and to allow time trends to vary by geographic area.</w:t>
      </w:r>
    </w:p>
    <w:p w:rsidR="00C157EC" w:rsidRDefault="00C157EC" w:rsidP="00312F3B">
      <w:pPr>
        <w:pStyle w:val="BodyText"/>
      </w:pPr>
      <w:r>
        <w:t>Because many of the districts have small values for new entrants, the use of a linear functional form often resulted in a negative projection of the number of new entrants for future years. To mitigate this, Poisson regression was used, which has the advantage of restricting the value of projections to be greater than zero.</w:t>
      </w:r>
      <w:r>
        <w:rPr>
          <w:rStyle w:val="FootnoteReference"/>
        </w:rPr>
        <w:footnoteReference w:id="39"/>
      </w:r>
      <w:r>
        <w:t xml:space="preserve"> It should be noted that due to the fact that only three years of historical data were available on which to base future projections, the forecasts of new entrants must be interpreted with caution. </w:t>
      </w:r>
    </w:p>
    <w:p w:rsidR="00C157EC" w:rsidRPr="00EB58A1" w:rsidRDefault="00C157EC" w:rsidP="00A46F58">
      <w:pPr>
        <w:pStyle w:val="BodyText"/>
        <w:rPr>
          <w:rFonts w:cstheme="majorHAnsi"/>
        </w:rPr>
      </w:pPr>
      <w:r w:rsidRPr="00A46F58">
        <w:rPr>
          <w:rFonts w:asciiTheme="majorHAnsi" w:hAnsiTheme="majorHAnsi" w:cstheme="majorHAnsi"/>
          <w:b/>
        </w:rPr>
        <w:t>Harmonizing Staff Counts and Fulltime Equivalents (FTEs)</w:t>
      </w:r>
    </w:p>
    <w:p w:rsidR="00C157EC" w:rsidRDefault="00C157EC" w:rsidP="00312F3B">
      <w:pPr>
        <w:pStyle w:val="BodyText"/>
      </w:pPr>
      <w:r>
        <w:t>Although the primary analyses for this study considered only FTE counts of teachers, the data used to address some analyses were only available in staff counts; specifically, the data on supply components, including retained teachers and new entrants. As a result, steps were taken to harmonize the FTE-based aggregate results and the more granular staff count-based results.</w:t>
      </w:r>
    </w:p>
    <w:p w:rsidR="00C157EC" w:rsidRDefault="00C157EC" w:rsidP="00312F3B">
      <w:pPr>
        <w:pStyle w:val="BodyText"/>
      </w:pPr>
      <w:r>
        <w:t xml:space="preserve">First, projections were calculated based on staff count data using the methods described earlier in this report. For each projected year, we then calculated the proportion of overall teachers that were retained and constituted new entrants. The complementary proportion was then calculated for the third component, transfer teachers. Then, using the projections of total teachers based on FTE counts, we applied the calculated staff count proportions to these projections. For example, the proportions of retained teachers and new entrants projected in 2016 were </w:t>
      </w:r>
      <w:r w:rsidRPr="003C7404">
        <w:t>85</w:t>
      </w:r>
      <w:r>
        <w:t xml:space="preserve"> percent and 4 percent, respectively, so that the proportion of transfer teachers was calculated to make up the remaining 11 percent. These proportions were applied to the overall projected FTE count of teachers in 2016 of 66,170, yielding supply measures in FTE terms of retained, new entrants, and transfers of approximately 56,320, 2,250, and 7,400, respectively, for that year. A similar method was used to estimate FTE projections for supply components in</w:t>
      </w:r>
      <w:r w:rsidR="00461E17">
        <w:t xml:space="preserve"> the disaggregated analysis in R</w:t>
      </w:r>
      <w:r>
        <w:t>esearch</w:t>
      </w:r>
      <w:r w:rsidR="00461E17">
        <w:t xml:space="preserve"> Q</w:t>
      </w:r>
      <w:r>
        <w:t>uestion 4.</w:t>
      </w:r>
    </w:p>
    <w:p w:rsidR="00C157EC" w:rsidRPr="00261244" w:rsidRDefault="00C157EC" w:rsidP="00312F3B">
      <w:pPr>
        <w:pStyle w:val="Heading4NoTOC"/>
      </w:pPr>
      <w:bookmarkStart w:id="143" w:name="_Toc435614402"/>
      <w:bookmarkStart w:id="144" w:name="_Toc435461205"/>
      <w:r>
        <w:t>Distributing New Entrants b</w:t>
      </w:r>
      <w:r w:rsidRPr="00261244">
        <w:t>y District</w:t>
      </w:r>
      <w:bookmarkEnd w:id="143"/>
    </w:p>
    <w:p w:rsidR="00C157EC" w:rsidRDefault="00C157EC" w:rsidP="00312F3B">
      <w:pPr>
        <w:pStyle w:val="BodyText"/>
      </w:pPr>
      <w:r>
        <w:t xml:space="preserve">To estimate the number of individuals newly entering a given district from a teacher preparation </w:t>
      </w:r>
      <w:r w:rsidR="009C4B08">
        <w:t>sponsoring organization</w:t>
      </w:r>
      <w:r>
        <w:t xml:space="preserve">, new entrants were assigned a district based on travel time from their </w:t>
      </w:r>
      <w:r w:rsidR="009C4B08">
        <w:t xml:space="preserve">sponsoring organization </w:t>
      </w:r>
      <w:r>
        <w:t xml:space="preserve">to each district. The assignment method is based on the assumption that the majority of new entrants join the workforce in a district within the vicinity of the </w:t>
      </w:r>
      <w:r w:rsidR="009C4B08">
        <w:t xml:space="preserve">organization </w:t>
      </w:r>
      <w:r>
        <w:t xml:space="preserve">where they completed their training. Specifically, assignment of new entrants to districts was governed by a travel time cutoff indicating whether an </w:t>
      </w:r>
      <w:r w:rsidR="009C4B08">
        <w:t xml:space="preserve">organization </w:t>
      </w:r>
      <w:r>
        <w:t>and district are in the same vicinity.</w:t>
      </w:r>
    </w:p>
    <w:p w:rsidR="00C157EC" w:rsidRDefault="00C157EC" w:rsidP="00312F3B">
      <w:pPr>
        <w:pStyle w:val="BodyText"/>
      </w:pPr>
      <w:r>
        <w:t xml:space="preserve">Calculation of travel times required data on the latitude and longitude coordinates of each </w:t>
      </w:r>
      <w:r w:rsidR="009C4B08">
        <w:t xml:space="preserve">organization </w:t>
      </w:r>
      <w:r>
        <w:t xml:space="preserve">and district in the state. The research team used one of two methods for determining latitude and longitude coordinates: (1) by entering the name of the teacher preparation </w:t>
      </w:r>
      <w:r w:rsidR="009C4B08">
        <w:t xml:space="preserve">sponsoring organization </w:t>
      </w:r>
      <w:r>
        <w:t xml:space="preserve">and “Massachusetts” into </w:t>
      </w:r>
      <w:r w:rsidRPr="00607FED">
        <w:t xml:space="preserve">the </w:t>
      </w:r>
      <w:proofErr w:type="spellStart"/>
      <w:r w:rsidRPr="00607FED">
        <w:t>Stata</w:t>
      </w:r>
      <w:proofErr w:type="spellEnd"/>
      <w:r w:rsidRPr="00607FED">
        <w:t xml:space="preserve"> program </w:t>
      </w:r>
      <w:proofErr w:type="spellStart"/>
      <w:r w:rsidRPr="0072719B">
        <w:rPr>
          <w:i/>
        </w:rPr>
        <w:t>mqgeocode</w:t>
      </w:r>
      <w:proofErr w:type="spellEnd"/>
      <w:r>
        <w:rPr>
          <w:i/>
        </w:rPr>
        <w:t xml:space="preserve"> </w:t>
      </w:r>
      <w:r>
        <w:t>(the preferred method),</w:t>
      </w:r>
      <w:r w:rsidRPr="00607FED">
        <w:t xml:space="preserve"> </w:t>
      </w:r>
      <w:r>
        <w:t xml:space="preserve">and (2) by entering the </w:t>
      </w:r>
      <w:r w:rsidR="009C4B08">
        <w:t xml:space="preserve">organization’s </w:t>
      </w:r>
      <w:r>
        <w:t>name into G</w:t>
      </w:r>
      <w:r w:rsidRPr="00607FED">
        <w:t xml:space="preserve">oogle </w:t>
      </w:r>
      <w:r>
        <w:t>M</w:t>
      </w:r>
      <w:r w:rsidRPr="00607FED">
        <w:t xml:space="preserve">aps </w:t>
      </w:r>
      <w:r>
        <w:t xml:space="preserve">and retrieving the coordinates one at a time (the less efficient method used when </w:t>
      </w:r>
      <w:proofErr w:type="spellStart"/>
      <w:r>
        <w:t>mqgeocode</w:t>
      </w:r>
      <w:proofErr w:type="spellEnd"/>
      <w:r>
        <w:t xml:space="preserve"> failed to locate the latitude and longitude for an </w:t>
      </w:r>
      <w:r w:rsidR="009C4B08">
        <w:t>organization</w:t>
      </w:r>
      <w:r>
        <w:t xml:space="preserve">). </w:t>
      </w:r>
    </w:p>
    <w:p w:rsidR="00C157EC" w:rsidRDefault="00C157EC" w:rsidP="00312F3B">
      <w:pPr>
        <w:pStyle w:val="BodyText"/>
      </w:pPr>
      <w:r>
        <w:t>The l</w:t>
      </w:r>
      <w:r w:rsidRPr="00607FED">
        <w:t>atitude and longitude for individual districts w</w:t>
      </w:r>
      <w:r>
        <w:t>ere</w:t>
      </w:r>
      <w:r w:rsidRPr="00607FED">
        <w:t xml:space="preserve"> obtained from the </w:t>
      </w:r>
      <w:r>
        <w:t xml:space="preserve">NCES Common Core of Data database. </w:t>
      </w:r>
      <w:r w:rsidRPr="00607FED">
        <w:t>District latitude and longitude values were collected for the school years 2</w:t>
      </w:r>
      <w:r>
        <w:t>007</w:t>
      </w:r>
      <w:r w:rsidRPr="00B716EF">
        <w:t>–</w:t>
      </w:r>
      <w:r>
        <w:t>08 through 2012</w:t>
      </w:r>
      <w:r w:rsidRPr="00B716EF">
        <w:t>–</w:t>
      </w:r>
      <w:r>
        <w:t xml:space="preserve">13. </w:t>
      </w:r>
      <w:r w:rsidRPr="00607FED">
        <w:t xml:space="preserve">For </w:t>
      </w:r>
      <w:r>
        <w:t>the majority</w:t>
      </w:r>
      <w:r w:rsidRPr="00607FED">
        <w:t xml:space="preserve"> of districts</w:t>
      </w:r>
      <w:r>
        <w:t>,</w:t>
      </w:r>
      <w:r w:rsidRPr="00607FED">
        <w:t xml:space="preserve"> the latitude and longitude values </w:t>
      </w:r>
      <w:r>
        <w:t xml:space="preserve">varied slightly over the years. It seemed improbable that so many districts physically changed location over the time period; therefore, </w:t>
      </w:r>
      <w:r w:rsidRPr="00607FED">
        <w:t xml:space="preserve">the mode of the latitude and longitude for a given district across years was used as the latitude and longitude in the case </w:t>
      </w:r>
      <w:r>
        <w:t xml:space="preserve">where there was a single mode. </w:t>
      </w:r>
      <w:r w:rsidRPr="00607FED">
        <w:t>Where there was not a single mode, the mean value of the latitude and longitude for a given district was used as the latitude and longitude.</w:t>
      </w:r>
    </w:p>
    <w:p w:rsidR="00C157EC" w:rsidRPr="005619C0" w:rsidRDefault="00C157EC" w:rsidP="00312F3B">
      <w:pPr>
        <w:pStyle w:val="BodyText"/>
      </w:pPr>
      <w:r>
        <w:t xml:space="preserve">Using latitudes and longitudes, travel times and distances were calculated for each combination of district and </w:t>
      </w:r>
      <w:r w:rsidR="009C4B08">
        <w:t xml:space="preserve">organization </w:t>
      </w:r>
      <w:r>
        <w:t xml:space="preserve">using the </w:t>
      </w:r>
      <w:proofErr w:type="spellStart"/>
      <w:r>
        <w:t>Stata</w:t>
      </w:r>
      <w:proofErr w:type="spellEnd"/>
      <w:r>
        <w:t xml:space="preserve"> program </w:t>
      </w:r>
      <w:proofErr w:type="spellStart"/>
      <w:r w:rsidRPr="0072719B">
        <w:rPr>
          <w:i/>
        </w:rPr>
        <w:t>mqtime</w:t>
      </w:r>
      <w:proofErr w:type="spellEnd"/>
      <w:r>
        <w:t>.</w:t>
      </w:r>
      <w:r>
        <w:rPr>
          <w:rStyle w:val="FootnoteReference"/>
        </w:rPr>
        <w:footnoteReference w:id="40"/>
      </w:r>
      <w:r>
        <w:t xml:space="preserve"> New entrants were then assigned to districts under the assumption that 75 percent of new entrants are hired by districts located within a 45-minute drive of the </w:t>
      </w:r>
      <w:r w:rsidR="009C4B08">
        <w:t xml:space="preserve">organization </w:t>
      </w:r>
      <w:r>
        <w:t xml:space="preserve">where they were trained. The total number of students for districts within the drive time cutoff area and those outside the area was calculated, and new entrants were assigned proportionally based on the share of total enrollment inside or outside the drive time area. For example, if District 1, which has an enrollment of 1,000, is within a 45-minute drive of </w:t>
      </w:r>
      <w:r w:rsidR="009C4B08">
        <w:t xml:space="preserve">Organization </w:t>
      </w:r>
      <w:r>
        <w:t xml:space="preserve">A, which matriculated 100 total new program completers, and the total enrollment of all districts within the 45-minute cutoff of </w:t>
      </w:r>
      <w:r w:rsidR="009C4B08">
        <w:t xml:space="preserve">Organization </w:t>
      </w:r>
      <w:r>
        <w:t xml:space="preserve">A is 10,000, the number of new entrants from </w:t>
      </w:r>
      <w:r w:rsidR="009C4B08">
        <w:t xml:space="preserve">Organization </w:t>
      </w:r>
      <w:r>
        <w:t xml:space="preserve">A that will go to District 1 is 0.75*100*(1,000/10,000), or 7.5. For districts outside the 45-minute cutoff, 0.75 in the previous equation was replaced with 0.25, and the total district enrollment represented the total enrollment outside, rather than inside, the cutoff area. Once the new entrants from each </w:t>
      </w:r>
      <w:r w:rsidR="009C4B08">
        <w:t xml:space="preserve">organization </w:t>
      </w:r>
      <w:r>
        <w:t>were assigned to each district, the total number of new entrants for a given district was totaled.</w:t>
      </w:r>
      <w:r w:rsidDel="005619C0">
        <w:t xml:space="preserve"> </w:t>
      </w:r>
    </w:p>
    <w:p w:rsidR="00C157EC" w:rsidRDefault="00C157EC" w:rsidP="00312F3B">
      <w:pPr>
        <w:pStyle w:val="Heading3NoTOC"/>
      </w:pPr>
      <w:bookmarkStart w:id="145" w:name="_Toc436724310"/>
      <w:r>
        <w:t>Research Question 3: Demand and Supply by Program Area</w:t>
      </w:r>
      <w:bookmarkEnd w:id="145"/>
    </w:p>
    <w:p w:rsidR="00C157EC" w:rsidRDefault="00C157EC" w:rsidP="00312F3B">
      <w:pPr>
        <w:pStyle w:val="BodyText"/>
      </w:pPr>
      <w:r>
        <w:t>Demand and supply projections by program area categories were estimated with methods si</w:t>
      </w:r>
      <w:r w:rsidR="00461E17">
        <w:t>milar to those used to address Research Q</w:t>
      </w:r>
      <w:r>
        <w:t>uestions 1 and 2. However, due to limitations in the data readily available, additional steps were required to estimate these projections. What follows is a detailed description of these methods.</w:t>
      </w:r>
    </w:p>
    <w:p w:rsidR="00C157EC" w:rsidRPr="00381FB6" w:rsidRDefault="00C157EC" w:rsidP="00381FB6">
      <w:pPr>
        <w:pStyle w:val="Heading4NoTOC"/>
      </w:pPr>
      <w:bookmarkStart w:id="146" w:name="_Toc435614403"/>
      <w:bookmarkEnd w:id="144"/>
      <w:r w:rsidRPr="00381FB6">
        <w:t>Demand</w:t>
      </w:r>
    </w:p>
    <w:p w:rsidR="00C157EC" w:rsidRDefault="00C157EC" w:rsidP="00381FB6">
      <w:pPr>
        <w:pStyle w:val="BodyText"/>
      </w:pPr>
      <w:r>
        <w:t xml:space="preserve">Demand projections by program area were calculated by first projecting the proportions of teachers across program area categories over time, and applying those projected proportions to the aggregate projections </w:t>
      </w:r>
      <w:r w:rsidR="00461E17">
        <w:t>of demand estimated in Research Q</w:t>
      </w:r>
      <w:r>
        <w:t xml:space="preserve">uestion 1. These projections were created using </w:t>
      </w:r>
      <w:r w:rsidRPr="00556A2B">
        <w:t xml:space="preserve">regression analysis to </w:t>
      </w:r>
      <w:r>
        <w:t>project</w:t>
      </w:r>
      <w:r w:rsidRPr="00556A2B">
        <w:t xml:space="preserve"> </w:t>
      </w:r>
      <w:r>
        <w:t>the proportion of teachers in each program area category in future years</w:t>
      </w:r>
      <w:r w:rsidRPr="00556A2B">
        <w:t>.</w:t>
      </w:r>
      <w:r>
        <w:t xml:space="preserve"> Specifically, this proportion was estimated as a function of a yearly time trend, DSAC region, the time trend interacted with the region, the total number of students in the district, the percentage of students who receive free or reduced-price lunch, the percentages who are African American and Hispanic, the district locale (city, suburb, town, or rural), and whether or not a district was vocational/technical. The model is presented in </w:t>
      </w:r>
      <w:r w:rsidR="0027264A">
        <w:t>Box</w:t>
      </w:r>
      <w:r>
        <w:t xml:space="preserve"> A</w:t>
      </w:r>
      <w:r w:rsidR="0027264A">
        <w:t>4</w:t>
      </w:r>
      <w:r>
        <w:t>.</w:t>
      </w:r>
    </w:p>
    <w:p w:rsidR="00C157EC" w:rsidRDefault="0027264A" w:rsidP="00381FB6">
      <w:pPr>
        <w:pStyle w:val="FigureTitle"/>
      </w:pPr>
      <w:r>
        <w:t>Box</w:t>
      </w:r>
      <w:r w:rsidR="00C157EC" w:rsidRPr="00705B83">
        <w:t xml:space="preserve"> </w:t>
      </w:r>
      <w:r w:rsidR="00C157EC">
        <w:t>A</w:t>
      </w:r>
      <w:r>
        <w:t>4</w:t>
      </w:r>
      <w:r w:rsidR="00C157EC" w:rsidRPr="00705B83">
        <w:t>.</w:t>
      </w:r>
      <w:r w:rsidR="00C157EC">
        <w:t xml:space="preserve"> </w:t>
      </w:r>
      <w:r w:rsidR="00C157EC" w:rsidRPr="00DC7CBA">
        <w:t xml:space="preserve">Model Used to Project </w:t>
      </w:r>
      <w:r w:rsidR="00C157EC">
        <w:t>Proportions of Teachers by Program Area Category</w:t>
      </w:r>
    </w:p>
    <w:p w:rsidR="00C157EC" w:rsidRDefault="002555E4" w:rsidP="00381FB6">
      <w:pPr>
        <w:pStyle w:val="FigurePlacement"/>
      </w:pPr>
      <w:r>
        <w:rPr>
          <w:noProof/>
        </w:rPr>
      </w:r>
      <w:r>
        <w:rPr>
          <w:noProof/>
        </w:rPr>
        <w:pict>
          <v:shape id="Text Box 99" o:spid="_x0000_s1048" type="#_x0000_t202" style="width:450.95pt;height:47.55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Pr="00B24BF3" w:rsidRDefault="009C4B08" w:rsidP="00C157EC">
                  <w:r w:rsidRPr="007B0FDD">
                    <w:rPr>
                      <w:b/>
                      <w:i/>
                    </w:rPr>
                    <w:t>Proportion of Teachers in Given Category</w:t>
                  </w:r>
                  <w:r w:rsidRPr="00492587">
                    <w:rPr>
                      <w:i/>
                    </w:rPr>
                    <w:t xml:space="preserve"> = f(Time Trend, </w:t>
                  </w:r>
                  <w:r>
                    <w:rPr>
                      <w:i/>
                    </w:rPr>
                    <w:t>Region ,Time X Region, Enrollment, % Free Lunch, % African American, % Hispanic, Locale, Vocational/Technical</w:t>
                  </w:r>
                  <w:r w:rsidRPr="00492587">
                    <w:rPr>
                      <w:i/>
                    </w:rPr>
                    <w:t>)</w:t>
                  </w:r>
                </w:p>
              </w:txbxContent>
            </v:textbox>
            <w10:wrap type="none"/>
            <w10:anchorlock/>
          </v:shape>
        </w:pict>
      </w:r>
    </w:p>
    <w:p w:rsidR="00C157EC" w:rsidRDefault="00C157EC" w:rsidP="00381FB6">
      <w:pPr>
        <w:pStyle w:val="BodyText"/>
      </w:pPr>
      <w:r>
        <w:t xml:space="preserve">The inclusion of the yearly time trend, DSAC region, and the interaction between these two variables is to account for differential patterns of supply over time, across regions, and across regions over time. The inclusion of enrollment (squared) is to account for the differences in supply across districts of varying sizes and for the possibility that the supply-enrollment relationship is nonlinear. The inclusion of the percentage of free/reduced-price lunch and minority students is to account for differences in supply across districts with varying rates of these types of students. The inclusion of the locale variable is to account for differences in supply across different levels of relative district </w:t>
      </w:r>
      <w:proofErr w:type="spellStart"/>
      <w:r>
        <w:t>urbanicity</w:t>
      </w:r>
      <w:proofErr w:type="spellEnd"/>
      <w:r>
        <w:t xml:space="preserve">. Finally, a variable indicating whether or not a district was </w:t>
      </w:r>
      <w:proofErr w:type="gramStart"/>
      <w:r>
        <w:t>vocational/technical</w:t>
      </w:r>
      <w:proofErr w:type="gramEnd"/>
      <w:r>
        <w:t xml:space="preserve"> was included to account for the inherent systemic differences in the numbers of caree</w:t>
      </w:r>
      <w:r w:rsidR="00276368">
        <w:t>r/</w:t>
      </w:r>
      <w:r>
        <w:t>vocational</w:t>
      </w:r>
      <w:r w:rsidR="00276368">
        <w:t>/</w:t>
      </w:r>
      <w:r>
        <w:t>technical teachers in these districts.</w:t>
      </w:r>
    </w:p>
    <w:p w:rsidR="00C157EC" w:rsidRDefault="00C157EC" w:rsidP="00381FB6">
      <w:pPr>
        <w:pStyle w:val="BodyText"/>
      </w:pPr>
      <w:r>
        <w:t xml:space="preserve">Because proportions are being estimated by the regression model, and proportions by definition are numbers between 0 and 1, a special functional form called a fractional </w:t>
      </w:r>
      <w:proofErr w:type="spellStart"/>
      <w:r>
        <w:t>logit</w:t>
      </w:r>
      <w:proofErr w:type="spellEnd"/>
      <w:r>
        <w:t xml:space="preserve"> model was used. Predicted outcomes from </w:t>
      </w:r>
      <w:proofErr w:type="spellStart"/>
      <w:r>
        <w:t>logit</w:t>
      </w:r>
      <w:proofErr w:type="spellEnd"/>
      <w:r>
        <w:t xml:space="preserve"> models are constrained to be between 0 and 1. In this case the model is a fractional </w:t>
      </w:r>
      <w:proofErr w:type="spellStart"/>
      <w:r>
        <w:t>logit</w:t>
      </w:r>
      <w:proofErr w:type="spellEnd"/>
      <w:r>
        <w:t xml:space="preserve"> model because the outcome variable is a proportion rather than a binary categorical variable.</w:t>
      </w:r>
    </w:p>
    <w:p w:rsidR="00C157EC" w:rsidRPr="00381FB6" w:rsidRDefault="00C157EC" w:rsidP="00381FB6">
      <w:pPr>
        <w:pStyle w:val="Heading4NoTOC"/>
      </w:pPr>
      <w:r w:rsidRPr="00381FB6">
        <w:t>Supply</w:t>
      </w:r>
    </w:p>
    <w:p w:rsidR="00C157EC" w:rsidRDefault="00C157EC" w:rsidP="00381FB6">
      <w:pPr>
        <w:pStyle w:val="BodyText"/>
      </w:pPr>
      <w:r>
        <w:t xml:space="preserve">As </w:t>
      </w:r>
      <w:r w:rsidR="00461E17">
        <w:t>with the supply projections in Research Q</w:t>
      </w:r>
      <w:r>
        <w:t>uestion 2, the estimation of supply was based on teacher FTEs, rather than counts of teachers.</w:t>
      </w:r>
    </w:p>
    <w:p w:rsidR="00C157EC" w:rsidRPr="00381FB6" w:rsidRDefault="00C157EC" w:rsidP="00381FB6">
      <w:pPr>
        <w:pStyle w:val="Heading4NoTOC"/>
      </w:pPr>
      <w:r w:rsidRPr="00381FB6">
        <w:t>Total Supply by Program Area</w:t>
      </w:r>
    </w:p>
    <w:p w:rsidR="00C157EC" w:rsidRDefault="00C157EC" w:rsidP="00381FB6">
      <w:pPr>
        <w:pStyle w:val="BodyText"/>
      </w:pPr>
      <w:r>
        <w:t xml:space="preserve">The projected supply of teachers by program area is defined as the number of teacher FTEs in different program area groups. These projections were created using regression analysis </w:t>
      </w:r>
      <w:r w:rsidRPr="00556A2B">
        <w:t xml:space="preserve">to forecast </w:t>
      </w:r>
      <w:r>
        <w:t>the number of teachers in each program area category in future years</w:t>
      </w:r>
      <w:r w:rsidRPr="00556A2B">
        <w:t>.</w:t>
      </w:r>
      <w:r>
        <w:t xml:space="preserve"> Specifically, FTE counts by these categories were modeled as a function of a yearly time trend, DSAC region, an interaction between the time trend and region, the total number of teachers, the percentage of students receiving free or reduced-price lunch, the percentages of African-American and Hispanic students, the total number of teachers interacting with the three student characteristic percentages, and whether or not a district was vocational/technical. The model is presented in </w:t>
      </w:r>
      <w:r w:rsidR="0027264A">
        <w:t>Box</w:t>
      </w:r>
      <w:r>
        <w:t xml:space="preserve"> A</w:t>
      </w:r>
      <w:r w:rsidR="0027264A">
        <w:t>5</w:t>
      </w:r>
      <w:r>
        <w:t>.</w:t>
      </w:r>
    </w:p>
    <w:p w:rsidR="00C157EC" w:rsidRDefault="0027264A" w:rsidP="00381FB6">
      <w:pPr>
        <w:pStyle w:val="ExhibitTitle"/>
      </w:pPr>
      <w:r>
        <w:t>Box</w:t>
      </w:r>
      <w:r w:rsidR="00C157EC" w:rsidRPr="00876AB1">
        <w:t xml:space="preserve"> </w:t>
      </w:r>
      <w:r w:rsidR="00C157EC">
        <w:t>A</w:t>
      </w:r>
      <w:r>
        <w:t>5</w:t>
      </w:r>
      <w:r w:rsidR="00C157EC" w:rsidRPr="00876AB1">
        <w:t>.</w:t>
      </w:r>
      <w:r w:rsidR="00C157EC">
        <w:t xml:space="preserve"> </w:t>
      </w:r>
      <w:r w:rsidR="00C157EC" w:rsidRPr="00DC7CBA">
        <w:t xml:space="preserve">Model Used to </w:t>
      </w:r>
      <w:r w:rsidR="00C157EC">
        <w:t>Project Supply by Program Area Categories</w:t>
      </w:r>
    </w:p>
    <w:p w:rsidR="00C157EC" w:rsidRDefault="002555E4" w:rsidP="00381FB6">
      <w:pPr>
        <w:pStyle w:val="FigurePlacement"/>
      </w:pPr>
      <w:r>
        <w:rPr>
          <w:noProof/>
        </w:rPr>
      </w:r>
      <w:r>
        <w:rPr>
          <w:noProof/>
        </w:rPr>
        <w:pict>
          <v:shape id="Text Box 100" o:spid="_x0000_s1047" type="#_x0000_t202" style="width:450.95pt;height:60.45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Pr="00B24BF3" w:rsidRDefault="009C4B08" w:rsidP="00C157EC">
                  <w:r w:rsidRPr="0044505A">
                    <w:rPr>
                      <w:b/>
                      <w:i/>
                    </w:rPr>
                    <w:t>FTEs by Subject</w:t>
                  </w:r>
                  <w:r w:rsidRPr="0044505A">
                    <w:rPr>
                      <w:b/>
                    </w:rPr>
                    <w:t xml:space="preserve"> </w:t>
                  </w:r>
                  <w:r w:rsidRPr="0044505A">
                    <w:rPr>
                      <w:b/>
                      <w:i/>
                    </w:rPr>
                    <w:t>or Program Area</w:t>
                  </w:r>
                  <w:r w:rsidRPr="0044505A">
                    <w:rPr>
                      <w:b/>
                    </w:rPr>
                    <w:t xml:space="preserve"> </w:t>
                  </w:r>
                  <w:r w:rsidRPr="0044505A">
                    <w:rPr>
                      <w:b/>
                      <w:i/>
                    </w:rPr>
                    <w:t>Category</w:t>
                  </w:r>
                  <w:r w:rsidRPr="00492587">
                    <w:rPr>
                      <w:i/>
                    </w:rPr>
                    <w:t xml:space="preserve"> = f(Time Trend, </w:t>
                  </w:r>
                  <w:r>
                    <w:rPr>
                      <w:i/>
                    </w:rPr>
                    <w:t>Region, Time X Region, Total Teachers, % Free Lunch, % African American, % Hispanic, % Free Lunch X Total Teacher, % African American X Total Teacher, % Hispanic X Total Teacher, Vocational/Technical</w:t>
                  </w:r>
                  <w:r w:rsidRPr="00492587">
                    <w:rPr>
                      <w:i/>
                    </w:rPr>
                    <w:t>)</w:t>
                  </w:r>
                </w:p>
              </w:txbxContent>
            </v:textbox>
            <w10:wrap type="none"/>
            <w10:anchorlock/>
          </v:shape>
        </w:pict>
      </w:r>
    </w:p>
    <w:p w:rsidR="00C157EC" w:rsidRDefault="00C157EC" w:rsidP="00381FB6">
      <w:pPr>
        <w:pStyle w:val="BodyText"/>
      </w:pPr>
      <w:r>
        <w:t xml:space="preserve">As with the aggregate supply model, the inclusion of the yearly time trend, DSAC region, and the interaction between these two variables is to account for the differential patterns of supply over time, across regions, and across regions over time. The inclusion of total teachers is to account for differences in supply across districts of varying size. The inclusion of the percentages of free/reduced-price lunch, African-American, and Hispanic students is to account for differences in supply across districts with varying rates of these types of students. The inclusion of the interaction between these student populations and total teachers is to allow the effect of these populations to vary by district size. In addition, because the numbers of teachers in various program area categories are often quite small or zero, a Poisson regression model was used to restrict predicted counts of teachers to be above zero. Finally, a variable indicating whether or not a district was </w:t>
      </w:r>
      <w:proofErr w:type="gramStart"/>
      <w:r>
        <w:t>vocational/technical</w:t>
      </w:r>
      <w:proofErr w:type="gramEnd"/>
      <w:r>
        <w:t xml:space="preserve"> was included to account for the inherent systemic differences in the numbers of caree</w:t>
      </w:r>
      <w:r w:rsidR="00276368">
        <w:t>r/</w:t>
      </w:r>
      <w:r>
        <w:t>vocational</w:t>
      </w:r>
      <w:r w:rsidR="00276368">
        <w:t>/</w:t>
      </w:r>
      <w:r>
        <w:t>technical teachers in these districts.</w:t>
      </w:r>
    </w:p>
    <w:p w:rsidR="00C157EC" w:rsidRPr="00EB58A1" w:rsidRDefault="00C157EC" w:rsidP="00A46F58">
      <w:pPr>
        <w:pStyle w:val="BodyText"/>
        <w:rPr>
          <w:rFonts w:cstheme="majorHAnsi"/>
        </w:rPr>
      </w:pPr>
      <w:r w:rsidRPr="00A46F58">
        <w:rPr>
          <w:rFonts w:asciiTheme="majorHAnsi" w:hAnsiTheme="majorHAnsi" w:cstheme="majorHAnsi"/>
          <w:b/>
        </w:rPr>
        <w:t>Retained Teachers</w:t>
      </w:r>
    </w:p>
    <w:p w:rsidR="00C157EC" w:rsidRDefault="00C157EC" w:rsidP="00381FB6">
      <w:pPr>
        <w:pStyle w:val="BodyText"/>
      </w:pPr>
      <w:r>
        <w:t xml:space="preserve">Due to the fact that data on FTEs of retained teachers by program area were not available, a multistep process was used to estimate these projections. The first step was to estimate statewide average retention rates by program area category. These estimates were created using a </w:t>
      </w:r>
      <w:r w:rsidRPr="00556A2B">
        <w:t>regression analysis to</w:t>
      </w:r>
      <w:r>
        <w:t xml:space="preserve"> estimate</w:t>
      </w:r>
      <w:r w:rsidRPr="00556A2B">
        <w:t xml:space="preserve"> </w:t>
      </w:r>
      <w:r>
        <w:t>an average retention rate for each category for historical years</w:t>
      </w:r>
      <w:r w:rsidRPr="00556A2B">
        <w:t>.</w:t>
      </w:r>
      <w:r>
        <w:t xml:space="preserve"> Specifically, the retention rate was modeled as a function of the proportion of teachers who are in the various program area categories.</w:t>
      </w:r>
      <w:r>
        <w:rPr>
          <w:rStyle w:val="FootnoteReference"/>
        </w:rPr>
        <w:footnoteReference w:id="41"/>
      </w:r>
      <w:r>
        <w:t xml:space="preserve">  Additional variables about the types of students in the districts were added to the model as they seemed to significantly influence estimated retention rates. The model used to predict the retention rate by race and age groups is shown in </w:t>
      </w:r>
      <w:r w:rsidR="0027264A">
        <w:t>Box</w:t>
      </w:r>
      <w:r>
        <w:t xml:space="preserve"> A</w:t>
      </w:r>
      <w:r w:rsidR="0027264A">
        <w:t>6</w:t>
      </w:r>
      <w:r>
        <w:t>.</w:t>
      </w:r>
    </w:p>
    <w:p w:rsidR="00C157EC" w:rsidRDefault="0027264A" w:rsidP="00381FB6">
      <w:pPr>
        <w:pStyle w:val="ExhibitTitle"/>
      </w:pPr>
      <w:r>
        <w:t>Box</w:t>
      </w:r>
      <w:r w:rsidR="00C157EC" w:rsidRPr="00130BFE">
        <w:t xml:space="preserve"> </w:t>
      </w:r>
      <w:r w:rsidR="00C157EC">
        <w:t>A</w:t>
      </w:r>
      <w:r>
        <w:t>6</w:t>
      </w:r>
      <w:r w:rsidR="00C157EC" w:rsidRPr="00130BFE">
        <w:t xml:space="preserve">. </w:t>
      </w:r>
      <w:r w:rsidR="00C157EC" w:rsidRPr="00DC7CBA">
        <w:t xml:space="preserve">Model Used to </w:t>
      </w:r>
      <w:r w:rsidR="00C157EC">
        <w:t>Project Retention Rates by Program Area Categories</w:t>
      </w:r>
    </w:p>
    <w:p w:rsidR="00C157EC" w:rsidRDefault="002555E4" w:rsidP="00381FB6">
      <w:pPr>
        <w:pStyle w:val="FigurePlacement"/>
      </w:pPr>
      <w:r>
        <w:rPr>
          <w:noProof/>
        </w:rPr>
      </w:r>
      <w:r>
        <w:rPr>
          <w:noProof/>
        </w:rPr>
        <w:pict>
          <v:shape id="Text Box 10" o:spid="_x0000_s1046" type="#_x0000_t202" style="width:450.95pt;height:48.2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Pr="00754EFB" w:rsidRDefault="009C4B08" w:rsidP="00C157EC">
                  <w:pPr>
                    <w:rPr>
                      <w:i/>
                    </w:rPr>
                  </w:pPr>
                  <w:r w:rsidRPr="00146F75">
                    <w:rPr>
                      <w:b/>
                      <w:i/>
                    </w:rPr>
                    <w:t>Retention rate</w:t>
                  </w:r>
                  <w:r w:rsidRPr="007A44D5">
                    <w:rPr>
                      <w:i/>
                    </w:rPr>
                    <w:t xml:space="preserve"> </w:t>
                  </w:r>
                  <w:r w:rsidRPr="00146F75">
                    <w:rPr>
                      <w:b/>
                      <w:i/>
                    </w:rPr>
                    <w:t xml:space="preserve">by </w:t>
                  </w:r>
                  <w:r>
                    <w:rPr>
                      <w:b/>
                      <w:i/>
                    </w:rPr>
                    <w:t>program area</w:t>
                  </w:r>
                  <w:r w:rsidRPr="007A44D5">
                    <w:rPr>
                      <w:i/>
                    </w:rPr>
                    <w:t xml:space="preserve">= </w:t>
                  </w:r>
                  <w:proofErr w:type="gramStart"/>
                  <w:r w:rsidRPr="007A44D5">
                    <w:rPr>
                      <w:i/>
                    </w:rPr>
                    <w:t>f(</w:t>
                  </w:r>
                  <w:proofErr w:type="gramEnd"/>
                  <w:r>
                    <w:rPr>
                      <w:i/>
                    </w:rPr>
                    <w:t>% special education</w:t>
                  </w:r>
                  <w:r w:rsidRPr="007A44D5">
                    <w:rPr>
                      <w:i/>
                    </w:rPr>
                    <w:t xml:space="preserve">, </w:t>
                  </w:r>
                  <w:r>
                    <w:rPr>
                      <w:i/>
                    </w:rPr>
                    <w:t>% CTE</w:t>
                  </w:r>
                  <w:r w:rsidRPr="007A44D5">
                    <w:rPr>
                      <w:i/>
                    </w:rPr>
                    <w:t xml:space="preserve">, </w:t>
                  </w:r>
                  <w:r>
                    <w:rPr>
                      <w:i/>
                    </w:rPr>
                    <w:t>% ELL</w:t>
                  </w:r>
                  <w:r w:rsidRPr="007A44D5">
                    <w:rPr>
                      <w:i/>
                    </w:rPr>
                    <w:t xml:space="preserve">, </w:t>
                  </w:r>
                  <w:r>
                    <w:rPr>
                      <w:i/>
                    </w:rPr>
                    <w:t>LEP student %, special education student %, Vocational/Technical)</w:t>
                  </w:r>
                </w:p>
              </w:txbxContent>
            </v:textbox>
            <w10:wrap type="none"/>
            <w10:anchorlock/>
          </v:shape>
        </w:pict>
      </w:r>
    </w:p>
    <w:p w:rsidR="00C157EC" w:rsidRDefault="00C157EC" w:rsidP="00381FB6">
      <w:pPr>
        <w:pStyle w:val="BodyText"/>
      </w:pPr>
      <w:r>
        <w:t xml:space="preserve">Because the retention rates are proportions, fractional </w:t>
      </w:r>
      <w:proofErr w:type="spellStart"/>
      <w:r>
        <w:t>logit</w:t>
      </w:r>
      <w:proofErr w:type="spellEnd"/>
      <w:r>
        <w:t xml:space="preserve"> models were used (previously described earlier in this section). Using this model, the retention rate for each group was estimated by predicting the retention rate of a hypothetical district if all teachers were in a particular program area. These estimated retention rates for hypothetical districts represent the estimated statewide average retention rates for teachers within a particular program area category.</w:t>
      </w:r>
    </w:p>
    <w:p w:rsidR="00C157EC" w:rsidRDefault="00C157EC" w:rsidP="00381FB6">
      <w:pPr>
        <w:pStyle w:val="BodyText"/>
      </w:pPr>
      <w:r>
        <w:t>Once average retention rates were calculated, the number of retained teachers in each district was estimated by applying the average retention rate to FTEs of teachers in the given program area. The total estimated retention was calculated by adding up the estimated retained FTEs across the categories. The aggregated estimates were then adjusted using a ratio of the estimated aggregated retention counts to actual retention measured in FTEs.</w:t>
      </w:r>
      <w:r>
        <w:rPr>
          <w:rStyle w:val="FootnoteReference"/>
        </w:rPr>
        <w:footnoteReference w:id="42"/>
      </w:r>
      <w:r>
        <w:t xml:space="preserve"> For example, if the sum of the estimated retained FTEs across program area categories in a given district was higher than the actual retained FTEs, then the estimated retention in each category was decreased according to the calculated ratio, such that the sum of retained FTEs across categories equaled the actual retained FTEs as shown in the data. Occasionally, this method resulted in a larger number of retained FTEs than total FTEs for a given category with a high retention rate. When this occurred, the estimated FTEs retained were capped at the total FTEs for the category, and the additional number or retained FTEs were reapportioned to categories of teachers with lower retention rates.</w:t>
      </w:r>
    </w:p>
    <w:p w:rsidR="00C157EC" w:rsidRDefault="00C157EC" w:rsidP="00381FB6">
      <w:pPr>
        <w:pStyle w:val="BodyText"/>
      </w:pPr>
      <w:r>
        <w:t>Once retention by program area for each district was estimated, the following Poisson regression, similar to tha</w:t>
      </w:r>
      <w:r w:rsidR="00461E17">
        <w:t>t used to predict retention in Research Q</w:t>
      </w:r>
      <w:r>
        <w:t xml:space="preserve">uestion 2, was used to predict the number retained by program area categories for future years. The model is presented in </w:t>
      </w:r>
      <w:r w:rsidR="0027264A">
        <w:t>Box</w:t>
      </w:r>
      <w:r>
        <w:t xml:space="preserve"> A</w:t>
      </w:r>
      <w:r w:rsidR="0027264A">
        <w:t>7</w:t>
      </w:r>
      <w:r>
        <w:t>.</w:t>
      </w:r>
    </w:p>
    <w:p w:rsidR="00C157EC" w:rsidRDefault="0027264A" w:rsidP="00381FB6">
      <w:pPr>
        <w:pStyle w:val="ExhibitTitle"/>
      </w:pPr>
      <w:r>
        <w:t>Box</w:t>
      </w:r>
      <w:r w:rsidR="00C157EC" w:rsidRPr="00130BFE">
        <w:t xml:space="preserve"> </w:t>
      </w:r>
      <w:r w:rsidR="00C157EC">
        <w:t>A</w:t>
      </w:r>
      <w:r>
        <w:t>7</w:t>
      </w:r>
      <w:r w:rsidR="00C157EC" w:rsidRPr="00130BFE">
        <w:t>.</w:t>
      </w:r>
      <w:r w:rsidR="00C157EC">
        <w:t xml:space="preserve"> </w:t>
      </w:r>
      <w:r w:rsidR="00C157EC" w:rsidRPr="00DC7CBA">
        <w:t xml:space="preserve">Model Used to </w:t>
      </w:r>
      <w:r w:rsidR="00C157EC">
        <w:t>Project Retained Teachers by Program Area Categories</w:t>
      </w:r>
    </w:p>
    <w:p w:rsidR="00C157EC" w:rsidRDefault="002555E4" w:rsidP="00381FB6">
      <w:pPr>
        <w:pStyle w:val="FigurePlacement"/>
      </w:pPr>
      <w:r>
        <w:rPr>
          <w:noProof/>
        </w:rPr>
      </w:r>
      <w:r>
        <w:rPr>
          <w:noProof/>
        </w:rPr>
        <w:pict>
          <v:shape id="Text Box 224" o:spid="_x0000_s1045" type="#_x0000_t202" style="width:450.95pt;height:67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Pr="00B24BF3" w:rsidRDefault="009C4B08" w:rsidP="00C157EC">
                  <w:r w:rsidRPr="00146F75">
                    <w:rPr>
                      <w:b/>
                      <w:i/>
                    </w:rPr>
                    <w:t xml:space="preserve">Retained FTEs By </w:t>
                  </w:r>
                  <w:r>
                    <w:rPr>
                      <w:b/>
                      <w:i/>
                    </w:rPr>
                    <w:t>Program Area</w:t>
                  </w:r>
                  <w:r>
                    <w:rPr>
                      <w:i/>
                    </w:rPr>
                    <w:t xml:space="preserve"> = f(Time Trend, Region, Time X Region, Total Teachers, % Free Lunch, % Free Lunch X Total Teachers, Total African-American Teacher Count, Time X Total African-American Teacher Count, Total Hispanic Teacher Count, Time X Total Hispanic Teacher Count, Vocational/Technical</w:t>
                  </w:r>
                  <w:r w:rsidRPr="00492587">
                    <w:rPr>
                      <w:i/>
                    </w:rPr>
                    <w:t>)</w:t>
                  </w:r>
                </w:p>
              </w:txbxContent>
            </v:textbox>
            <w10:wrap type="none"/>
            <w10:anchorlock/>
          </v:shape>
        </w:pict>
      </w:r>
    </w:p>
    <w:p w:rsidR="00C157EC" w:rsidRDefault="00C157EC" w:rsidP="00381FB6">
      <w:pPr>
        <w:pStyle w:val="BodyText"/>
      </w:pPr>
      <w:r>
        <w:t>As with the aggregate retained teachers model, a yearly time trend, DSAC region, and the interaction between these two variables are included so that the models can account for differential patterns of retained teachers over time, across regions, and across regions over time. The total number of teachers over time was included so that the differences across districts of varying size can be accounted for in the models. The inclusion of the percentage of free/reduced-price lunch students helped to account for differences across districts with varying rates of student poverty. The inclusion of the interaction between students in poverty and total teachers allows the effect of students in poverty to vary by district size. The overall FTEs of African-American and Hispanic teachers also was included for the model, predicting retention to account for districts with unusually high or low numbers of minority teachers, such as Boston. Finally, total teachers and minority teachers were log transformed in the above model to improve overall fit.</w:t>
      </w:r>
    </w:p>
    <w:p w:rsidR="00C157EC" w:rsidRDefault="00C157EC" w:rsidP="00381FB6">
      <w:pPr>
        <w:pStyle w:val="Heading3NoTOC"/>
      </w:pPr>
      <w:bookmarkStart w:id="147" w:name="_Toc436724311"/>
      <w:r>
        <w:t>Research Question 4: Demand and Supply by Race and Age Categories</w:t>
      </w:r>
      <w:bookmarkEnd w:id="147"/>
    </w:p>
    <w:p w:rsidR="00C157EC" w:rsidRDefault="00C157EC" w:rsidP="00381FB6">
      <w:pPr>
        <w:pStyle w:val="BodyText"/>
      </w:pPr>
      <w:r>
        <w:t>Demand and supply projections by race and age categories were estimated using methods</w:t>
      </w:r>
      <w:r w:rsidR="00461E17">
        <w:t xml:space="preserve"> similar to those described in Research Q</w:t>
      </w:r>
      <w:r>
        <w:t>uestion 3, although additional analyses of supply subcomponents also were conducted. What follows is a detailed description of these methods.</w:t>
      </w:r>
    </w:p>
    <w:p w:rsidR="00C157EC" w:rsidRPr="00264238" w:rsidRDefault="00C157EC" w:rsidP="00381FB6">
      <w:pPr>
        <w:pStyle w:val="Heading4NoTOC"/>
      </w:pPr>
      <w:r w:rsidRPr="00264238">
        <w:t>Demand</w:t>
      </w:r>
    </w:p>
    <w:p w:rsidR="00C157EC" w:rsidRDefault="00C157EC" w:rsidP="00381FB6">
      <w:pPr>
        <w:pStyle w:val="BodyText"/>
      </w:pPr>
      <w:r>
        <w:t>Demand projections by race and age were calculated by first projecting the proportions of teachers in the various race and age categories over time, and then applying those projected proportions to the aggregate proj</w:t>
      </w:r>
      <w:r w:rsidR="00461E17">
        <w:t>ections of demand estimated in Research Q</w:t>
      </w:r>
      <w:r>
        <w:t xml:space="preserve">uestion 1. These projections were created using </w:t>
      </w:r>
      <w:r w:rsidRPr="00556A2B">
        <w:t xml:space="preserve">regression analysis to forecast </w:t>
      </w:r>
      <w:r>
        <w:t>the proportion of teachers in each race and age category in future years</w:t>
      </w:r>
      <w:r w:rsidRPr="00556A2B">
        <w:t>.</w:t>
      </w:r>
      <w:r>
        <w:t xml:space="preserve"> Specifically, this proportion was estimated as a function of a yearly time trend, DSAC region, the time trend interacted with the region, the total number of students in the district, the percentage of students who receive free</w:t>
      </w:r>
      <w:r w:rsidR="00BD7B11">
        <w:t xml:space="preserve"> or </w:t>
      </w:r>
      <w:r>
        <w:t xml:space="preserve">reduced-price lunch, the percentages of students who are African American and Hispanic, district locale (city, suburb, town, or rural), and a dummy variable for the Boston Public Schools district. The model is presented in </w:t>
      </w:r>
      <w:r w:rsidR="004110D9">
        <w:t>Box</w:t>
      </w:r>
      <w:r>
        <w:t xml:space="preserve"> A</w:t>
      </w:r>
      <w:r w:rsidR="004110D9">
        <w:t>8</w:t>
      </w:r>
      <w:r>
        <w:t>.</w:t>
      </w:r>
    </w:p>
    <w:p w:rsidR="00C157EC" w:rsidRDefault="004110D9" w:rsidP="00381FB6">
      <w:pPr>
        <w:pStyle w:val="ExhibitTitle"/>
      </w:pPr>
      <w:r>
        <w:t>Box</w:t>
      </w:r>
      <w:r w:rsidR="00C157EC" w:rsidRPr="00705B83">
        <w:t xml:space="preserve"> </w:t>
      </w:r>
      <w:r w:rsidR="00C157EC">
        <w:t>A</w:t>
      </w:r>
      <w:r>
        <w:t>8</w:t>
      </w:r>
      <w:r w:rsidR="00C157EC" w:rsidRPr="00705B83">
        <w:t>.</w:t>
      </w:r>
      <w:r w:rsidR="00C157EC">
        <w:t xml:space="preserve"> </w:t>
      </w:r>
      <w:r w:rsidR="00C157EC" w:rsidRPr="00DC7CBA">
        <w:t xml:space="preserve">Model Used to Project </w:t>
      </w:r>
      <w:r w:rsidR="00C157EC">
        <w:t>the Proportion of Teachers by Race and Age Categories</w:t>
      </w:r>
    </w:p>
    <w:p w:rsidR="00C157EC" w:rsidRDefault="002555E4" w:rsidP="00381FB6">
      <w:pPr>
        <w:pStyle w:val="FigurePlacement"/>
      </w:pPr>
      <w:r>
        <w:rPr>
          <w:noProof/>
        </w:rPr>
      </w:r>
      <w:r>
        <w:rPr>
          <w:noProof/>
        </w:rPr>
        <w:pict>
          <v:shape id="Text Box 101" o:spid="_x0000_s1044" type="#_x0000_t202" style="width:450.95pt;height:39.75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Default="009C4B08" w:rsidP="00C157EC">
                  <w:pPr>
                    <w:rPr>
                      <w:i/>
                    </w:rPr>
                  </w:pPr>
                  <w:r w:rsidRPr="0044505A">
                    <w:rPr>
                      <w:b/>
                      <w:i/>
                    </w:rPr>
                    <w:t>Proportion of Teachers in Given Category</w:t>
                  </w:r>
                  <w:r w:rsidRPr="00492587">
                    <w:rPr>
                      <w:i/>
                    </w:rPr>
                    <w:t xml:space="preserve"> = f(Time Trend, </w:t>
                  </w:r>
                  <w:r>
                    <w:rPr>
                      <w:i/>
                    </w:rPr>
                    <w:t>Region ,Time X Region, Enrollment, % Free Lunch, % African American, % Hispanic, Locale, Boston</w:t>
                  </w:r>
                  <w:r w:rsidRPr="00492587">
                    <w:rPr>
                      <w:i/>
                    </w:rPr>
                    <w:t>)</w:t>
                  </w:r>
                </w:p>
                <w:p w:rsidR="009C4B08" w:rsidRPr="00B24BF3" w:rsidRDefault="009C4B08" w:rsidP="00C157EC"/>
              </w:txbxContent>
            </v:textbox>
            <w10:wrap type="none"/>
            <w10:anchorlock/>
          </v:shape>
        </w:pict>
      </w:r>
    </w:p>
    <w:p w:rsidR="00C157EC" w:rsidRDefault="00C157EC" w:rsidP="00381FB6">
      <w:pPr>
        <w:pStyle w:val="BodyText"/>
      </w:pPr>
      <w:r>
        <w:t>The inclusion of the time trend, DSAC region, and the interaction between these two variables is to account for the differential patterns of supply over time, across regions, and across regions over time. Enrollment and its square are included to account for the differences in supply across districts of varying sizes and for the possibility that this relationship is nonlinear. The inclusion of the percentage of free/reduced-price lunch students and minority students is to account for differences in supply across districts with varying rates of these types of students. The locale variable is included to account for differences in the level of</w:t>
      </w:r>
      <w:r w:rsidR="00A4614C">
        <w:t xml:space="preserve"> relative district </w:t>
      </w:r>
      <w:proofErr w:type="spellStart"/>
      <w:r w:rsidR="00A4614C">
        <w:t>urbanicity</w:t>
      </w:r>
      <w:proofErr w:type="spellEnd"/>
      <w:r w:rsidR="00A4614C">
        <w:t xml:space="preserve">. </w:t>
      </w:r>
      <w:r>
        <w:t xml:space="preserve">Even though region and locale were included, the models did not do a particularly good job of predicting proportions for Boston—particularly for minority teachers. As such, a dummy variable was included for Boston. Because proportions serve as the outcome being estimated by the regression model, a special functional form called a fractional </w:t>
      </w:r>
      <w:proofErr w:type="spellStart"/>
      <w:r>
        <w:t>logit</w:t>
      </w:r>
      <w:proofErr w:type="spellEnd"/>
      <w:r>
        <w:t xml:space="preserve"> model was used. </w:t>
      </w:r>
    </w:p>
    <w:p w:rsidR="00C157EC" w:rsidRPr="00381FB6" w:rsidRDefault="00C157EC" w:rsidP="00381FB6">
      <w:pPr>
        <w:pStyle w:val="Heading4NoTOC"/>
      </w:pPr>
      <w:r w:rsidRPr="00381FB6">
        <w:t>Supply</w:t>
      </w:r>
    </w:p>
    <w:p w:rsidR="00C157EC" w:rsidRDefault="00C157EC" w:rsidP="00381FB6">
      <w:pPr>
        <w:pStyle w:val="BodyText"/>
      </w:pPr>
      <w:r>
        <w:t xml:space="preserve">As </w:t>
      </w:r>
      <w:r w:rsidR="00461E17">
        <w:t>with the supply projections in Research Q</w:t>
      </w:r>
      <w:r>
        <w:t xml:space="preserve">uestion 1, the estimation of supply was based on teacher FTEs, rather than teacher counts. </w:t>
      </w:r>
      <w:r w:rsidRPr="004C683D">
        <w:rPr>
          <w:rStyle w:val="BodyTextChar"/>
          <w:rFonts w:eastAsia="Perpetua"/>
        </w:rPr>
        <w:t>Subcomponents of supply</w:t>
      </w:r>
      <w:r>
        <w:rPr>
          <w:rStyle w:val="BodyTextChar"/>
          <w:rFonts w:eastAsia="Perpetua"/>
        </w:rPr>
        <w:t>—</w:t>
      </w:r>
      <w:r w:rsidRPr="004C683D">
        <w:rPr>
          <w:rStyle w:val="BodyTextChar"/>
          <w:rFonts w:eastAsia="Perpetua"/>
        </w:rPr>
        <w:t>retained, newly entering, and transferring teachers</w:t>
      </w:r>
      <w:r>
        <w:rPr>
          <w:rStyle w:val="BodyTextChar"/>
          <w:rFonts w:eastAsia="Perpetua"/>
        </w:rPr>
        <w:t>—</w:t>
      </w:r>
      <w:r w:rsidRPr="004C683D">
        <w:rPr>
          <w:rStyle w:val="BodyTextChar"/>
          <w:rFonts w:eastAsia="Perpetua"/>
        </w:rPr>
        <w:t xml:space="preserve">also </w:t>
      </w:r>
      <w:r>
        <w:rPr>
          <w:rStyle w:val="BodyTextChar"/>
          <w:rFonts w:eastAsia="Perpetua"/>
        </w:rPr>
        <w:t xml:space="preserve">were </w:t>
      </w:r>
      <w:r w:rsidRPr="004C683D">
        <w:rPr>
          <w:rStyle w:val="BodyTextChar"/>
          <w:rFonts w:eastAsia="Perpetua"/>
        </w:rPr>
        <w:t>estimated. Because the available data did not disaggregat</w:t>
      </w:r>
      <w:r>
        <w:rPr>
          <w:rStyle w:val="BodyTextChar"/>
          <w:rFonts w:eastAsia="Perpetua"/>
        </w:rPr>
        <w:t>e</w:t>
      </w:r>
      <w:r w:rsidRPr="004C683D">
        <w:rPr>
          <w:rStyle w:val="BodyTextChar"/>
          <w:rFonts w:eastAsia="Perpetua"/>
        </w:rPr>
        <w:t xml:space="preserve"> retained teachers and new entrants by race and age, additional steps were required to estimate these subcomponents of supply by race and age categories. As such, additional assumptions were made lending additional error to these projections. Because of the additional uncertainty in these measurements</w:t>
      </w:r>
      <w:r>
        <w:rPr>
          <w:rStyle w:val="BodyTextChar"/>
          <w:rFonts w:eastAsia="Perpetua"/>
        </w:rPr>
        <w:t>,</w:t>
      </w:r>
      <w:r w:rsidRPr="004C683D">
        <w:rPr>
          <w:rStyle w:val="BodyTextChar"/>
          <w:rFonts w:eastAsia="Perpetua"/>
        </w:rPr>
        <w:t xml:space="preserve"> we have chosen not to present the</w:t>
      </w:r>
      <w:r>
        <w:rPr>
          <w:rStyle w:val="BodyTextChar"/>
          <w:rFonts w:eastAsia="Perpetua"/>
        </w:rPr>
        <w:t xml:space="preserve"> results of these</w:t>
      </w:r>
      <w:r w:rsidRPr="004C683D">
        <w:rPr>
          <w:rStyle w:val="BodyTextChar"/>
          <w:rFonts w:eastAsia="Perpetua"/>
        </w:rPr>
        <w:t xml:space="preserve"> breakdowns in the main text. </w:t>
      </w:r>
    </w:p>
    <w:p w:rsidR="00C157EC" w:rsidRPr="00EB58A1" w:rsidRDefault="00C157EC" w:rsidP="00A46F58">
      <w:pPr>
        <w:pStyle w:val="BodyText"/>
        <w:rPr>
          <w:rFonts w:cstheme="majorHAnsi"/>
        </w:rPr>
      </w:pPr>
      <w:r w:rsidRPr="00A46F58">
        <w:rPr>
          <w:rFonts w:asciiTheme="majorHAnsi" w:hAnsiTheme="majorHAnsi" w:cstheme="majorHAnsi"/>
          <w:b/>
        </w:rPr>
        <w:t>Total Supply</w:t>
      </w:r>
    </w:p>
    <w:p w:rsidR="00C157EC" w:rsidRDefault="00C157EC" w:rsidP="00381FB6">
      <w:pPr>
        <w:pStyle w:val="BodyText"/>
      </w:pPr>
      <w:r>
        <w:t xml:space="preserve">The projected supply of teachers by race and age is defined as the number of FTEs in different race and age groups. These projections were created using regression analysis </w:t>
      </w:r>
      <w:r w:rsidRPr="00556A2B">
        <w:t xml:space="preserve">to forecast </w:t>
      </w:r>
      <w:r>
        <w:t>teacher FTEs in each race and age category in future years</w:t>
      </w:r>
      <w:r w:rsidRPr="00556A2B">
        <w:t>.</w:t>
      </w:r>
      <w:r>
        <w:t xml:space="preserve"> Specifically, teacher FTEs in each category were modeled as functions of a yearly time trend, DSAC region, an interaction between the time trend and region, the total number of teachers, the percentage of students receiving free</w:t>
      </w:r>
      <w:r w:rsidR="00BD7B11">
        <w:t xml:space="preserve"> or </w:t>
      </w:r>
      <w:r>
        <w:t xml:space="preserve">reduced-price lunch, percentages of African-American and Hispanic students, and the total number of teachers interacted with these three student characteristic percentages. The model is presented in </w:t>
      </w:r>
      <w:r w:rsidR="004110D9">
        <w:t>Box</w:t>
      </w:r>
      <w:r>
        <w:t xml:space="preserve"> A</w:t>
      </w:r>
      <w:r w:rsidR="004110D9">
        <w:t>9</w:t>
      </w:r>
      <w:r>
        <w:t>.</w:t>
      </w:r>
    </w:p>
    <w:p w:rsidR="00C157EC" w:rsidRDefault="004110D9" w:rsidP="00381FB6">
      <w:pPr>
        <w:pStyle w:val="ExhibitTitle"/>
      </w:pPr>
      <w:r>
        <w:t>Box</w:t>
      </w:r>
      <w:r w:rsidR="00C157EC" w:rsidRPr="00876AB1">
        <w:t xml:space="preserve"> </w:t>
      </w:r>
      <w:r w:rsidR="00C157EC">
        <w:t>A</w:t>
      </w:r>
      <w:r>
        <w:t>9</w:t>
      </w:r>
      <w:r w:rsidR="00C157EC" w:rsidRPr="00876AB1">
        <w:t>.</w:t>
      </w:r>
      <w:r w:rsidR="00C157EC">
        <w:t xml:space="preserve"> </w:t>
      </w:r>
      <w:r w:rsidR="00C157EC" w:rsidRPr="00DC7CBA">
        <w:t xml:space="preserve">Model Used to </w:t>
      </w:r>
      <w:r w:rsidR="00C157EC">
        <w:t>Project Supply by Race and Age Categories</w:t>
      </w:r>
    </w:p>
    <w:p w:rsidR="00C157EC" w:rsidRDefault="002555E4" w:rsidP="00381FB6">
      <w:pPr>
        <w:pStyle w:val="FigurePlacement"/>
      </w:pPr>
      <w:r>
        <w:rPr>
          <w:noProof/>
        </w:rPr>
      </w:r>
      <w:r>
        <w:rPr>
          <w:noProof/>
        </w:rPr>
        <w:pict>
          <v:shape id="Text Box 102" o:spid="_x0000_s1043" type="#_x0000_t202" style="width:450.95pt;height:53.6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Pr="00B24BF3" w:rsidRDefault="009C4B08" w:rsidP="00C157EC">
                  <w:r w:rsidRPr="0044505A">
                    <w:rPr>
                      <w:b/>
                      <w:i/>
                    </w:rPr>
                    <w:t>FTEs by Race or Age Category</w:t>
                  </w:r>
                  <w:r w:rsidRPr="00492587">
                    <w:rPr>
                      <w:i/>
                    </w:rPr>
                    <w:t xml:space="preserve"> = f(Time Trend, </w:t>
                  </w:r>
                  <w:r>
                    <w:rPr>
                      <w:i/>
                    </w:rPr>
                    <w:t>Region, Time X Region, Total Teachers, % Free Lunch, % African American, % Hispanic, % Free Lunch X Total Teacher, % African American X Total Teacher, % Hispanic X Total Teacher</w:t>
                  </w:r>
                  <w:r w:rsidRPr="00492587">
                    <w:rPr>
                      <w:i/>
                    </w:rPr>
                    <w:t>)</w:t>
                  </w:r>
                </w:p>
              </w:txbxContent>
            </v:textbox>
            <w10:wrap type="none"/>
            <w10:anchorlock/>
          </v:shape>
        </w:pict>
      </w:r>
    </w:p>
    <w:p w:rsidR="00C157EC" w:rsidRDefault="00C157EC" w:rsidP="00381FB6">
      <w:pPr>
        <w:pStyle w:val="BodyText"/>
      </w:pPr>
      <w:r>
        <w:t>As with the aggregate supply model, the inclusion of the time trend, DSAC region and the interaction between these two variables is to account for the differential patterns of supply over time, across regions, and across regions over time. Total teachers are included to account for differences in supply across districts of varying size. Inclusion of percentages of free/reduced-price lunch students and minority students is to account for differences in supply across districts with varying rates of these types of students. Inclusion of the interaction between these student populations and total teachers is to allow the effect of these student populations to vary by district size. Finally, because the numbers of minority teachers and teachers in various age categories are often quite small or zero, a Poisson regression model was used to restrict predicted counts of teachers by age and race categories to be above zero.</w:t>
      </w:r>
    </w:p>
    <w:p w:rsidR="00C157EC" w:rsidRPr="00EB58A1" w:rsidRDefault="00C157EC" w:rsidP="00A46F58">
      <w:pPr>
        <w:pStyle w:val="BodyText"/>
        <w:rPr>
          <w:rFonts w:cstheme="majorHAnsi"/>
        </w:rPr>
      </w:pPr>
      <w:bookmarkStart w:id="148" w:name="_Toc435614404"/>
      <w:bookmarkEnd w:id="146"/>
      <w:r w:rsidRPr="00A46F58">
        <w:rPr>
          <w:rFonts w:asciiTheme="majorHAnsi" w:hAnsiTheme="majorHAnsi" w:cstheme="majorHAnsi"/>
          <w:b/>
        </w:rPr>
        <w:t>Retained Teachers</w:t>
      </w:r>
      <w:bookmarkEnd w:id="148"/>
    </w:p>
    <w:p w:rsidR="00C157EC" w:rsidRDefault="00C157EC" w:rsidP="00381FB6">
      <w:pPr>
        <w:pStyle w:val="BodyText"/>
      </w:pPr>
      <w:r>
        <w:t xml:space="preserve">Due to the fact that data on FTEs of retained teachers by race and age are not available, a multistep process was used to estimate these projections. The first step was to estimate statewide average retention rates by race and age category. These estimates were created using a </w:t>
      </w:r>
      <w:r w:rsidRPr="00556A2B">
        <w:t>regression analysis to</w:t>
      </w:r>
      <w:r>
        <w:t xml:space="preserve"> estimate</w:t>
      </w:r>
      <w:r w:rsidRPr="00556A2B">
        <w:t xml:space="preserve"> </w:t>
      </w:r>
      <w:r>
        <w:t>an average retention rate for each race and age category for historical years</w:t>
      </w:r>
      <w:r w:rsidRPr="00556A2B">
        <w:t>.</w:t>
      </w:r>
      <w:r>
        <w:t xml:space="preserve"> Specifically, the retention rate was modeled as a function of the proportion of teachers who are in the various age and race categories.</w:t>
      </w:r>
      <w:r>
        <w:rPr>
          <w:rStyle w:val="FootnoteReference"/>
        </w:rPr>
        <w:footnoteReference w:id="43"/>
      </w:r>
      <w:r>
        <w:t xml:space="preserve"> Additional variables about the types of students in the districts were added to the model for race, as they seemed to significantly impact the estimated retention rates. The inclusion of additional variables did yield substantial changes to the estimated retention rates by age categories and therefore were excluded. The models used to predict the retention rate by race and age groups are shown in </w:t>
      </w:r>
      <w:r w:rsidR="004110D9">
        <w:t>Box</w:t>
      </w:r>
      <w:r>
        <w:t xml:space="preserve"> A</w:t>
      </w:r>
      <w:r w:rsidR="004110D9">
        <w:t>10</w:t>
      </w:r>
      <w:r>
        <w:t>.</w:t>
      </w:r>
    </w:p>
    <w:p w:rsidR="00C157EC" w:rsidRDefault="00F11661" w:rsidP="00381FB6">
      <w:pPr>
        <w:pStyle w:val="ExhibitTitle"/>
      </w:pPr>
      <w:r>
        <w:t>Box</w:t>
      </w:r>
      <w:r w:rsidR="00C157EC" w:rsidRPr="00130BFE">
        <w:t xml:space="preserve"> </w:t>
      </w:r>
      <w:r w:rsidR="00C157EC">
        <w:t>A</w:t>
      </w:r>
      <w:r w:rsidR="004110D9">
        <w:t>10</w:t>
      </w:r>
      <w:r w:rsidR="00C157EC" w:rsidRPr="00130BFE">
        <w:t xml:space="preserve">. </w:t>
      </w:r>
      <w:r w:rsidR="00C157EC" w:rsidRPr="00DC7CBA">
        <w:t>Model</w:t>
      </w:r>
      <w:r w:rsidR="00C157EC">
        <w:t>s</w:t>
      </w:r>
      <w:r w:rsidR="00C157EC" w:rsidRPr="00DC7CBA">
        <w:t xml:space="preserve"> Used to </w:t>
      </w:r>
      <w:r w:rsidR="00C157EC">
        <w:t>Project Retention Rates by Race and Age Categories</w:t>
      </w:r>
    </w:p>
    <w:p w:rsidR="00C157EC" w:rsidRDefault="002555E4" w:rsidP="00381FB6">
      <w:pPr>
        <w:pStyle w:val="FigurePlacement"/>
      </w:pPr>
      <w:r>
        <w:rPr>
          <w:noProof/>
        </w:rPr>
      </w:r>
      <w:r>
        <w:rPr>
          <w:noProof/>
        </w:rPr>
        <w:pict>
          <v:shape id="Text Box 89" o:spid="_x0000_s1042" type="#_x0000_t202" style="width:450.95pt;height:92.25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Default="009C4B08" w:rsidP="00C157EC">
                  <w:pPr>
                    <w:rPr>
                      <w:i/>
                    </w:rPr>
                  </w:pPr>
                  <w:r w:rsidRPr="0044505A">
                    <w:rPr>
                      <w:b/>
                      <w:i/>
                    </w:rPr>
                    <w:t xml:space="preserve">Retention </w:t>
                  </w:r>
                  <w:r>
                    <w:rPr>
                      <w:b/>
                      <w:i/>
                    </w:rPr>
                    <w:t>R</w:t>
                  </w:r>
                  <w:r w:rsidRPr="0044505A">
                    <w:rPr>
                      <w:b/>
                      <w:i/>
                    </w:rPr>
                    <w:t>ate</w:t>
                  </w:r>
                  <w:r w:rsidRPr="007A44D5">
                    <w:rPr>
                      <w:i/>
                    </w:rPr>
                    <w:t xml:space="preserve"> </w:t>
                  </w:r>
                  <w:r w:rsidRPr="0044505A">
                    <w:rPr>
                      <w:b/>
                      <w:i/>
                    </w:rPr>
                    <w:t xml:space="preserve">by </w:t>
                  </w:r>
                  <w:r>
                    <w:rPr>
                      <w:b/>
                      <w:i/>
                    </w:rPr>
                    <w:t>R</w:t>
                  </w:r>
                  <w:r w:rsidRPr="0044505A">
                    <w:rPr>
                      <w:b/>
                      <w:i/>
                    </w:rPr>
                    <w:t>ace</w:t>
                  </w:r>
                  <w:r w:rsidRPr="007A44D5">
                    <w:rPr>
                      <w:i/>
                    </w:rPr>
                    <w:t>= f(</w:t>
                  </w:r>
                  <w:r>
                    <w:rPr>
                      <w:i/>
                    </w:rPr>
                    <w:t xml:space="preserve">% </w:t>
                  </w:r>
                  <w:r w:rsidRPr="007A44D5">
                    <w:rPr>
                      <w:i/>
                    </w:rPr>
                    <w:t>African Am</w:t>
                  </w:r>
                  <w:r>
                    <w:rPr>
                      <w:i/>
                    </w:rPr>
                    <w:t>erican</w:t>
                  </w:r>
                  <w:r w:rsidRPr="007A44D5">
                    <w:rPr>
                      <w:i/>
                    </w:rPr>
                    <w:t xml:space="preserve">, </w:t>
                  </w:r>
                  <w:r>
                    <w:rPr>
                      <w:i/>
                    </w:rPr>
                    <w:t xml:space="preserve">% </w:t>
                  </w:r>
                  <w:r w:rsidRPr="007A44D5">
                    <w:rPr>
                      <w:i/>
                    </w:rPr>
                    <w:t xml:space="preserve">Asian, </w:t>
                  </w:r>
                  <w:r>
                    <w:rPr>
                      <w:i/>
                    </w:rPr>
                    <w:t xml:space="preserve">% </w:t>
                  </w:r>
                  <w:r w:rsidRPr="007A44D5">
                    <w:rPr>
                      <w:i/>
                    </w:rPr>
                    <w:t xml:space="preserve">Hispanic, </w:t>
                  </w:r>
                  <w:r>
                    <w:rPr>
                      <w:i/>
                    </w:rPr>
                    <w:t xml:space="preserve">% </w:t>
                  </w:r>
                  <w:r w:rsidRPr="007A44D5">
                    <w:rPr>
                      <w:i/>
                    </w:rPr>
                    <w:t>Am</w:t>
                  </w:r>
                  <w:r>
                    <w:rPr>
                      <w:i/>
                    </w:rPr>
                    <w:t>erican</w:t>
                  </w:r>
                  <w:r w:rsidRPr="007A44D5">
                    <w:rPr>
                      <w:i/>
                    </w:rPr>
                    <w:t xml:space="preserve"> Indian, </w:t>
                  </w:r>
                  <w:r>
                    <w:rPr>
                      <w:i/>
                    </w:rPr>
                    <w:t xml:space="preserve">% </w:t>
                  </w:r>
                  <w:r w:rsidRPr="007A44D5">
                    <w:rPr>
                      <w:i/>
                    </w:rPr>
                    <w:t>Hawaiian/Pac</w:t>
                  </w:r>
                  <w:r>
                    <w:rPr>
                      <w:i/>
                    </w:rPr>
                    <w:t>ific</w:t>
                  </w:r>
                  <w:r w:rsidRPr="007A44D5">
                    <w:rPr>
                      <w:i/>
                    </w:rPr>
                    <w:t xml:space="preserve"> Is</w:t>
                  </w:r>
                  <w:r>
                    <w:rPr>
                      <w:i/>
                    </w:rPr>
                    <w:t>lander</w:t>
                  </w:r>
                  <w:r w:rsidRPr="007A44D5">
                    <w:rPr>
                      <w:i/>
                    </w:rPr>
                    <w:t xml:space="preserve">, </w:t>
                  </w:r>
                  <w:r>
                    <w:rPr>
                      <w:i/>
                    </w:rPr>
                    <w:t xml:space="preserve">% </w:t>
                  </w:r>
                  <w:r w:rsidRPr="007A44D5">
                    <w:rPr>
                      <w:i/>
                    </w:rPr>
                    <w:t>Multiracial</w:t>
                  </w:r>
                  <w:r>
                    <w:rPr>
                      <w:i/>
                    </w:rPr>
                    <w:t>, African American Student %, Hispanic Student %, Free/Reduced Lunch Student %</w:t>
                  </w:r>
                  <w:r w:rsidRPr="007A44D5">
                    <w:rPr>
                      <w:i/>
                    </w:rPr>
                    <w:t>)</w:t>
                  </w:r>
                </w:p>
                <w:p w:rsidR="009C4B08" w:rsidRDefault="009C4B08" w:rsidP="00C157EC">
                  <w:pPr>
                    <w:rPr>
                      <w:i/>
                    </w:rPr>
                  </w:pPr>
                </w:p>
                <w:p w:rsidR="009C4B08" w:rsidRPr="00754EFB" w:rsidRDefault="009C4B08" w:rsidP="00C157EC">
                  <w:pPr>
                    <w:rPr>
                      <w:i/>
                    </w:rPr>
                  </w:pPr>
                  <w:r w:rsidRPr="0044505A">
                    <w:rPr>
                      <w:b/>
                      <w:i/>
                    </w:rPr>
                    <w:t xml:space="preserve">Retention </w:t>
                  </w:r>
                  <w:r>
                    <w:rPr>
                      <w:b/>
                      <w:i/>
                    </w:rPr>
                    <w:t>R</w:t>
                  </w:r>
                  <w:r w:rsidRPr="0044505A">
                    <w:rPr>
                      <w:b/>
                      <w:i/>
                    </w:rPr>
                    <w:t>ate</w:t>
                  </w:r>
                  <w:r w:rsidRPr="007A44D5">
                    <w:rPr>
                      <w:i/>
                    </w:rPr>
                    <w:t xml:space="preserve"> </w:t>
                  </w:r>
                  <w:r w:rsidRPr="0044505A">
                    <w:rPr>
                      <w:b/>
                      <w:i/>
                    </w:rPr>
                    <w:t xml:space="preserve">by </w:t>
                  </w:r>
                  <w:r>
                    <w:rPr>
                      <w:b/>
                      <w:i/>
                    </w:rPr>
                    <w:t>A</w:t>
                  </w:r>
                  <w:r w:rsidRPr="0044505A">
                    <w:rPr>
                      <w:b/>
                      <w:i/>
                    </w:rPr>
                    <w:t xml:space="preserve">ge </w:t>
                  </w:r>
                  <w:r>
                    <w:rPr>
                      <w:b/>
                      <w:i/>
                    </w:rPr>
                    <w:t>G</w:t>
                  </w:r>
                  <w:r w:rsidRPr="0044505A">
                    <w:rPr>
                      <w:b/>
                      <w:i/>
                    </w:rPr>
                    <w:t>roup</w:t>
                  </w:r>
                  <w:r>
                    <w:rPr>
                      <w:i/>
                    </w:rPr>
                    <w:t xml:space="preserve"> </w:t>
                  </w:r>
                  <w:r w:rsidRPr="007A44D5">
                    <w:rPr>
                      <w:i/>
                    </w:rPr>
                    <w:t>= f(</w:t>
                  </w:r>
                  <w:r>
                    <w:rPr>
                      <w:i/>
                    </w:rPr>
                    <w:t>% Age Under 26, % Age 26-32, % Age 33-40, % Age 41-48, % Age 57-64, % Age Over 64</w:t>
                  </w:r>
                  <w:r w:rsidRPr="007A44D5">
                    <w:rPr>
                      <w:i/>
                    </w:rPr>
                    <w:t>)</w:t>
                  </w:r>
                </w:p>
              </w:txbxContent>
            </v:textbox>
            <w10:wrap type="none"/>
            <w10:anchorlock/>
          </v:shape>
        </w:pict>
      </w:r>
    </w:p>
    <w:p w:rsidR="00C157EC" w:rsidRDefault="00C157EC" w:rsidP="00381FB6">
      <w:pPr>
        <w:pStyle w:val="BodyText"/>
      </w:pPr>
      <w:r>
        <w:t xml:space="preserve">Because the retention rates are proportions, fractional </w:t>
      </w:r>
      <w:proofErr w:type="spellStart"/>
      <w:r>
        <w:t>logit</w:t>
      </w:r>
      <w:proofErr w:type="spellEnd"/>
      <w:r>
        <w:t xml:space="preserve"> models were used. Using this model, the retention rates for each group were estimated by making predictions for a hypothetical district if all teachers were in a particular race or age category, while holding other covariates constant. These estimated retention rates for hypothetical districts represent the estimated statewide retention rates for teachers within a particular race or age category.</w:t>
      </w:r>
    </w:p>
    <w:p w:rsidR="00C157EC" w:rsidRDefault="00C157EC" w:rsidP="00381FB6">
      <w:pPr>
        <w:pStyle w:val="BodyText"/>
      </w:pPr>
      <w:r>
        <w:t>Once average retention rates were calculated, the number of retained teachers in each district was estimated by applying the average retention rate by race and age category to FTEs of teachers in the given category. The total estimated retention was calculated by adding up the estimated retained FTEs across the categories. The aggregated estimates were then adjusted using a ratio of the estimated aggregated retention counts to actual retention measured in FTEs.</w:t>
      </w:r>
      <w:r>
        <w:rPr>
          <w:rStyle w:val="FootnoteReference"/>
        </w:rPr>
        <w:footnoteReference w:id="44"/>
      </w:r>
      <w:r>
        <w:t xml:space="preserve"> The procedure for adjusting retention counts is presented in more detail in the description of</w:t>
      </w:r>
      <w:r w:rsidR="00461E17">
        <w:t xml:space="preserve"> retention by subject area for Research Q</w:t>
      </w:r>
      <w:r>
        <w:t xml:space="preserve">uestion 3 earlier in this appendix. </w:t>
      </w:r>
    </w:p>
    <w:p w:rsidR="00C157EC" w:rsidRDefault="00C157EC" w:rsidP="00381FB6">
      <w:pPr>
        <w:pStyle w:val="BodyText"/>
      </w:pPr>
      <w:r>
        <w:t>Once retention by race and age for each district was estimated, the following Poisson regression, similar to tha</w:t>
      </w:r>
      <w:r w:rsidR="00461E17">
        <w:t>t used to predict retention in Research Q</w:t>
      </w:r>
      <w:r>
        <w:t xml:space="preserve">uestion 2, was used to predict the number retained by race and age categories for future years. The model is presented in </w:t>
      </w:r>
      <w:r w:rsidR="004110D9">
        <w:t>Box</w:t>
      </w:r>
      <w:r>
        <w:t xml:space="preserve"> A</w:t>
      </w:r>
      <w:r w:rsidR="004110D9">
        <w:t>11</w:t>
      </w:r>
      <w:r>
        <w:t>.</w:t>
      </w:r>
    </w:p>
    <w:p w:rsidR="00C157EC" w:rsidRDefault="00F11661" w:rsidP="00381FB6">
      <w:pPr>
        <w:pStyle w:val="ExhibitTitle"/>
      </w:pPr>
      <w:r>
        <w:t>Box</w:t>
      </w:r>
      <w:r w:rsidR="00C157EC" w:rsidRPr="00130BFE">
        <w:t xml:space="preserve"> </w:t>
      </w:r>
      <w:r w:rsidR="00C157EC">
        <w:t>A</w:t>
      </w:r>
      <w:r w:rsidR="004110D9">
        <w:t>11</w:t>
      </w:r>
      <w:r w:rsidR="00C157EC" w:rsidRPr="00130BFE">
        <w:t>.</w:t>
      </w:r>
      <w:r w:rsidR="00C157EC">
        <w:t xml:space="preserve"> </w:t>
      </w:r>
      <w:r w:rsidR="00C157EC" w:rsidRPr="00DC7CBA">
        <w:t xml:space="preserve">Model Used to </w:t>
      </w:r>
      <w:r w:rsidR="00C157EC">
        <w:t>Project Retained Teachers by Race and Age Categories</w:t>
      </w:r>
    </w:p>
    <w:p w:rsidR="00C157EC" w:rsidRDefault="002555E4" w:rsidP="00381FB6">
      <w:pPr>
        <w:pStyle w:val="FigurePlacement"/>
      </w:pPr>
      <w:r>
        <w:rPr>
          <w:noProof/>
        </w:rPr>
      </w:r>
      <w:r>
        <w:rPr>
          <w:noProof/>
        </w:rPr>
        <w:pict>
          <v:shape id="Text Box 91" o:spid="_x0000_s1041" type="#_x0000_t202" style="width:450.95pt;height:35.25pt;visibility:visible;mso-wrap-style:square;mso-left-percent:-10001;mso-top-percent:-10001;mso-position-horizontal:absolute;mso-position-horizontal-relative:char;mso-position-vertical:absolute;mso-position-vertical-relative:line;mso-left-percent:-10001;mso-top-percent:-10001;v-text-anchor:middle">
            <v:textbox>
              <w:txbxContent>
                <w:p w:rsidR="009C4B08" w:rsidRDefault="009C4B08" w:rsidP="00C157EC">
                  <w:pPr>
                    <w:rPr>
                      <w:i/>
                    </w:rPr>
                  </w:pPr>
                  <w:r w:rsidRPr="0044505A">
                    <w:rPr>
                      <w:b/>
                      <w:i/>
                    </w:rPr>
                    <w:t>Retained FTEs By Race and Age</w:t>
                  </w:r>
                  <w:r>
                    <w:rPr>
                      <w:i/>
                    </w:rPr>
                    <w:t xml:space="preserve"> = </w:t>
                  </w:r>
                  <w:proofErr w:type="gramStart"/>
                  <w:r>
                    <w:rPr>
                      <w:i/>
                    </w:rPr>
                    <w:t>f(</w:t>
                  </w:r>
                  <w:proofErr w:type="gramEnd"/>
                  <w:r>
                    <w:rPr>
                      <w:i/>
                    </w:rPr>
                    <w:t>Time Trend, Region, Time X Region, Total Teachers, % Free Lunch, % Free Lunch X Total Teachers, Total Minority Teachers</w:t>
                  </w:r>
                  <w:r w:rsidRPr="00492587">
                    <w:rPr>
                      <w:i/>
                    </w:rPr>
                    <w:t>)</w:t>
                  </w:r>
                </w:p>
                <w:p w:rsidR="009C4B08" w:rsidRPr="00B24BF3" w:rsidRDefault="009C4B08" w:rsidP="00C157EC"/>
              </w:txbxContent>
            </v:textbox>
            <w10:wrap type="none"/>
            <w10:anchorlock/>
          </v:shape>
        </w:pict>
      </w:r>
    </w:p>
    <w:p w:rsidR="00C157EC" w:rsidRDefault="00C157EC" w:rsidP="00381FB6">
      <w:pPr>
        <w:pStyle w:val="BodyText"/>
      </w:pPr>
      <w:r>
        <w:t>As with the aggregate retained teachers model, the yearly time trend, DSAC region, and the interaction between these two variables are included so that the models can account for differential patterns of retained teachers over time, across regions, and across regions over time. The total number of teachers over time was included to control for the differences across districts of varying size. The inclusion of the percentage of free/reduced-price lunch students helped to account for differences across districts with varying rates of student poverty. The interaction between students in poverty and total teachers is included to allow for the effect of students in poverty to vary by district size. The overall FTEs of minority teachers also was included for the model predicting minority retention to account for districts with abnormally high or low numbers of minority teachers, such as Boston. Finally, total teachers and minority teachers were log transformed in the above model to improve overall fit.</w:t>
      </w:r>
    </w:p>
    <w:p w:rsidR="00C157EC" w:rsidRPr="00EB58A1" w:rsidRDefault="00C157EC" w:rsidP="00A46F58">
      <w:pPr>
        <w:pStyle w:val="BodyText"/>
        <w:rPr>
          <w:rFonts w:cstheme="majorHAnsi"/>
        </w:rPr>
      </w:pPr>
      <w:bookmarkStart w:id="149" w:name="_Toc435614405"/>
      <w:r w:rsidRPr="00A46F58">
        <w:rPr>
          <w:rFonts w:asciiTheme="majorHAnsi" w:hAnsiTheme="majorHAnsi" w:cstheme="majorHAnsi"/>
          <w:b/>
        </w:rPr>
        <w:t>New Entrants</w:t>
      </w:r>
      <w:bookmarkEnd w:id="149"/>
      <w:r w:rsidRPr="00A46F58">
        <w:rPr>
          <w:rFonts w:asciiTheme="majorHAnsi" w:hAnsiTheme="majorHAnsi" w:cstheme="majorHAnsi"/>
          <w:b/>
        </w:rPr>
        <w:t xml:space="preserve"> </w:t>
      </w:r>
    </w:p>
    <w:p w:rsidR="00C157EC" w:rsidRDefault="00C157EC" w:rsidP="00381FB6">
      <w:pPr>
        <w:pStyle w:val="BodyText"/>
      </w:pPr>
      <w:r>
        <w:t>As with retention, estimates for FTEs of new entrants by race and age first had to be calculated, as there were no data available for program completers or percentage employed by race and age.</w:t>
      </w:r>
    </w:p>
    <w:p w:rsidR="00C157EC" w:rsidRDefault="00C157EC" w:rsidP="00381FB6">
      <w:pPr>
        <w:pStyle w:val="BodyText"/>
      </w:pPr>
      <w:r>
        <w:t xml:space="preserve">Numbers of new entrants by race for particular </w:t>
      </w:r>
      <w:r w:rsidR="009C4B08">
        <w:t xml:space="preserve">sponsoring organizations </w:t>
      </w:r>
      <w:r>
        <w:t xml:space="preserve">were calculated using the average proportion of students by race enrolled in each </w:t>
      </w:r>
      <w:r w:rsidR="009C4B08">
        <w:t xml:space="preserve">organization </w:t>
      </w:r>
      <w:r>
        <w:t>from 2010</w:t>
      </w:r>
      <w:r w:rsidRPr="007E5E12">
        <w:t>–</w:t>
      </w:r>
      <w:r>
        <w:t>11 to 2012</w:t>
      </w:r>
      <w:r w:rsidRPr="007E5E12">
        <w:t>–</w:t>
      </w:r>
      <w:r>
        <w:t xml:space="preserve">13. Although the distribution of </w:t>
      </w:r>
      <w:r w:rsidR="009C4B08">
        <w:t xml:space="preserve">organizational </w:t>
      </w:r>
      <w:r>
        <w:t>enrollments across race does not perfectly reflect the distribution of education preparation program completers or new entrants by race, it is the best information at our disposal that can be used as a proxy. In addition, the proportion of new entrants by race estimated using the enrollment characteristics is similar to the estimates of proportions of new entrants by race in Massachusetts using the NCES Schools and Staffing Survey (SASS) data from 2011</w:t>
      </w:r>
      <w:r w:rsidRPr="007E5E12">
        <w:t>–</w:t>
      </w:r>
      <w:r>
        <w:t>12.</w:t>
      </w:r>
      <w:r>
        <w:rPr>
          <w:rStyle w:val="FootnoteReference"/>
        </w:rPr>
        <w:footnoteReference w:id="45"/>
      </w:r>
    </w:p>
    <w:p w:rsidR="00C157EC" w:rsidRDefault="00C157EC" w:rsidP="00381FB6">
      <w:pPr>
        <w:pStyle w:val="BodyText"/>
      </w:pPr>
      <w:r>
        <w:t xml:space="preserve">Once new entrants by race were determined by </w:t>
      </w:r>
      <w:r w:rsidR="003F4F9F">
        <w:t>organization</w:t>
      </w:r>
      <w:r>
        <w:t>, they were apportioned to dist</w:t>
      </w:r>
      <w:r w:rsidR="00461E17">
        <w:t>ricts in the same manner as in Research Q</w:t>
      </w:r>
      <w:r>
        <w:t>uestion 2. After determining the estimated historical counts of new entrants by race for each district, regression analysis was used to predict new entrants by race in future years using the same models used in the</w:t>
      </w:r>
      <w:r w:rsidR="00461E17">
        <w:t xml:space="preserve"> prediction of new entrants in Research Q</w:t>
      </w:r>
      <w:r>
        <w:t>uestion 2.</w:t>
      </w:r>
      <w:r>
        <w:rPr>
          <w:rStyle w:val="FootnoteReference"/>
        </w:rPr>
        <w:footnoteReference w:id="46"/>
      </w:r>
      <w:r>
        <w:t xml:space="preserve"> </w:t>
      </w:r>
    </w:p>
    <w:p w:rsidR="00C157EC" w:rsidRDefault="00C157EC" w:rsidP="00381FB6">
      <w:pPr>
        <w:pStyle w:val="BodyText"/>
      </w:pPr>
      <w:r>
        <w:t>The number of new entrants by age group was estimated using the state-aggregated proportion of teachers in given age categories with less than two years of experience generated from the SASS data. Age categories in the SASS data do not correspond to the age categories used in the ESE data made available for this report. Therefore, Excel was used to estimate a cumulative distribution function of the proportion of new entrants below a given age. The estimates of new entrants below a given age could then be used to estimate the proportion of new entrants in each age category. Additional documentation on this process is available upon request.</w:t>
      </w:r>
    </w:p>
    <w:p w:rsidR="00C157EC" w:rsidRDefault="00C157EC" w:rsidP="00381FB6">
      <w:pPr>
        <w:pStyle w:val="BodyText"/>
      </w:pPr>
      <w:r>
        <w:t>The average proportion of new entrants in each age category was applied to the estimated number of new entra</w:t>
      </w:r>
      <w:r w:rsidR="00461E17">
        <w:t>nts by district, calculated in Research Q</w:t>
      </w:r>
      <w:r>
        <w:t>uestion 2, to estimate the number of new entrants by age group. Because only statewide data were available on proportions of new entrants by age, the proportion of new entrants in each age category is assumed to be the same across all districts.</w:t>
      </w:r>
    </w:p>
    <w:p w:rsidR="00C157EC" w:rsidRDefault="00C157EC" w:rsidP="00381FB6">
      <w:pPr>
        <w:pStyle w:val="Heading3NoTOC"/>
      </w:pPr>
      <w:bookmarkStart w:id="150" w:name="_Toc436724312"/>
      <w:r>
        <w:t>Districts Excluded From Analysis</w:t>
      </w:r>
      <w:bookmarkEnd w:id="150"/>
    </w:p>
    <w:p w:rsidR="00C157EC" w:rsidRDefault="00C157EC" w:rsidP="00381FB6">
      <w:pPr>
        <w:pStyle w:val="BodyText"/>
      </w:pPr>
      <w:r>
        <w:t>Over the course of preparing the data for analysis, 106 districts were excluded for various reasons. Of these excluded districts, 81 were charter districts found in the data over the six historical years used in the study analyses. The decision to exclude all charters was made for a few practical reasons. The first of these was that the unique nature of policies in charter districts with respect to data collection and reporting suggested that numbers reported by these districts may not be reliable over time, and thus should be excluded to ensure that data were comparable over historical years. In addition, many of these charters were not operational across all six years of historical data at our disposal (2008</w:t>
      </w:r>
      <w:r w:rsidRPr="00997DB3">
        <w:t>–</w:t>
      </w:r>
      <w:r>
        <w:t>09 through 2013</w:t>
      </w:r>
      <w:r w:rsidRPr="00997DB3">
        <w:t>–</w:t>
      </w:r>
      <w:r>
        <w:t>14), and the closing and opening of these districts could have distorted the historical data (the sudden addition and removal of their staff could have caused shocks). Finally, no Comparable Wage Index (CWI) data are available for charter districts, and thus they could not be included in any regression that controlled for CWI, which is true for many of our selected models.</w:t>
      </w:r>
    </w:p>
    <w:p w:rsidR="00C157EC" w:rsidRDefault="00C157EC" w:rsidP="00381FB6">
      <w:pPr>
        <w:pStyle w:val="BodyText"/>
      </w:pPr>
      <w:r>
        <w:t>In addition to the 81 excluded charters, another 19 districts also were excluded for a variety of reasons as follows:</w:t>
      </w:r>
    </w:p>
    <w:p w:rsidR="00C157EC" w:rsidRDefault="00C157EC" w:rsidP="00381FB6">
      <w:pPr>
        <w:pStyle w:val="Bullet1"/>
      </w:pPr>
      <w:r w:rsidRPr="00213CD3">
        <w:rPr>
          <w:b/>
        </w:rPr>
        <w:t>District Not Found in All Six Years</w:t>
      </w:r>
      <w:r w:rsidRPr="0044505A">
        <w:t>:</w:t>
      </w:r>
      <w:r w:rsidRPr="007E6333">
        <w:t xml:space="preserve"> </w:t>
      </w:r>
      <w:r>
        <w:t>As with many charters, an additional seven districts were not found in all six historical years of data, and many of these were not found in the most recent year. Thus, these districts also were excluded.</w:t>
      </w:r>
    </w:p>
    <w:p w:rsidR="00C157EC" w:rsidRDefault="00C157EC" w:rsidP="00381FB6">
      <w:pPr>
        <w:pStyle w:val="Bullet1"/>
      </w:pPr>
      <w:r w:rsidRPr="00213CD3">
        <w:rPr>
          <w:b/>
        </w:rPr>
        <w:t>District Not Found in 2015</w:t>
      </w:r>
      <w:r w:rsidRPr="0044505A">
        <w:rPr>
          <w:b/>
        </w:rPr>
        <w:t xml:space="preserve">: </w:t>
      </w:r>
      <w:r>
        <w:t>Even if districts were found in all six historical years used for study analyses, in some cases districts were not found in the 2014</w:t>
      </w:r>
      <w:r w:rsidRPr="00997DB3">
        <w:t>–</w:t>
      </w:r>
      <w:r>
        <w:t>15 enrollment data.</w:t>
      </w:r>
      <w:r>
        <w:rPr>
          <w:rStyle w:val="FootnoteReference"/>
        </w:rPr>
        <w:footnoteReference w:id="47"/>
      </w:r>
      <w:r>
        <w:t xml:space="preserve"> Four districts were excluded for this reason.</w:t>
      </w:r>
    </w:p>
    <w:p w:rsidR="00C157EC" w:rsidRDefault="00C157EC" w:rsidP="00381FB6">
      <w:pPr>
        <w:pStyle w:val="Bullet1"/>
      </w:pPr>
      <w:r w:rsidRPr="00213CD3">
        <w:rPr>
          <w:b/>
        </w:rPr>
        <w:t>Incomplete Historical Data</w:t>
      </w:r>
      <w:r w:rsidRPr="0044505A">
        <w:t>:</w:t>
      </w:r>
      <w:r w:rsidRPr="007E6333">
        <w:t xml:space="preserve"> </w:t>
      </w:r>
      <w:r>
        <w:t>An additional eight districts were excluded because they did not have complete data for all required metrics in all years of historical data. These metrics include CWI data, NCES locale data, or total teacher staff counts data.</w:t>
      </w:r>
    </w:p>
    <w:p w:rsidR="00C157EC" w:rsidRDefault="00C157EC" w:rsidP="00381FB6">
      <w:pPr>
        <w:pStyle w:val="BodyText"/>
        <w:pageBreakBefore/>
      </w:pPr>
      <w:r>
        <w:t>A summary of the non</w:t>
      </w:r>
      <w:r w:rsidR="003E7468">
        <w:t>-</w:t>
      </w:r>
      <w:r>
        <w:t xml:space="preserve">charter excluded districts is displayed in </w:t>
      </w:r>
      <w:r w:rsidR="004110D9">
        <w:t>Table</w:t>
      </w:r>
      <w:r>
        <w:t xml:space="preserve"> A</w:t>
      </w:r>
      <w:r w:rsidR="004110D9">
        <w:t>3</w:t>
      </w:r>
      <w:r>
        <w:t>.</w:t>
      </w:r>
    </w:p>
    <w:p w:rsidR="00C157EC" w:rsidRDefault="004110D9" w:rsidP="00381FB6">
      <w:pPr>
        <w:pStyle w:val="ExhibitTitle"/>
      </w:pPr>
      <w:r>
        <w:t>Table</w:t>
      </w:r>
      <w:r w:rsidR="00C157EC" w:rsidRPr="0044505A">
        <w:t xml:space="preserve"> </w:t>
      </w:r>
      <w:r w:rsidR="00C157EC">
        <w:t>A</w:t>
      </w:r>
      <w:r>
        <w:t>3</w:t>
      </w:r>
      <w:r w:rsidR="00C157EC" w:rsidRPr="0044505A">
        <w:t>. Non</w:t>
      </w:r>
      <w:r w:rsidR="003E7468">
        <w:t>-</w:t>
      </w:r>
      <w:r w:rsidR="00C157EC">
        <w:t>c</w:t>
      </w:r>
      <w:r w:rsidR="00C157EC" w:rsidRPr="0044505A">
        <w:t>harter Excluded Districts</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4795"/>
        <w:gridCol w:w="1662"/>
        <w:gridCol w:w="3133"/>
      </w:tblGrid>
      <w:tr w:rsidR="00C157EC" w:rsidRPr="007E6333" w:rsidTr="00A2777B">
        <w:trPr>
          <w:cnfStyle w:val="100000000000"/>
          <w:trHeight w:val="557"/>
        </w:trPr>
        <w:tc>
          <w:tcPr>
            <w:tcW w:w="4675" w:type="dxa"/>
            <w:tcBorders>
              <w:bottom w:val="single" w:sz="4" w:space="0" w:color="auto"/>
            </w:tcBorders>
          </w:tcPr>
          <w:p w:rsidR="00C157EC" w:rsidRPr="0044505A" w:rsidRDefault="00C157EC" w:rsidP="00A2777B">
            <w:pPr>
              <w:pStyle w:val="TableText"/>
              <w:jc w:val="center"/>
              <w:rPr>
                <w:b w:val="0"/>
              </w:rPr>
            </w:pPr>
            <w:r w:rsidRPr="0044505A">
              <w:t>District Name</w:t>
            </w:r>
          </w:p>
        </w:tc>
        <w:tc>
          <w:tcPr>
            <w:tcW w:w="1620" w:type="dxa"/>
            <w:tcBorders>
              <w:bottom w:val="single" w:sz="4" w:space="0" w:color="auto"/>
            </w:tcBorders>
          </w:tcPr>
          <w:p w:rsidR="00C157EC" w:rsidRPr="0044505A" w:rsidRDefault="00C157EC" w:rsidP="00A2777B">
            <w:pPr>
              <w:pStyle w:val="TableText"/>
              <w:jc w:val="center"/>
              <w:rPr>
                <w:b w:val="0"/>
              </w:rPr>
            </w:pPr>
            <w:r w:rsidRPr="0044505A">
              <w:t>District Code</w:t>
            </w:r>
          </w:p>
        </w:tc>
        <w:tc>
          <w:tcPr>
            <w:tcW w:w="3055" w:type="dxa"/>
            <w:tcBorders>
              <w:bottom w:val="single" w:sz="4" w:space="0" w:color="auto"/>
            </w:tcBorders>
          </w:tcPr>
          <w:p w:rsidR="00C157EC" w:rsidRPr="0044505A" w:rsidRDefault="00C157EC" w:rsidP="00381FB6">
            <w:pPr>
              <w:pStyle w:val="TableText"/>
              <w:rPr>
                <w:b w:val="0"/>
              </w:rPr>
            </w:pPr>
            <w:r w:rsidRPr="0044505A">
              <w:t>Reason for Exclusion</w:t>
            </w:r>
          </w:p>
        </w:tc>
      </w:tr>
      <w:tr w:rsidR="00381FB6" w:rsidTr="00A2777B">
        <w:tc>
          <w:tcPr>
            <w:tcW w:w="4675" w:type="dxa"/>
            <w:tcBorders>
              <w:bottom w:val="single" w:sz="4" w:space="0" w:color="auto"/>
            </w:tcBorders>
          </w:tcPr>
          <w:p w:rsidR="00C157EC" w:rsidRPr="00AF3B24" w:rsidRDefault="00C157EC" w:rsidP="00A2777B">
            <w:pPr>
              <w:pStyle w:val="TableText"/>
              <w:jc w:val="center"/>
            </w:pPr>
            <w:r w:rsidRPr="00AF3B24">
              <w:t>Barnstable</w:t>
            </w:r>
          </w:p>
        </w:tc>
        <w:tc>
          <w:tcPr>
            <w:tcW w:w="1620" w:type="dxa"/>
            <w:tcBorders>
              <w:bottom w:val="single" w:sz="4" w:space="0" w:color="auto"/>
            </w:tcBorders>
          </w:tcPr>
          <w:p w:rsidR="00C157EC" w:rsidRPr="00AF3B24" w:rsidRDefault="00C157EC" w:rsidP="00A2777B">
            <w:pPr>
              <w:pStyle w:val="TableTextCentered"/>
            </w:pPr>
            <w:r w:rsidRPr="00AF3B24">
              <w:t>20000</w:t>
            </w:r>
          </w:p>
        </w:tc>
        <w:tc>
          <w:tcPr>
            <w:tcW w:w="3055" w:type="dxa"/>
            <w:tcBorders>
              <w:bottom w:val="single" w:sz="4" w:space="0" w:color="auto"/>
            </w:tcBorders>
          </w:tcPr>
          <w:p w:rsidR="00C157EC" w:rsidRPr="00AF3B24" w:rsidRDefault="00C157EC" w:rsidP="00381FB6">
            <w:pPr>
              <w:pStyle w:val="TableTextCentered"/>
              <w:jc w:val="left"/>
            </w:pPr>
            <w:r w:rsidRPr="00AF3B24">
              <w:t>Not found in 2014</w:t>
            </w:r>
            <w:r w:rsidRPr="00137C67">
              <w:t>–</w:t>
            </w:r>
            <w:r w:rsidRPr="00AF3B24">
              <w:t>15</w:t>
            </w:r>
          </w:p>
        </w:tc>
      </w:tr>
      <w:tr w:rsidR="00C157EC" w:rsidTr="00A2777B">
        <w:tc>
          <w:tcPr>
            <w:tcW w:w="4675" w:type="dxa"/>
            <w:tcBorders>
              <w:bottom w:val="single" w:sz="4" w:space="0" w:color="auto"/>
            </w:tcBorders>
          </w:tcPr>
          <w:p w:rsidR="00C157EC" w:rsidRPr="00AF3B24" w:rsidRDefault="00C157EC" w:rsidP="00A2777B">
            <w:pPr>
              <w:pStyle w:val="TableText"/>
              <w:jc w:val="center"/>
            </w:pPr>
            <w:r w:rsidRPr="00AF3B24">
              <w:t>Ayer</w:t>
            </w:r>
          </w:p>
        </w:tc>
        <w:tc>
          <w:tcPr>
            <w:tcW w:w="1620" w:type="dxa"/>
            <w:tcBorders>
              <w:bottom w:val="single" w:sz="4" w:space="0" w:color="auto"/>
            </w:tcBorders>
          </w:tcPr>
          <w:p w:rsidR="00C157EC" w:rsidRPr="00AF3B24" w:rsidRDefault="00C157EC" w:rsidP="00A2777B">
            <w:pPr>
              <w:pStyle w:val="TableTextCentered"/>
            </w:pPr>
            <w:r w:rsidRPr="00AF3B24">
              <w:t>190000</w:t>
            </w:r>
          </w:p>
        </w:tc>
        <w:tc>
          <w:tcPr>
            <w:tcW w:w="3055" w:type="dxa"/>
            <w:tcBorders>
              <w:bottom w:val="single" w:sz="4" w:space="0" w:color="auto"/>
            </w:tcBorders>
          </w:tcPr>
          <w:p w:rsidR="00C157EC" w:rsidRPr="00AF3B24" w:rsidRDefault="00C157EC" w:rsidP="00381FB6">
            <w:pPr>
              <w:pStyle w:val="TableTextCentered"/>
              <w:jc w:val="left"/>
            </w:pPr>
            <w:r w:rsidRPr="00AF3B24">
              <w:t>Not in all six historical years</w:t>
            </w:r>
          </w:p>
        </w:tc>
      </w:tr>
      <w:tr w:rsidR="00381FB6" w:rsidTr="00A2777B">
        <w:tc>
          <w:tcPr>
            <w:tcW w:w="4675" w:type="dxa"/>
            <w:tcBorders>
              <w:bottom w:val="single" w:sz="4" w:space="0" w:color="auto"/>
            </w:tcBorders>
          </w:tcPr>
          <w:p w:rsidR="00C157EC" w:rsidRPr="00AF3B24" w:rsidRDefault="00C157EC" w:rsidP="00A2777B">
            <w:pPr>
              <w:pStyle w:val="TableText"/>
              <w:jc w:val="center"/>
            </w:pPr>
            <w:r w:rsidRPr="00AF3B24">
              <w:t>Boxborough</w:t>
            </w:r>
          </w:p>
        </w:tc>
        <w:tc>
          <w:tcPr>
            <w:tcW w:w="1620" w:type="dxa"/>
            <w:tcBorders>
              <w:bottom w:val="single" w:sz="4" w:space="0" w:color="auto"/>
            </w:tcBorders>
          </w:tcPr>
          <w:p w:rsidR="00C157EC" w:rsidRPr="00AF3B24" w:rsidRDefault="00C157EC" w:rsidP="00A2777B">
            <w:pPr>
              <w:pStyle w:val="TableTextCentered"/>
            </w:pPr>
            <w:r w:rsidRPr="00AF3B24">
              <w:t>370000</w:t>
            </w:r>
          </w:p>
        </w:tc>
        <w:tc>
          <w:tcPr>
            <w:tcW w:w="3055" w:type="dxa"/>
            <w:tcBorders>
              <w:bottom w:val="single" w:sz="4" w:space="0" w:color="auto"/>
            </w:tcBorders>
          </w:tcPr>
          <w:p w:rsidR="00C157EC" w:rsidRPr="00AF3B24" w:rsidRDefault="00C157EC" w:rsidP="00381FB6">
            <w:pPr>
              <w:pStyle w:val="TableTextCentered"/>
              <w:jc w:val="left"/>
            </w:pPr>
            <w:r w:rsidRPr="00AF3B24">
              <w:t>Not found in 2014</w:t>
            </w:r>
            <w:r w:rsidRPr="00137C67">
              <w:t>–</w:t>
            </w:r>
            <w:r w:rsidRPr="00AF3B24">
              <w:t>15</w:t>
            </w:r>
          </w:p>
        </w:tc>
      </w:tr>
      <w:tr w:rsidR="00C157EC" w:rsidTr="00A2777B">
        <w:tc>
          <w:tcPr>
            <w:tcW w:w="4675" w:type="dxa"/>
            <w:tcBorders>
              <w:bottom w:val="single" w:sz="4" w:space="0" w:color="auto"/>
            </w:tcBorders>
          </w:tcPr>
          <w:p w:rsidR="00C157EC" w:rsidRPr="00AF3B24" w:rsidRDefault="00C157EC" w:rsidP="00A2777B">
            <w:pPr>
              <w:pStyle w:val="TableText"/>
              <w:jc w:val="center"/>
            </w:pPr>
            <w:r w:rsidRPr="00AF3B24">
              <w:t>Carver</w:t>
            </w:r>
          </w:p>
        </w:tc>
        <w:tc>
          <w:tcPr>
            <w:tcW w:w="1620" w:type="dxa"/>
            <w:tcBorders>
              <w:bottom w:val="single" w:sz="4" w:space="0" w:color="auto"/>
            </w:tcBorders>
          </w:tcPr>
          <w:p w:rsidR="00C157EC" w:rsidRPr="00AF3B24" w:rsidRDefault="00C157EC" w:rsidP="00A2777B">
            <w:pPr>
              <w:pStyle w:val="TableTextCentered"/>
            </w:pPr>
            <w:r w:rsidRPr="00AF3B24">
              <w:t>520000</w:t>
            </w:r>
          </w:p>
        </w:tc>
        <w:tc>
          <w:tcPr>
            <w:tcW w:w="3055" w:type="dxa"/>
            <w:tcBorders>
              <w:bottom w:val="single" w:sz="4" w:space="0" w:color="auto"/>
            </w:tcBorders>
          </w:tcPr>
          <w:p w:rsidR="00C157EC" w:rsidRPr="00AF3B24" w:rsidRDefault="00C157EC" w:rsidP="00381FB6">
            <w:pPr>
              <w:pStyle w:val="TableTextCentered"/>
              <w:jc w:val="left"/>
            </w:pPr>
            <w:r w:rsidRPr="00AF3B24">
              <w:t>No staff count data in 2010</w:t>
            </w:r>
          </w:p>
        </w:tc>
      </w:tr>
      <w:tr w:rsidR="00381FB6" w:rsidTr="00A2777B">
        <w:tc>
          <w:tcPr>
            <w:tcW w:w="4675" w:type="dxa"/>
            <w:tcBorders>
              <w:bottom w:val="single" w:sz="4" w:space="0" w:color="auto"/>
            </w:tcBorders>
          </w:tcPr>
          <w:p w:rsidR="00C157EC" w:rsidRPr="00AF3B24" w:rsidRDefault="00C157EC" w:rsidP="00A2777B">
            <w:pPr>
              <w:pStyle w:val="TableText"/>
              <w:jc w:val="center"/>
            </w:pPr>
            <w:r w:rsidRPr="00AF3B24">
              <w:t>Chatham</w:t>
            </w:r>
          </w:p>
        </w:tc>
        <w:tc>
          <w:tcPr>
            <w:tcW w:w="1620" w:type="dxa"/>
            <w:tcBorders>
              <w:bottom w:val="single" w:sz="4" w:space="0" w:color="auto"/>
            </w:tcBorders>
          </w:tcPr>
          <w:p w:rsidR="00C157EC" w:rsidRPr="00AF3B24" w:rsidRDefault="00C157EC" w:rsidP="00A2777B">
            <w:pPr>
              <w:pStyle w:val="TableTextCentered"/>
            </w:pPr>
            <w:r w:rsidRPr="00AF3B24">
              <w:t>550000</w:t>
            </w:r>
          </w:p>
        </w:tc>
        <w:tc>
          <w:tcPr>
            <w:tcW w:w="3055" w:type="dxa"/>
            <w:tcBorders>
              <w:bottom w:val="single" w:sz="4" w:space="0" w:color="auto"/>
            </w:tcBorders>
          </w:tcPr>
          <w:p w:rsidR="00C157EC" w:rsidRPr="00AF3B24" w:rsidRDefault="00C157EC" w:rsidP="00381FB6">
            <w:pPr>
              <w:pStyle w:val="TableTextCentered"/>
              <w:jc w:val="left"/>
            </w:pPr>
            <w:r w:rsidRPr="00AF3B24">
              <w:t>Not in all six historical years</w:t>
            </w:r>
          </w:p>
        </w:tc>
      </w:tr>
      <w:tr w:rsidR="00C157EC" w:rsidTr="00A2777B">
        <w:tc>
          <w:tcPr>
            <w:tcW w:w="4675" w:type="dxa"/>
            <w:tcBorders>
              <w:bottom w:val="single" w:sz="4" w:space="0" w:color="auto"/>
            </w:tcBorders>
          </w:tcPr>
          <w:p w:rsidR="00C157EC" w:rsidRPr="00AF3B24" w:rsidRDefault="00C157EC" w:rsidP="00A2777B">
            <w:pPr>
              <w:pStyle w:val="TableText"/>
              <w:jc w:val="center"/>
            </w:pPr>
            <w:r w:rsidRPr="00AF3B24">
              <w:t>Freetown</w:t>
            </w:r>
          </w:p>
        </w:tc>
        <w:tc>
          <w:tcPr>
            <w:tcW w:w="1620" w:type="dxa"/>
            <w:tcBorders>
              <w:bottom w:val="single" w:sz="4" w:space="0" w:color="auto"/>
            </w:tcBorders>
          </w:tcPr>
          <w:p w:rsidR="00C157EC" w:rsidRPr="00AF3B24" w:rsidRDefault="00C157EC" w:rsidP="00A2777B">
            <w:pPr>
              <w:pStyle w:val="TableTextCentered"/>
            </w:pPr>
            <w:r w:rsidRPr="00AF3B24">
              <w:t>1020000</w:t>
            </w:r>
          </w:p>
        </w:tc>
        <w:tc>
          <w:tcPr>
            <w:tcW w:w="3055" w:type="dxa"/>
            <w:tcBorders>
              <w:bottom w:val="single" w:sz="4" w:space="0" w:color="auto"/>
            </w:tcBorders>
          </w:tcPr>
          <w:p w:rsidR="00C157EC" w:rsidRPr="00AF3B24" w:rsidRDefault="00C157EC" w:rsidP="00381FB6">
            <w:pPr>
              <w:pStyle w:val="TableTextCentered"/>
              <w:jc w:val="left"/>
            </w:pPr>
            <w:r w:rsidRPr="00AF3B24">
              <w:t>Not in all six historical years</w:t>
            </w:r>
          </w:p>
        </w:tc>
      </w:tr>
      <w:tr w:rsidR="00381FB6" w:rsidTr="00A2777B">
        <w:tc>
          <w:tcPr>
            <w:tcW w:w="4675" w:type="dxa"/>
            <w:tcBorders>
              <w:bottom w:val="single" w:sz="4" w:space="0" w:color="auto"/>
            </w:tcBorders>
          </w:tcPr>
          <w:p w:rsidR="00C157EC" w:rsidRPr="00AF3B24" w:rsidRDefault="00C157EC" w:rsidP="00A2777B">
            <w:pPr>
              <w:pStyle w:val="TableText"/>
              <w:jc w:val="center"/>
            </w:pPr>
            <w:r w:rsidRPr="00AF3B24">
              <w:t>Granville</w:t>
            </w:r>
          </w:p>
        </w:tc>
        <w:tc>
          <w:tcPr>
            <w:tcW w:w="1620" w:type="dxa"/>
            <w:tcBorders>
              <w:bottom w:val="single" w:sz="4" w:space="0" w:color="auto"/>
            </w:tcBorders>
          </w:tcPr>
          <w:p w:rsidR="00C157EC" w:rsidRPr="00AF3B24" w:rsidRDefault="00C157EC" w:rsidP="00A2777B">
            <w:pPr>
              <w:pStyle w:val="TableTextCentered"/>
            </w:pPr>
            <w:r w:rsidRPr="00AF3B24">
              <w:t>1120000</w:t>
            </w:r>
          </w:p>
        </w:tc>
        <w:tc>
          <w:tcPr>
            <w:tcW w:w="3055" w:type="dxa"/>
            <w:tcBorders>
              <w:bottom w:val="single" w:sz="4" w:space="0" w:color="auto"/>
            </w:tcBorders>
          </w:tcPr>
          <w:p w:rsidR="00C157EC" w:rsidRPr="00AF3B24" w:rsidRDefault="00C157EC" w:rsidP="00381FB6">
            <w:pPr>
              <w:pStyle w:val="TableTextCentered"/>
              <w:jc w:val="left"/>
            </w:pPr>
            <w:r w:rsidRPr="00AF3B24">
              <w:t>Not in all six historical years</w:t>
            </w:r>
          </w:p>
        </w:tc>
      </w:tr>
      <w:tr w:rsidR="00C157EC" w:rsidTr="00A2777B">
        <w:tc>
          <w:tcPr>
            <w:tcW w:w="4675" w:type="dxa"/>
            <w:tcBorders>
              <w:bottom w:val="single" w:sz="4" w:space="0" w:color="auto"/>
            </w:tcBorders>
          </w:tcPr>
          <w:p w:rsidR="00C157EC" w:rsidRPr="00AF3B24" w:rsidRDefault="00C157EC" w:rsidP="00A2777B">
            <w:pPr>
              <w:pStyle w:val="TableText"/>
              <w:jc w:val="center"/>
            </w:pPr>
            <w:r w:rsidRPr="00AF3B24">
              <w:t>Harwich</w:t>
            </w:r>
          </w:p>
        </w:tc>
        <w:tc>
          <w:tcPr>
            <w:tcW w:w="1620" w:type="dxa"/>
            <w:tcBorders>
              <w:bottom w:val="single" w:sz="4" w:space="0" w:color="auto"/>
            </w:tcBorders>
          </w:tcPr>
          <w:p w:rsidR="00C157EC" w:rsidRPr="00AF3B24" w:rsidRDefault="00C157EC" w:rsidP="00A2777B">
            <w:pPr>
              <w:pStyle w:val="TableTextCentered"/>
            </w:pPr>
            <w:r w:rsidRPr="00AF3B24">
              <w:t>1260000</w:t>
            </w:r>
          </w:p>
        </w:tc>
        <w:tc>
          <w:tcPr>
            <w:tcW w:w="3055" w:type="dxa"/>
            <w:tcBorders>
              <w:bottom w:val="single" w:sz="4" w:space="0" w:color="auto"/>
            </w:tcBorders>
          </w:tcPr>
          <w:p w:rsidR="00C157EC" w:rsidRPr="00AF3B24" w:rsidRDefault="00C157EC" w:rsidP="00381FB6">
            <w:pPr>
              <w:pStyle w:val="TableTextCentered"/>
              <w:jc w:val="left"/>
            </w:pPr>
            <w:r w:rsidRPr="00AF3B24">
              <w:t>Not in all six historical years</w:t>
            </w:r>
          </w:p>
        </w:tc>
      </w:tr>
      <w:tr w:rsidR="00381FB6" w:rsidTr="00A2777B">
        <w:tc>
          <w:tcPr>
            <w:tcW w:w="4675" w:type="dxa"/>
            <w:tcBorders>
              <w:bottom w:val="single" w:sz="4" w:space="0" w:color="auto"/>
            </w:tcBorders>
          </w:tcPr>
          <w:p w:rsidR="00C157EC" w:rsidRPr="00AF3B24" w:rsidRDefault="00C157EC" w:rsidP="00A2777B">
            <w:pPr>
              <w:pStyle w:val="TableText"/>
              <w:jc w:val="center"/>
            </w:pPr>
            <w:r w:rsidRPr="00AF3B24">
              <w:t>Lakeville</w:t>
            </w:r>
          </w:p>
        </w:tc>
        <w:tc>
          <w:tcPr>
            <w:tcW w:w="1620" w:type="dxa"/>
            <w:tcBorders>
              <w:bottom w:val="single" w:sz="4" w:space="0" w:color="auto"/>
            </w:tcBorders>
          </w:tcPr>
          <w:p w:rsidR="00C157EC" w:rsidRPr="00AF3B24" w:rsidRDefault="00C157EC" w:rsidP="00A2777B">
            <w:pPr>
              <w:pStyle w:val="TableTextCentered"/>
            </w:pPr>
            <w:r w:rsidRPr="00AF3B24">
              <w:t>1460000</w:t>
            </w:r>
          </w:p>
        </w:tc>
        <w:tc>
          <w:tcPr>
            <w:tcW w:w="3055" w:type="dxa"/>
            <w:tcBorders>
              <w:bottom w:val="single" w:sz="4" w:space="0" w:color="auto"/>
            </w:tcBorders>
          </w:tcPr>
          <w:p w:rsidR="00C157EC" w:rsidRPr="00AF3B24" w:rsidRDefault="00C157EC" w:rsidP="00381FB6">
            <w:pPr>
              <w:pStyle w:val="TableTextCentered"/>
              <w:jc w:val="left"/>
            </w:pPr>
            <w:r w:rsidRPr="00AF3B24">
              <w:t>Not in all six historical years</w:t>
            </w:r>
          </w:p>
        </w:tc>
      </w:tr>
      <w:tr w:rsidR="00C157EC" w:rsidTr="00A2777B">
        <w:tc>
          <w:tcPr>
            <w:tcW w:w="4675" w:type="dxa"/>
            <w:tcBorders>
              <w:bottom w:val="single" w:sz="4" w:space="0" w:color="auto"/>
            </w:tcBorders>
          </w:tcPr>
          <w:p w:rsidR="00C157EC" w:rsidRPr="00AF3B24" w:rsidRDefault="00C157EC" w:rsidP="00A2777B">
            <w:pPr>
              <w:pStyle w:val="TableText"/>
              <w:jc w:val="center"/>
            </w:pPr>
            <w:r w:rsidRPr="00AF3B24">
              <w:t>Provincetown</w:t>
            </w:r>
          </w:p>
        </w:tc>
        <w:tc>
          <w:tcPr>
            <w:tcW w:w="1620" w:type="dxa"/>
            <w:tcBorders>
              <w:bottom w:val="single" w:sz="4" w:space="0" w:color="auto"/>
            </w:tcBorders>
          </w:tcPr>
          <w:p w:rsidR="00C157EC" w:rsidRPr="00AF3B24" w:rsidRDefault="00C157EC" w:rsidP="00A2777B">
            <w:pPr>
              <w:pStyle w:val="TableTextCentered"/>
            </w:pPr>
            <w:r w:rsidRPr="00AF3B24">
              <w:t>2420000</w:t>
            </w:r>
          </w:p>
        </w:tc>
        <w:tc>
          <w:tcPr>
            <w:tcW w:w="3055" w:type="dxa"/>
            <w:tcBorders>
              <w:bottom w:val="single" w:sz="4" w:space="0" w:color="auto"/>
            </w:tcBorders>
          </w:tcPr>
          <w:p w:rsidR="00C157EC" w:rsidRPr="00AF3B24" w:rsidRDefault="00C157EC" w:rsidP="00381FB6">
            <w:pPr>
              <w:pStyle w:val="TableTextCentered"/>
              <w:jc w:val="left"/>
            </w:pPr>
            <w:r w:rsidRPr="00AF3B24">
              <w:t>No staff count data in 2011</w:t>
            </w:r>
          </w:p>
        </w:tc>
      </w:tr>
      <w:tr w:rsidR="00381FB6" w:rsidTr="00A2777B">
        <w:tc>
          <w:tcPr>
            <w:tcW w:w="4675" w:type="dxa"/>
            <w:tcBorders>
              <w:bottom w:val="single" w:sz="4" w:space="0" w:color="auto"/>
            </w:tcBorders>
          </w:tcPr>
          <w:p w:rsidR="00C157EC" w:rsidRPr="00AF3B24" w:rsidRDefault="00C157EC" w:rsidP="00A2777B">
            <w:pPr>
              <w:pStyle w:val="TableText"/>
              <w:jc w:val="center"/>
            </w:pPr>
            <w:r w:rsidRPr="00AF3B24">
              <w:t>Shirley</w:t>
            </w:r>
          </w:p>
        </w:tc>
        <w:tc>
          <w:tcPr>
            <w:tcW w:w="1620" w:type="dxa"/>
            <w:tcBorders>
              <w:bottom w:val="single" w:sz="4" w:space="0" w:color="auto"/>
            </w:tcBorders>
          </w:tcPr>
          <w:p w:rsidR="00C157EC" w:rsidRPr="00AF3B24" w:rsidRDefault="00C157EC" w:rsidP="00A2777B">
            <w:pPr>
              <w:pStyle w:val="TableTextCentered"/>
            </w:pPr>
            <w:r w:rsidRPr="00AF3B24">
              <w:t>2700000</w:t>
            </w:r>
          </w:p>
        </w:tc>
        <w:tc>
          <w:tcPr>
            <w:tcW w:w="3055" w:type="dxa"/>
            <w:tcBorders>
              <w:bottom w:val="single" w:sz="4" w:space="0" w:color="auto"/>
            </w:tcBorders>
          </w:tcPr>
          <w:p w:rsidR="00C157EC" w:rsidRPr="00AF3B24" w:rsidRDefault="00C157EC" w:rsidP="00381FB6">
            <w:pPr>
              <w:pStyle w:val="TableTextCentered"/>
              <w:jc w:val="left"/>
            </w:pPr>
            <w:r w:rsidRPr="00AF3B24">
              <w:t>Not in all six historical years</w:t>
            </w:r>
          </w:p>
        </w:tc>
      </w:tr>
      <w:tr w:rsidR="00C157EC" w:rsidTr="00A2777B">
        <w:tc>
          <w:tcPr>
            <w:tcW w:w="4675" w:type="dxa"/>
            <w:tcBorders>
              <w:bottom w:val="single" w:sz="4" w:space="0" w:color="auto"/>
            </w:tcBorders>
          </w:tcPr>
          <w:p w:rsidR="00C157EC" w:rsidRPr="00AF3B24" w:rsidRDefault="00C157EC" w:rsidP="00A2777B">
            <w:pPr>
              <w:pStyle w:val="TableText"/>
              <w:jc w:val="center"/>
            </w:pPr>
            <w:r w:rsidRPr="00AF3B24">
              <w:t>Williamsburg</w:t>
            </w:r>
          </w:p>
        </w:tc>
        <w:tc>
          <w:tcPr>
            <w:tcW w:w="1620" w:type="dxa"/>
            <w:tcBorders>
              <w:bottom w:val="single" w:sz="4" w:space="0" w:color="auto"/>
            </w:tcBorders>
          </w:tcPr>
          <w:p w:rsidR="00C157EC" w:rsidRPr="00AF3B24" w:rsidRDefault="00C157EC" w:rsidP="00A2777B">
            <w:pPr>
              <w:pStyle w:val="TableTextCentered"/>
            </w:pPr>
            <w:r w:rsidRPr="00AF3B24">
              <w:t>3400000</w:t>
            </w:r>
          </w:p>
        </w:tc>
        <w:tc>
          <w:tcPr>
            <w:tcW w:w="3055" w:type="dxa"/>
            <w:tcBorders>
              <w:bottom w:val="single" w:sz="4" w:space="0" w:color="auto"/>
            </w:tcBorders>
          </w:tcPr>
          <w:p w:rsidR="00C157EC" w:rsidRPr="00AF3B24" w:rsidRDefault="00C157EC" w:rsidP="00381FB6">
            <w:pPr>
              <w:pStyle w:val="TableTextCentered"/>
              <w:jc w:val="left"/>
            </w:pPr>
            <w:r w:rsidRPr="00AF3B24">
              <w:t>No staff count data in 2013</w:t>
            </w:r>
          </w:p>
        </w:tc>
      </w:tr>
      <w:tr w:rsidR="00381FB6" w:rsidTr="00A2777B">
        <w:tc>
          <w:tcPr>
            <w:tcW w:w="4675" w:type="dxa"/>
            <w:tcBorders>
              <w:bottom w:val="single" w:sz="4" w:space="0" w:color="auto"/>
            </w:tcBorders>
          </w:tcPr>
          <w:p w:rsidR="00C157EC" w:rsidRPr="00AF3B24" w:rsidRDefault="00C157EC" w:rsidP="00A2777B">
            <w:pPr>
              <w:pStyle w:val="TableText"/>
              <w:jc w:val="center"/>
            </w:pPr>
            <w:r w:rsidRPr="00AF3B24">
              <w:t>MA Academy of Math and Science</w:t>
            </w:r>
          </w:p>
        </w:tc>
        <w:tc>
          <w:tcPr>
            <w:tcW w:w="1620" w:type="dxa"/>
            <w:tcBorders>
              <w:bottom w:val="single" w:sz="4" w:space="0" w:color="auto"/>
            </w:tcBorders>
          </w:tcPr>
          <w:p w:rsidR="00C157EC" w:rsidRPr="00AF3B24" w:rsidRDefault="00C157EC" w:rsidP="00A2777B">
            <w:pPr>
              <w:pStyle w:val="TableTextCentered"/>
            </w:pPr>
            <w:r w:rsidRPr="00AF3B24">
              <w:t>4680000</w:t>
            </w:r>
          </w:p>
        </w:tc>
        <w:tc>
          <w:tcPr>
            <w:tcW w:w="3055" w:type="dxa"/>
            <w:tcBorders>
              <w:bottom w:val="single" w:sz="4" w:space="0" w:color="auto"/>
            </w:tcBorders>
          </w:tcPr>
          <w:p w:rsidR="00C157EC" w:rsidRPr="00AF3B24" w:rsidRDefault="00C157EC" w:rsidP="00381FB6">
            <w:pPr>
              <w:pStyle w:val="TableTextCentered"/>
              <w:jc w:val="left"/>
            </w:pPr>
            <w:r w:rsidRPr="00AF3B24">
              <w:t>No CWI data</w:t>
            </w:r>
          </w:p>
        </w:tc>
      </w:tr>
      <w:tr w:rsidR="00C157EC" w:rsidTr="00A2777B">
        <w:tc>
          <w:tcPr>
            <w:tcW w:w="4675" w:type="dxa"/>
            <w:tcBorders>
              <w:bottom w:val="single" w:sz="4" w:space="0" w:color="auto"/>
            </w:tcBorders>
          </w:tcPr>
          <w:p w:rsidR="00C157EC" w:rsidRPr="00AF3B24" w:rsidRDefault="00C157EC" w:rsidP="00A2777B">
            <w:pPr>
              <w:pStyle w:val="TableText"/>
              <w:jc w:val="center"/>
            </w:pPr>
            <w:r w:rsidRPr="00AF3B24">
              <w:t>Ayer Shirley School District</w:t>
            </w:r>
          </w:p>
        </w:tc>
        <w:tc>
          <w:tcPr>
            <w:tcW w:w="1620" w:type="dxa"/>
            <w:tcBorders>
              <w:bottom w:val="single" w:sz="4" w:space="0" w:color="auto"/>
            </w:tcBorders>
          </w:tcPr>
          <w:p w:rsidR="00C157EC" w:rsidRPr="00AF3B24" w:rsidRDefault="00C157EC" w:rsidP="00A2777B">
            <w:pPr>
              <w:pStyle w:val="TableTextCentered"/>
            </w:pPr>
            <w:r w:rsidRPr="00AF3B24">
              <w:t>6160000</w:t>
            </w:r>
          </w:p>
        </w:tc>
        <w:tc>
          <w:tcPr>
            <w:tcW w:w="3055" w:type="dxa"/>
            <w:tcBorders>
              <w:bottom w:val="single" w:sz="4" w:space="0" w:color="auto"/>
            </w:tcBorders>
          </w:tcPr>
          <w:p w:rsidR="00C157EC" w:rsidRPr="00AF3B24" w:rsidRDefault="00C157EC" w:rsidP="00381FB6">
            <w:pPr>
              <w:pStyle w:val="TableTextCentered"/>
              <w:jc w:val="left"/>
            </w:pPr>
            <w:r w:rsidRPr="00AF3B24">
              <w:t>No CWI data</w:t>
            </w:r>
          </w:p>
        </w:tc>
      </w:tr>
      <w:tr w:rsidR="00381FB6" w:rsidTr="00A2777B">
        <w:tc>
          <w:tcPr>
            <w:tcW w:w="4675" w:type="dxa"/>
            <w:tcBorders>
              <w:bottom w:val="single" w:sz="4" w:space="0" w:color="auto"/>
            </w:tcBorders>
          </w:tcPr>
          <w:p w:rsidR="00C157EC" w:rsidRPr="00AF3B24" w:rsidRDefault="00C157EC" w:rsidP="00A2777B">
            <w:pPr>
              <w:pStyle w:val="TableText"/>
              <w:jc w:val="center"/>
            </w:pPr>
            <w:r w:rsidRPr="00AF3B24">
              <w:t>Monomoy Regional School District</w:t>
            </w:r>
          </w:p>
        </w:tc>
        <w:tc>
          <w:tcPr>
            <w:tcW w:w="1620" w:type="dxa"/>
            <w:tcBorders>
              <w:bottom w:val="single" w:sz="4" w:space="0" w:color="auto"/>
            </w:tcBorders>
          </w:tcPr>
          <w:p w:rsidR="00C157EC" w:rsidRPr="00AF3B24" w:rsidRDefault="00C157EC" w:rsidP="00A2777B">
            <w:pPr>
              <w:pStyle w:val="TableTextCentered"/>
            </w:pPr>
            <w:r w:rsidRPr="00AF3B24">
              <w:t>7120000</w:t>
            </w:r>
          </w:p>
        </w:tc>
        <w:tc>
          <w:tcPr>
            <w:tcW w:w="3055" w:type="dxa"/>
            <w:tcBorders>
              <w:bottom w:val="single" w:sz="4" w:space="0" w:color="auto"/>
            </w:tcBorders>
          </w:tcPr>
          <w:p w:rsidR="00C157EC" w:rsidRPr="00AF3B24" w:rsidRDefault="00C157EC" w:rsidP="00381FB6">
            <w:pPr>
              <w:pStyle w:val="TableTextCentered"/>
              <w:jc w:val="left"/>
            </w:pPr>
            <w:r w:rsidRPr="00AF3B24">
              <w:t>No CWI data</w:t>
            </w:r>
          </w:p>
        </w:tc>
      </w:tr>
      <w:tr w:rsidR="00C157EC" w:rsidTr="00A2777B">
        <w:tc>
          <w:tcPr>
            <w:tcW w:w="4675" w:type="dxa"/>
            <w:tcBorders>
              <w:bottom w:val="single" w:sz="4" w:space="0" w:color="auto"/>
            </w:tcBorders>
          </w:tcPr>
          <w:p w:rsidR="00C157EC" w:rsidRPr="00AF3B24" w:rsidRDefault="00C157EC" w:rsidP="00A2777B">
            <w:pPr>
              <w:pStyle w:val="TableText"/>
              <w:jc w:val="center"/>
            </w:pPr>
            <w:r w:rsidRPr="00AF3B24">
              <w:t>Somerset Berkley Regional School District</w:t>
            </w:r>
          </w:p>
        </w:tc>
        <w:tc>
          <w:tcPr>
            <w:tcW w:w="1620" w:type="dxa"/>
            <w:tcBorders>
              <w:bottom w:val="single" w:sz="4" w:space="0" w:color="auto"/>
            </w:tcBorders>
          </w:tcPr>
          <w:p w:rsidR="00C157EC" w:rsidRPr="00AF3B24" w:rsidRDefault="00C157EC" w:rsidP="00A2777B">
            <w:pPr>
              <w:pStyle w:val="TableTextCentered"/>
            </w:pPr>
            <w:r w:rsidRPr="00AF3B24">
              <w:t>7630000</w:t>
            </w:r>
          </w:p>
        </w:tc>
        <w:tc>
          <w:tcPr>
            <w:tcW w:w="3055" w:type="dxa"/>
            <w:tcBorders>
              <w:bottom w:val="single" w:sz="4" w:space="0" w:color="auto"/>
            </w:tcBorders>
          </w:tcPr>
          <w:p w:rsidR="00C157EC" w:rsidRPr="00AF3B24" w:rsidRDefault="00C157EC" w:rsidP="00381FB6">
            <w:pPr>
              <w:pStyle w:val="TableTextCentered"/>
              <w:jc w:val="left"/>
            </w:pPr>
            <w:r w:rsidRPr="00AF3B24">
              <w:t>No CWI data</w:t>
            </w:r>
          </w:p>
        </w:tc>
      </w:tr>
      <w:tr w:rsidR="00381FB6" w:rsidTr="00A2777B">
        <w:tc>
          <w:tcPr>
            <w:tcW w:w="4675" w:type="dxa"/>
            <w:tcBorders>
              <w:bottom w:val="single" w:sz="4" w:space="0" w:color="auto"/>
            </w:tcBorders>
          </w:tcPr>
          <w:p w:rsidR="00C157EC" w:rsidRPr="00AF3B24" w:rsidRDefault="00C157EC" w:rsidP="00A2777B">
            <w:pPr>
              <w:pStyle w:val="TableText"/>
              <w:jc w:val="center"/>
            </w:pPr>
            <w:r w:rsidRPr="00AF3B24">
              <w:t>North Shore Regional Vocational Technical</w:t>
            </w:r>
          </w:p>
        </w:tc>
        <w:tc>
          <w:tcPr>
            <w:tcW w:w="1620" w:type="dxa"/>
            <w:tcBorders>
              <w:bottom w:val="single" w:sz="4" w:space="0" w:color="auto"/>
            </w:tcBorders>
          </w:tcPr>
          <w:p w:rsidR="00C157EC" w:rsidRPr="00AF3B24" w:rsidRDefault="00C157EC" w:rsidP="00A2777B">
            <w:pPr>
              <w:pStyle w:val="TableTextCentered"/>
            </w:pPr>
            <w:r w:rsidRPr="00AF3B24">
              <w:t>8540000</w:t>
            </w:r>
          </w:p>
        </w:tc>
        <w:tc>
          <w:tcPr>
            <w:tcW w:w="3055" w:type="dxa"/>
            <w:tcBorders>
              <w:bottom w:val="single" w:sz="4" w:space="0" w:color="auto"/>
            </w:tcBorders>
          </w:tcPr>
          <w:p w:rsidR="00C157EC" w:rsidRPr="00AF3B24" w:rsidRDefault="00C157EC" w:rsidP="00381FB6">
            <w:pPr>
              <w:pStyle w:val="TableTextCentered"/>
              <w:jc w:val="left"/>
            </w:pPr>
            <w:r w:rsidRPr="00AF3B24">
              <w:t>Not found in 2014</w:t>
            </w:r>
            <w:r w:rsidRPr="00137C67">
              <w:t>–</w:t>
            </w:r>
            <w:r w:rsidRPr="00AF3B24">
              <w:t>15</w:t>
            </w:r>
          </w:p>
        </w:tc>
      </w:tr>
      <w:tr w:rsidR="00C157EC" w:rsidTr="00A2777B">
        <w:tc>
          <w:tcPr>
            <w:tcW w:w="4675" w:type="dxa"/>
            <w:tcBorders>
              <w:bottom w:val="single" w:sz="4" w:space="0" w:color="auto"/>
            </w:tcBorders>
          </w:tcPr>
          <w:p w:rsidR="00C157EC" w:rsidRPr="00AF3B24" w:rsidRDefault="00C157EC" w:rsidP="00A2777B">
            <w:pPr>
              <w:pStyle w:val="TableText"/>
              <w:jc w:val="center"/>
            </w:pPr>
            <w:r w:rsidRPr="00AF3B24">
              <w:t>Essex Agricultural Technical</w:t>
            </w:r>
          </w:p>
        </w:tc>
        <w:tc>
          <w:tcPr>
            <w:tcW w:w="1620" w:type="dxa"/>
            <w:tcBorders>
              <w:bottom w:val="single" w:sz="4" w:space="0" w:color="auto"/>
            </w:tcBorders>
          </w:tcPr>
          <w:p w:rsidR="00C157EC" w:rsidRPr="00AF3B24" w:rsidRDefault="00C157EC" w:rsidP="00A2777B">
            <w:pPr>
              <w:pStyle w:val="TableTextCentered"/>
            </w:pPr>
            <w:r w:rsidRPr="00AF3B24">
              <w:t>9130000</w:t>
            </w:r>
          </w:p>
        </w:tc>
        <w:tc>
          <w:tcPr>
            <w:tcW w:w="3055" w:type="dxa"/>
            <w:tcBorders>
              <w:bottom w:val="single" w:sz="4" w:space="0" w:color="auto"/>
            </w:tcBorders>
          </w:tcPr>
          <w:p w:rsidR="00C157EC" w:rsidRPr="00AF3B24" w:rsidRDefault="00C157EC" w:rsidP="00381FB6">
            <w:pPr>
              <w:pStyle w:val="TableTextCentered"/>
              <w:jc w:val="left"/>
            </w:pPr>
            <w:r w:rsidRPr="00AF3B24">
              <w:t>Not found in 2014</w:t>
            </w:r>
            <w:r w:rsidRPr="00137C67">
              <w:t>–</w:t>
            </w:r>
            <w:r w:rsidRPr="00AF3B24">
              <w:t>15</w:t>
            </w:r>
          </w:p>
        </w:tc>
      </w:tr>
      <w:tr w:rsidR="00C157EC" w:rsidTr="00A2777B">
        <w:tc>
          <w:tcPr>
            <w:tcW w:w="4675" w:type="dxa"/>
          </w:tcPr>
          <w:p w:rsidR="00C157EC" w:rsidRPr="00AF3B24" w:rsidRDefault="00C157EC" w:rsidP="00A2777B">
            <w:pPr>
              <w:pStyle w:val="TableText"/>
              <w:jc w:val="center"/>
            </w:pPr>
            <w:r w:rsidRPr="00AF3B24">
              <w:t>Massachusetts Virtual Academy at Greenfield Commonwealth Virtual School</w:t>
            </w:r>
          </w:p>
        </w:tc>
        <w:tc>
          <w:tcPr>
            <w:tcW w:w="1620" w:type="dxa"/>
          </w:tcPr>
          <w:p w:rsidR="00C157EC" w:rsidRPr="00AF3B24" w:rsidRDefault="00C157EC" w:rsidP="00A2777B">
            <w:pPr>
              <w:pStyle w:val="TableTextCentered"/>
            </w:pPr>
            <w:r w:rsidRPr="00AF3B24">
              <w:t>39010000</w:t>
            </w:r>
          </w:p>
        </w:tc>
        <w:tc>
          <w:tcPr>
            <w:tcW w:w="3055" w:type="dxa"/>
          </w:tcPr>
          <w:p w:rsidR="00C157EC" w:rsidRPr="00AF3B24" w:rsidRDefault="00C157EC" w:rsidP="00381FB6">
            <w:pPr>
              <w:pStyle w:val="TableTextCentered"/>
              <w:jc w:val="left"/>
            </w:pPr>
            <w:r w:rsidRPr="00AF3B24">
              <w:t xml:space="preserve">No NCES </w:t>
            </w:r>
            <w:r>
              <w:t>l</w:t>
            </w:r>
            <w:r w:rsidRPr="00AF3B24">
              <w:t>ocale data</w:t>
            </w:r>
          </w:p>
        </w:tc>
      </w:tr>
    </w:tbl>
    <w:p w:rsidR="00381FB6" w:rsidRDefault="00381FB6" w:rsidP="00C157EC">
      <w:pPr>
        <w:pStyle w:val="Heading2"/>
        <w:sectPr w:rsidR="00381FB6" w:rsidSect="00456C2C">
          <w:headerReference w:type="first" r:id="rId62"/>
          <w:footerReference w:type="first" r:id="rId63"/>
          <w:pgSz w:w="12240" w:h="15840"/>
          <w:pgMar w:top="1440" w:right="1440" w:bottom="1440" w:left="1440" w:header="720" w:footer="720" w:gutter="0"/>
          <w:cols w:space="720"/>
          <w:docGrid w:linePitch="360"/>
        </w:sectPr>
      </w:pPr>
      <w:bookmarkStart w:id="151" w:name="_Toc436724313"/>
    </w:p>
    <w:p w:rsidR="00C157EC" w:rsidRDefault="00C157EC" w:rsidP="00C157EC">
      <w:pPr>
        <w:pStyle w:val="Heading2"/>
      </w:pPr>
      <w:bookmarkStart w:id="152" w:name="_Toc437285005"/>
      <w:r>
        <w:t xml:space="preserve">Appendix B. Additional </w:t>
      </w:r>
      <w:bookmarkEnd w:id="128"/>
      <w:r>
        <w:t>Findings and Exhibits</w:t>
      </w:r>
      <w:bookmarkEnd w:id="129"/>
      <w:bookmarkEnd w:id="151"/>
      <w:bookmarkEnd w:id="152"/>
    </w:p>
    <w:p w:rsidR="00C157EC" w:rsidRDefault="00C157EC" w:rsidP="008F7FB6">
      <w:pPr>
        <w:pStyle w:val="Heading3NoTOC"/>
      </w:pPr>
      <w:bookmarkStart w:id="153" w:name="_Toc435461210"/>
      <w:bookmarkStart w:id="154" w:name="_Toc435784275"/>
      <w:bookmarkStart w:id="155" w:name="_Toc436724314"/>
      <w:r>
        <w:t>Research Question 3</w:t>
      </w:r>
      <w:bookmarkEnd w:id="153"/>
      <w:r>
        <w:t>: Demand and Supply Projections by Program Area</w:t>
      </w:r>
      <w:bookmarkEnd w:id="154"/>
      <w:bookmarkEnd w:id="155"/>
    </w:p>
    <w:p w:rsidR="00C157EC" w:rsidRDefault="00C157EC" w:rsidP="008F7FB6">
      <w:pPr>
        <w:pStyle w:val="Heading4NoTOC"/>
      </w:pPr>
      <w:bookmarkStart w:id="156" w:name="_Toc435784276"/>
      <w:r>
        <w:t>Retained Teachers</w:t>
      </w:r>
      <w:bookmarkEnd w:id="156"/>
    </w:p>
    <w:p w:rsidR="00C157EC" w:rsidRDefault="00C157EC" w:rsidP="00CF5537">
      <w:pPr>
        <w:pStyle w:val="BodyText"/>
      </w:pPr>
      <w:r>
        <w:t xml:space="preserve">The research team also estimated projections of the supply of retained teachers over the next 10 years by program area. First, statewide average retention rates by race and age category were created using a </w:t>
      </w:r>
      <w:r w:rsidRPr="00556A2B">
        <w:t>regression analysis to</w:t>
      </w:r>
      <w:r>
        <w:t xml:space="preserve"> estimate</w:t>
      </w:r>
      <w:r w:rsidRPr="00556A2B">
        <w:t xml:space="preserve"> </w:t>
      </w:r>
      <w:r>
        <w:t>an average retention rate for each race and age category for historical years</w:t>
      </w:r>
      <w:r w:rsidRPr="00556A2B">
        <w:t>.</w:t>
      </w:r>
      <w:r>
        <w:t xml:space="preserve"> These retention rates were then applied to FTEs of teachers in the given category to calculate the number of retained FTEs in each district. Then projections were estimated using a regression-based approach. </w:t>
      </w:r>
    </w:p>
    <w:p w:rsidR="00C157EC" w:rsidRDefault="00C157EC" w:rsidP="00CE7487">
      <w:pPr>
        <w:pStyle w:val="BodyText"/>
      </w:pPr>
      <w:r>
        <w:t xml:space="preserve">We found that most program areas were expected to have generally similar retention rates. Specifically, </w:t>
      </w:r>
      <w:r w:rsidRPr="0044505A">
        <w:t>general education</w:t>
      </w:r>
      <w:r>
        <w:t>, special education, and career</w:t>
      </w:r>
      <w:r w:rsidR="00276368">
        <w:t>/</w:t>
      </w:r>
      <w:r w:rsidR="00BD7B11">
        <w:t>vocational</w:t>
      </w:r>
      <w:r w:rsidR="00276368">
        <w:t>/</w:t>
      </w:r>
      <w:r>
        <w:t>technical education (CTE) teachers had average estimated retention rates that were between 86 and 91 percent. This was in line with the overall statewide average retention rate of about 85 percent.</w:t>
      </w:r>
    </w:p>
    <w:p w:rsidR="00C157EC" w:rsidRDefault="00C157EC" w:rsidP="00CE7487">
      <w:pPr>
        <w:pStyle w:val="BodyText"/>
      </w:pPr>
      <w:r>
        <w:t xml:space="preserve">In contrast, English language learner (ELL) teachers were estimated to have a lower average retention rate of about 55 percent. However, as can be seen in </w:t>
      </w:r>
      <w:r w:rsidR="004110D9">
        <w:t>Table</w:t>
      </w:r>
      <w:r>
        <w:t xml:space="preserve"> B1, the confidence interval around this estimate was </w:t>
      </w:r>
      <w:r w:rsidRPr="00807FB9">
        <w:t>relatively</w:t>
      </w:r>
      <w:r>
        <w:rPr>
          <w:i/>
        </w:rPr>
        <w:t xml:space="preserve"> </w:t>
      </w:r>
      <w:r>
        <w:t>large, suggesting that the estimated retention rate and the corresponding projections of retained ELL teachers should be interpreted with caution.</w:t>
      </w:r>
      <w:r>
        <w:rPr>
          <w:rStyle w:val="FootnoteReference"/>
        </w:rPr>
        <w:footnoteReference w:id="48"/>
      </w:r>
    </w:p>
    <w:p w:rsidR="00C157EC" w:rsidRPr="00666CA4" w:rsidRDefault="004110D9" w:rsidP="00CE7487">
      <w:pPr>
        <w:pStyle w:val="ExhibitTitle"/>
      </w:pPr>
      <w:r>
        <w:t>Table</w:t>
      </w:r>
      <w:r w:rsidR="00C157EC" w:rsidRPr="00666CA4">
        <w:t xml:space="preserve"> </w:t>
      </w:r>
      <w:r w:rsidR="00C157EC">
        <w:t>B1</w:t>
      </w:r>
      <w:r w:rsidR="00C157EC" w:rsidRPr="00666CA4">
        <w:t xml:space="preserve">. Average Estimated </w:t>
      </w:r>
      <w:r w:rsidR="00C157EC">
        <w:t xml:space="preserve">Teacher </w:t>
      </w:r>
      <w:r w:rsidR="00C157EC" w:rsidRPr="00666CA4">
        <w:t>Retention Rates by Program Area</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3"/>
        <w:gridCol w:w="2399"/>
        <w:gridCol w:w="2123"/>
        <w:gridCol w:w="2025"/>
      </w:tblGrid>
      <w:tr w:rsidR="00434994" w:rsidTr="00434994">
        <w:trPr>
          <w:cnfStyle w:val="100000000000"/>
        </w:trPr>
        <w:tc>
          <w:tcPr>
            <w:tcW w:w="1586" w:type="pct"/>
            <w:tcBorders>
              <w:bottom w:val="single" w:sz="4" w:space="0" w:color="auto"/>
            </w:tcBorders>
          </w:tcPr>
          <w:p w:rsidR="00C157EC" w:rsidRPr="00807FB9" w:rsidRDefault="00C157EC" w:rsidP="00085539">
            <w:pPr>
              <w:pStyle w:val="TableText"/>
              <w:jc w:val="center"/>
            </w:pPr>
            <w:r w:rsidRPr="00807FB9">
              <w:t>Program Area</w:t>
            </w:r>
          </w:p>
        </w:tc>
        <w:tc>
          <w:tcPr>
            <w:tcW w:w="1251" w:type="pct"/>
            <w:tcBorders>
              <w:bottom w:val="single" w:sz="4" w:space="0" w:color="auto"/>
            </w:tcBorders>
          </w:tcPr>
          <w:p w:rsidR="00C157EC" w:rsidRPr="00807FB9" w:rsidRDefault="00C157EC" w:rsidP="00CE7487">
            <w:pPr>
              <w:pStyle w:val="TableTextCentered"/>
            </w:pPr>
            <w:r w:rsidRPr="00807FB9">
              <w:t>Estimated Average Retention Rate</w:t>
            </w:r>
          </w:p>
        </w:tc>
        <w:tc>
          <w:tcPr>
            <w:tcW w:w="1107" w:type="pct"/>
            <w:tcBorders>
              <w:bottom w:val="single" w:sz="4" w:space="0" w:color="auto"/>
            </w:tcBorders>
          </w:tcPr>
          <w:p w:rsidR="00C157EC" w:rsidRPr="00807FB9" w:rsidRDefault="00C157EC" w:rsidP="00CE7487">
            <w:pPr>
              <w:pStyle w:val="TableTextCentered"/>
            </w:pPr>
            <w:r w:rsidRPr="00807FB9">
              <w:t>95% Confidence Interval</w:t>
            </w:r>
            <w:r w:rsidR="007858C8" w:rsidRPr="00930283">
              <w:t>–</w:t>
            </w:r>
            <w:r w:rsidRPr="00807FB9">
              <w:t>Lower Bound</w:t>
            </w:r>
          </w:p>
        </w:tc>
        <w:tc>
          <w:tcPr>
            <w:tcW w:w="1056" w:type="pct"/>
            <w:tcBorders>
              <w:bottom w:val="single" w:sz="4" w:space="0" w:color="auto"/>
            </w:tcBorders>
          </w:tcPr>
          <w:p w:rsidR="00C157EC" w:rsidRPr="00807FB9" w:rsidRDefault="00C157EC" w:rsidP="00CE7487">
            <w:pPr>
              <w:pStyle w:val="TableTextCentered"/>
            </w:pPr>
            <w:r w:rsidRPr="00807FB9">
              <w:t>95% Confidence Interval</w:t>
            </w:r>
            <w:r w:rsidR="007858C8" w:rsidRPr="00930283">
              <w:t>–</w:t>
            </w:r>
            <w:r w:rsidRPr="00807FB9">
              <w:t>Upper Bound</w:t>
            </w:r>
          </w:p>
        </w:tc>
      </w:tr>
      <w:tr w:rsidR="00434994" w:rsidTr="00434994">
        <w:tc>
          <w:tcPr>
            <w:tcW w:w="1586" w:type="pct"/>
            <w:tcBorders>
              <w:bottom w:val="single" w:sz="4" w:space="0" w:color="auto"/>
            </w:tcBorders>
          </w:tcPr>
          <w:p w:rsidR="00C157EC" w:rsidRPr="003F4D14" w:rsidRDefault="00C157EC" w:rsidP="00085539">
            <w:pPr>
              <w:pStyle w:val="TableText"/>
              <w:jc w:val="center"/>
            </w:pPr>
            <w:r w:rsidRPr="003F4D14">
              <w:t>General Education</w:t>
            </w:r>
          </w:p>
        </w:tc>
        <w:tc>
          <w:tcPr>
            <w:tcW w:w="1251" w:type="pct"/>
            <w:tcBorders>
              <w:bottom w:val="single" w:sz="4" w:space="0" w:color="auto"/>
            </w:tcBorders>
          </w:tcPr>
          <w:p w:rsidR="00C157EC" w:rsidRPr="003F4D14" w:rsidRDefault="00C157EC" w:rsidP="00CE7487">
            <w:pPr>
              <w:pStyle w:val="TableTextCentered"/>
            </w:pPr>
            <w:r w:rsidRPr="003F4D14">
              <w:t>86%</w:t>
            </w:r>
          </w:p>
        </w:tc>
        <w:tc>
          <w:tcPr>
            <w:tcW w:w="1107" w:type="pct"/>
            <w:tcBorders>
              <w:bottom w:val="single" w:sz="4" w:space="0" w:color="auto"/>
            </w:tcBorders>
          </w:tcPr>
          <w:p w:rsidR="00C157EC" w:rsidRPr="00D250F3" w:rsidRDefault="00C157EC" w:rsidP="00CE7487">
            <w:pPr>
              <w:pStyle w:val="TableTextCentered"/>
            </w:pPr>
            <w:r w:rsidRPr="00D250F3">
              <w:t>85%</w:t>
            </w:r>
          </w:p>
        </w:tc>
        <w:tc>
          <w:tcPr>
            <w:tcW w:w="1056" w:type="pct"/>
            <w:tcBorders>
              <w:bottom w:val="single" w:sz="4" w:space="0" w:color="auto"/>
            </w:tcBorders>
          </w:tcPr>
          <w:p w:rsidR="00C157EC" w:rsidRPr="00D250F3" w:rsidRDefault="00C157EC" w:rsidP="00CE7487">
            <w:pPr>
              <w:pStyle w:val="TableTextCentered"/>
            </w:pPr>
            <w:r w:rsidRPr="00D250F3">
              <w:t>88%</w:t>
            </w:r>
          </w:p>
        </w:tc>
      </w:tr>
      <w:tr w:rsidR="00434994" w:rsidTr="00434994">
        <w:tc>
          <w:tcPr>
            <w:tcW w:w="1586" w:type="pct"/>
            <w:tcBorders>
              <w:bottom w:val="single" w:sz="4" w:space="0" w:color="auto"/>
            </w:tcBorders>
          </w:tcPr>
          <w:p w:rsidR="00C157EC" w:rsidRPr="003F4D14" w:rsidRDefault="00C157EC" w:rsidP="00085539">
            <w:pPr>
              <w:pStyle w:val="TableText"/>
              <w:jc w:val="center"/>
            </w:pPr>
            <w:r w:rsidRPr="003F4D14">
              <w:t>Special Education</w:t>
            </w:r>
          </w:p>
        </w:tc>
        <w:tc>
          <w:tcPr>
            <w:tcW w:w="1251" w:type="pct"/>
            <w:tcBorders>
              <w:bottom w:val="single" w:sz="4" w:space="0" w:color="auto"/>
            </w:tcBorders>
          </w:tcPr>
          <w:p w:rsidR="00C157EC" w:rsidRPr="003F4D14" w:rsidRDefault="00C157EC" w:rsidP="00CE7487">
            <w:pPr>
              <w:pStyle w:val="TableTextCentered"/>
            </w:pPr>
            <w:r w:rsidRPr="003F4D14">
              <w:t>91%</w:t>
            </w:r>
          </w:p>
        </w:tc>
        <w:tc>
          <w:tcPr>
            <w:tcW w:w="1107" w:type="pct"/>
            <w:tcBorders>
              <w:bottom w:val="single" w:sz="4" w:space="0" w:color="auto"/>
            </w:tcBorders>
          </w:tcPr>
          <w:p w:rsidR="00C157EC" w:rsidRPr="00D250F3" w:rsidRDefault="00C157EC" w:rsidP="00CE7487">
            <w:pPr>
              <w:pStyle w:val="TableTextCentered"/>
            </w:pPr>
            <w:r w:rsidRPr="00D250F3">
              <w:t>86%</w:t>
            </w:r>
          </w:p>
        </w:tc>
        <w:tc>
          <w:tcPr>
            <w:tcW w:w="1056" w:type="pct"/>
            <w:tcBorders>
              <w:bottom w:val="single" w:sz="4" w:space="0" w:color="auto"/>
            </w:tcBorders>
          </w:tcPr>
          <w:p w:rsidR="00C157EC" w:rsidRPr="00D250F3" w:rsidRDefault="00C157EC" w:rsidP="00CE7487">
            <w:pPr>
              <w:pStyle w:val="TableTextCentered"/>
            </w:pPr>
            <w:r w:rsidRPr="00D250F3">
              <w:t>95%</w:t>
            </w:r>
          </w:p>
        </w:tc>
      </w:tr>
      <w:tr w:rsidR="00434994" w:rsidTr="00434994">
        <w:tc>
          <w:tcPr>
            <w:tcW w:w="1586" w:type="pct"/>
            <w:tcBorders>
              <w:bottom w:val="single" w:sz="4" w:space="0" w:color="auto"/>
            </w:tcBorders>
          </w:tcPr>
          <w:p w:rsidR="00C157EC" w:rsidRPr="003F4D14" w:rsidRDefault="00C157EC" w:rsidP="00085539">
            <w:pPr>
              <w:pStyle w:val="TableText"/>
              <w:jc w:val="center"/>
            </w:pPr>
            <w:r w:rsidRPr="003F4D14">
              <w:t>English Language Learners Education</w:t>
            </w:r>
          </w:p>
        </w:tc>
        <w:tc>
          <w:tcPr>
            <w:tcW w:w="1251" w:type="pct"/>
            <w:tcBorders>
              <w:bottom w:val="single" w:sz="4" w:space="0" w:color="auto"/>
            </w:tcBorders>
          </w:tcPr>
          <w:p w:rsidR="00C157EC" w:rsidRPr="00D250F3" w:rsidRDefault="00C157EC" w:rsidP="00CE7487">
            <w:pPr>
              <w:pStyle w:val="TableTextCentered"/>
            </w:pPr>
            <w:r w:rsidRPr="00D250F3">
              <w:t>55%</w:t>
            </w:r>
          </w:p>
        </w:tc>
        <w:tc>
          <w:tcPr>
            <w:tcW w:w="1107" w:type="pct"/>
            <w:tcBorders>
              <w:bottom w:val="single" w:sz="4" w:space="0" w:color="auto"/>
            </w:tcBorders>
          </w:tcPr>
          <w:p w:rsidR="00C157EC" w:rsidRPr="00D250F3" w:rsidRDefault="00C157EC" w:rsidP="00CE7487">
            <w:pPr>
              <w:pStyle w:val="TableTextCentered"/>
            </w:pPr>
            <w:r w:rsidRPr="00D250F3">
              <w:t>13%</w:t>
            </w:r>
          </w:p>
        </w:tc>
        <w:tc>
          <w:tcPr>
            <w:tcW w:w="1056" w:type="pct"/>
            <w:tcBorders>
              <w:bottom w:val="single" w:sz="4" w:space="0" w:color="auto"/>
            </w:tcBorders>
          </w:tcPr>
          <w:p w:rsidR="00C157EC" w:rsidRPr="00972DD0" w:rsidRDefault="00C157EC" w:rsidP="00CE7487">
            <w:pPr>
              <w:pStyle w:val="TableTextCentered"/>
            </w:pPr>
            <w:r w:rsidRPr="00972DD0">
              <w:t>96%</w:t>
            </w:r>
          </w:p>
        </w:tc>
      </w:tr>
      <w:tr w:rsidR="00434994" w:rsidTr="00434994">
        <w:tc>
          <w:tcPr>
            <w:tcW w:w="1586" w:type="pct"/>
          </w:tcPr>
          <w:p w:rsidR="00C157EC" w:rsidRPr="003F4D14" w:rsidRDefault="00C157EC" w:rsidP="00085539">
            <w:pPr>
              <w:pStyle w:val="TableText"/>
              <w:jc w:val="center"/>
            </w:pPr>
            <w:r w:rsidRPr="003F4D14">
              <w:t>Career</w:t>
            </w:r>
            <w:r w:rsidR="00276368">
              <w:t>/</w:t>
            </w:r>
            <w:r w:rsidRPr="003F4D14">
              <w:t>Vocational</w:t>
            </w:r>
            <w:r w:rsidR="00276368">
              <w:t>/</w:t>
            </w:r>
            <w:r w:rsidRPr="003F4D14">
              <w:t>Technical Education</w:t>
            </w:r>
          </w:p>
        </w:tc>
        <w:tc>
          <w:tcPr>
            <w:tcW w:w="1251" w:type="pct"/>
          </w:tcPr>
          <w:p w:rsidR="00C157EC" w:rsidRPr="003F4D14" w:rsidRDefault="00C157EC" w:rsidP="00CE7487">
            <w:pPr>
              <w:pStyle w:val="TableTextCentered"/>
            </w:pPr>
            <w:r w:rsidRPr="003F4D14">
              <w:t>88%</w:t>
            </w:r>
          </w:p>
        </w:tc>
        <w:tc>
          <w:tcPr>
            <w:tcW w:w="1107" w:type="pct"/>
          </w:tcPr>
          <w:p w:rsidR="00C157EC" w:rsidRPr="00D250F3" w:rsidRDefault="00C157EC" w:rsidP="00CE7487">
            <w:pPr>
              <w:pStyle w:val="TableTextCentered"/>
            </w:pPr>
            <w:r w:rsidRPr="00D250F3">
              <w:t>84%</w:t>
            </w:r>
          </w:p>
        </w:tc>
        <w:tc>
          <w:tcPr>
            <w:tcW w:w="1056" w:type="pct"/>
          </w:tcPr>
          <w:p w:rsidR="00C157EC" w:rsidRPr="00D250F3" w:rsidRDefault="00C157EC" w:rsidP="00CE7487">
            <w:pPr>
              <w:pStyle w:val="TableTextCentered"/>
            </w:pPr>
            <w:r w:rsidRPr="00D250F3">
              <w:t>93%</w:t>
            </w:r>
          </w:p>
        </w:tc>
      </w:tr>
    </w:tbl>
    <w:p w:rsidR="00C157EC" w:rsidRDefault="00C157EC" w:rsidP="00CE7487">
      <w:pPr>
        <w:pStyle w:val="BodyText"/>
      </w:pPr>
      <w:r>
        <w:t>Using the retention rates above, we then estimated projections of retained teachers in each program area. Due to the fact that the majority of the teacher population is retained year to year, it is not surprising that the projections of retained teachers generally follow the same trends as the supply projections overall (</w:t>
      </w:r>
      <w:r w:rsidR="004110D9">
        <w:t>Table</w:t>
      </w:r>
      <w:r>
        <w:t xml:space="preserve"> B2). For example, the projected trend for </w:t>
      </w:r>
      <w:r w:rsidRPr="0044505A">
        <w:t>general education</w:t>
      </w:r>
      <w:r>
        <w:t xml:space="preserve"> teachers is similar to the overall projected trend over the next 10 years. </w:t>
      </w:r>
    </w:p>
    <w:p w:rsidR="00C157EC" w:rsidRDefault="004110D9" w:rsidP="00A46F58">
      <w:pPr>
        <w:pStyle w:val="ExhibitTitle"/>
      </w:pPr>
      <w:r>
        <w:t>Table</w:t>
      </w:r>
      <w:r w:rsidR="00C157EC" w:rsidRPr="000331C5">
        <w:t xml:space="preserve"> </w:t>
      </w:r>
      <w:r w:rsidR="00C157EC">
        <w:t>B2</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Supply of Retained Teachers by Program Area</w:t>
      </w:r>
      <w:r w:rsidR="00BE6FDE">
        <w:t xml:space="preserve">, </w:t>
      </w:r>
      <w:r w:rsidR="00C157EC">
        <w:t>2014</w:t>
      </w:r>
      <w:r w:rsidR="00C157EC" w:rsidRPr="00137C67">
        <w:t>–</w:t>
      </w:r>
      <w:r w:rsidR="00C157EC">
        <w:t>15</w:t>
      </w:r>
      <w:r w:rsidR="0092042A">
        <w:t xml:space="preserve"> </w:t>
      </w:r>
      <w:proofErr w:type="gramStart"/>
      <w:r w:rsidR="0092042A">
        <w:t>Through</w:t>
      </w:r>
      <w:proofErr w:type="gramEnd"/>
      <w:r w:rsidR="0092042A">
        <w:t xml:space="preserve"> </w:t>
      </w:r>
      <w:r w:rsidR="00C157EC">
        <w:t>2023</w:t>
      </w:r>
      <w:r w:rsidR="00C157EC" w:rsidRPr="00137C67">
        <w:t>–</w:t>
      </w:r>
      <w:r w:rsidR="00BE6FDE">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1"/>
        <w:gridCol w:w="2677"/>
        <w:gridCol w:w="1939"/>
        <w:gridCol w:w="1933"/>
      </w:tblGrid>
      <w:tr w:rsidR="00C157EC" w:rsidRPr="00B1225A" w:rsidTr="00123319">
        <w:trPr>
          <w:cnfStyle w:val="100000000000"/>
        </w:trPr>
        <w:tc>
          <w:tcPr>
            <w:tcW w:w="2965" w:type="dxa"/>
            <w:tcBorders>
              <w:bottom w:val="single" w:sz="4" w:space="0" w:color="auto"/>
            </w:tcBorders>
          </w:tcPr>
          <w:p w:rsidR="00C157EC" w:rsidRPr="00807FB9" w:rsidRDefault="003C50C4" w:rsidP="00123319">
            <w:pPr>
              <w:pStyle w:val="TableText"/>
              <w:jc w:val="center"/>
            </w:pPr>
            <w:r>
              <w:t>Program Area</w:t>
            </w:r>
          </w:p>
        </w:tc>
        <w:tc>
          <w:tcPr>
            <w:tcW w:w="2610" w:type="dxa"/>
            <w:tcBorders>
              <w:bottom w:val="single" w:sz="4" w:space="0" w:color="auto"/>
            </w:tcBorders>
          </w:tcPr>
          <w:p w:rsidR="00C157EC" w:rsidRPr="00807FB9" w:rsidRDefault="00C157EC" w:rsidP="00123319">
            <w:pPr>
              <w:pStyle w:val="TableTextCentered"/>
            </w:pPr>
            <w:r>
              <w:t>A</w:t>
            </w:r>
            <w:r w:rsidRPr="00C20B19">
              <w:t xml:space="preserve">verage </w:t>
            </w:r>
            <w:r>
              <w:t>Annual Percent</w:t>
            </w:r>
            <w:r w:rsidRPr="00C20B19">
              <w:t xml:space="preserve"> </w:t>
            </w:r>
            <w:r>
              <w:t>C</w:t>
            </w:r>
            <w:r w:rsidRPr="00C20B19">
              <w:t>hange</w:t>
            </w:r>
            <w:r>
              <w:t>:</w:t>
            </w:r>
            <w:r w:rsidRPr="00C20B19">
              <w:t xml:space="preserve"> 2014</w:t>
            </w:r>
            <w:r w:rsidRPr="00137C67">
              <w:t>–</w:t>
            </w:r>
            <w:r w:rsidRPr="00C20B19">
              <w:t xml:space="preserve">15 </w:t>
            </w:r>
            <w:r w:rsidR="00123319">
              <w:t>Through</w:t>
            </w:r>
            <w:r w:rsidRPr="00C20B19">
              <w:t xml:space="preserve"> 2023</w:t>
            </w:r>
            <w:r w:rsidRPr="00137C67">
              <w:t>–</w:t>
            </w:r>
            <w:r w:rsidRPr="00C20B19">
              <w:t>24</w:t>
            </w:r>
          </w:p>
        </w:tc>
        <w:tc>
          <w:tcPr>
            <w:tcW w:w="1890" w:type="dxa"/>
            <w:tcBorders>
              <w:bottom w:val="single" w:sz="4" w:space="0" w:color="auto"/>
            </w:tcBorders>
          </w:tcPr>
          <w:p w:rsidR="00C157EC" w:rsidRPr="00807FB9" w:rsidRDefault="00C157EC" w:rsidP="00CE7487">
            <w:pPr>
              <w:pStyle w:val="TableTextCentered"/>
            </w:pPr>
            <w:r>
              <w:t>O</w:t>
            </w:r>
            <w:r w:rsidRPr="00C20B19">
              <w:t xml:space="preserve">verall </w:t>
            </w:r>
            <w:r>
              <w:t>Percent</w:t>
            </w:r>
            <w:r w:rsidRPr="00C20B19">
              <w:t xml:space="preserve"> </w:t>
            </w:r>
            <w:r>
              <w:t>C</w:t>
            </w:r>
            <w:r w:rsidRPr="00C20B19">
              <w:t>hange</w:t>
            </w:r>
            <w:r>
              <w:t>:</w:t>
            </w:r>
            <w:r w:rsidRPr="00C20B19">
              <w:t xml:space="preserve"> 2014</w:t>
            </w:r>
            <w:r w:rsidRPr="00137C67">
              <w:t>–</w:t>
            </w:r>
            <w:r w:rsidRPr="00C20B19">
              <w:t xml:space="preserve">15 </w:t>
            </w:r>
            <w:r w:rsidR="00123319">
              <w:t>Through</w:t>
            </w:r>
            <w:r w:rsidR="00123319" w:rsidRPr="00C20B19">
              <w:t xml:space="preserve"> </w:t>
            </w:r>
            <w:r w:rsidRPr="00C20B19">
              <w:t>2023</w:t>
            </w:r>
            <w:r w:rsidRPr="00137C67">
              <w:t>–</w:t>
            </w:r>
            <w:r w:rsidRPr="00C20B19">
              <w:t>24</w:t>
            </w:r>
          </w:p>
        </w:tc>
        <w:tc>
          <w:tcPr>
            <w:tcW w:w="1885" w:type="dxa"/>
            <w:tcBorders>
              <w:bottom w:val="single" w:sz="4" w:space="0" w:color="auto"/>
            </w:tcBorders>
          </w:tcPr>
          <w:p w:rsidR="00C157EC" w:rsidRPr="00807FB9" w:rsidRDefault="00C157EC" w:rsidP="00CE7487">
            <w:pPr>
              <w:pStyle w:val="TableTextCentered"/>
            </w:pPr>
            <w:r>
              <w:t>O</w:t>
            </w:r>
            <w:r w:rsidRPr="00C20B19">
              <w:t xml:space="preserve">verall </w:t>
            </w:r>
            <w:r>
              <w:t>A</w:t>
            </w:r>
            <w:r w:rsidRPr="00C20B19">
              <w:t xml:space="preserve">bsolute </w:t>
            </w:r>
            <w:r>
              <w:t>C</w:t>
            </w:r>
            <w:r w:rsidRPr="00C20B19">
              <w:t>hange</w:t>
            </w:r>
            <w:r>
              <w:t xml:space="preserve">: </w:t>
            </w:r>
            <w:r w:rsidRPr="00C20B19">
              <w:t>2014</w:t>
            </w:r>
            <w:r w:rsidRPr="00137C67">
              <w:t>–</w:t>
            </w:r>
            <w:r w:rsidRPr="00C20B19">
              <w:t xml:space="preserve">15 </w:t>
            </w:r>
            <w:r w:rsidR="00123319">
              <w:t>Through</w:t>
            </w:r>
            <w:r w:rsidR="00123319" w:rsidRPr="00C20B19">
              <w:t xml:space="preserve"> </w:t>
            </w:r>
            <w:r w:rsidRPr="00C20B19">
              <w:t>2023</w:t>
            </w:r>
            <w:r w:rsidRPr="00137C67">
              <w:t>–</w:t>
            </w:r>
            <w:r w:rsidRPr="00C20B19">
              <w:t>24</w:t>
            </w:r>
          </w:p>
        </w:tc>
      </w:tr>
      <w:tr w:rsidR="00547DFB" w:rsidRPr="00B1225A" w:rsidTr="00123319">
        <w:tc>
          <w:tcPr>
            <w:tcW w:w="2965" w:type="dxa"/>
            <w:tcBorders>
              <w:bottom w:val="single" w:sz="4" w:space="0" w:color="auto"/>
            </w:tcBorders>
          </w:tcPr>
          <w:p w:rsidR="00547DFB" w:rsidRPr="00807FB9" w:rsidRDefault="00547DFB" w:rsidP="00123319">
            <w:pPr>
              <w:pStyle w:val="TableText"/>
              <w:jc w:val="center"/>
            </w:pPr>
            <w:r w:rsidRPr="00807FB9">
              <w:t>General Education</w:t>
            </w:r>
          </w:p>
        </w:tc>
        <w:tc>
          <w:tcPr>
            <w:tcW w:w="2610" w:type="dxa"/>
            <w:tcBorders>
              <w:bottom w:val="single" w:sz="4" w:space="0" w:color="auto"/>
            </w:tcBorders>
            <w:vAlign w:val="top"/>
          </w:tcPr>
          <w:p w:rsidR="00547DFB" w:rsidRPr="00807FB9" w:rsidRDefault="00547DFB" w:rsidP="00547DFB">
            <w:pPr>
              <w:pStyle w:val="TableTextCentered"/>
            </w:pPr>
            <w:r>
              <w:t>0</w:t>
            </w:r>
            <w:r w:rsidRPr="00DD3A86">
              <w:t>.74</w:t>
            </w:r>
            <w:r>
              <w:t>%</w:t>
            </w:r>
          </w:p>
        </w:tc>
        <w:tc>
          <w:tcPr>
            <w:tcW w:w="1890" w:type="dxa"/>
            <w:tcBorders>
              <w:bottom w:val="single" w:sz="4" w:space="0" w:color="auto"/>
            </w:tcBorders>
            <w:vAlign w:val="top"/>
          </w:tcPr>
          <w:p w:rsidR="00547DFB" w:rsidRPr="00807FB9" w:rsidRDefault="00547DFB" w:rsidP="00547DFB">
            <w:pPr>
              <w:pStyle w:val="TableTextCentered"/>
            </w:pPr>
            <w:r w:rsidRPr="00DD3A86">
              <w:t>7.65</w:t>
            </w:r>
            <w:r>
              <w:t>%</w:t>
            </w:r>
          </w:p>
        </w:tc>
        <w:tc>
          <w:tcPr>
            <w:tcW w:w="1885" w:type="dxa"/>
            <w:tcBorders>
              <w:bottom w:val="single" w:sz="4" w:space="0" w:color="auto"/>
            </w:tcBorders>
            <w:vAlign w:val="top"/>
          </w:tcPr>
          <w:p w:rsidR="00547DFB" w:rsidRPr="00807FB9" w:rsidRDefault="00547DFB" w:rsidP="00547DFB">
            <w:pPr>
              <w:pStyle w:val="TableTextCentered"/>
            </w:pPr>
            <w:r w:rsidRPr="00DD3A86">
              <w:t>3</w:t>
            </w:r>
            <w:r>
              <w:t>,</w:t>
            </w:r>
            <w:r w:rsidRPr="00DD3A86">
              <w:t>572</w:t>
            </w:r>
          </w:p>
        </w:tc>
      </w:tr>
      <w:tr w:rsidR="00547DFB" w:rsidRPr="00B1225A" w:rsidTr="00123319">
        <w:tc>
          <w:tcPr>
            <w:tcW w:w="2965" w:type="dxa"/>
            <w:tcBorders>
              <w:bottom w:val="single" w:sz="4" w:space="0" w:color="auto"/>
            </w:tcBorders>
          </w:tcPr>
          <w:p w:rsidR="00547DFB" w:rsidRPr="00807FB9" w:rsidRDefault="00547DFB" w:rsidP="00123319">
            <w:pPr>
              <w:pStyle w:val="TableText"/>
              <w:jc w:val="center"/>
            </w:pPr>
            <w:r w:rsidRPr="00807FB9">
              <w:t>Special Education</w:t>
            </w:r>
          </w:p>
        </w:tc>
        <w:tc>
          <w:tcPr>
            <w:tcW w:w="2610" w:type="dxa"/>
            <w:tcBorders>
              <w:bottom w:val="single" w:sz="4" w:space="0" w:color="auto"/>
            </w:tcBorders>
            <w:vAlign w:val="top"/>
          </w:tcPr>
          <w:p w:rsidR="00547DFB" w:rsidRPr="00807FB9" w:rsidRDefault="00547DFB" w:rsidP="00547DFB">
            <w:pPr>
              <w:pStyle w:val="TableTextCentered"/>
            </w:pPr>
            <w:r w:rsidRPr="00DD3A86">
              <w:t>-2.07</w:t>
            </w:r>
            <w:r>
              <w:t>%</w:t>
            </w:r>
          </w:p>
        </w:tc>
        <w:tc>
          <w:tcPr>
            <w:tcW w:w="1890" w:type="dxa"/>
            <w:tcBorders>
              <w:bottom w:val="single" w:sz="4" w:space="0" w:color="auto"/>
            </w:tcBorders>
            <w:vAlign w:val="top"/>
          </w:tcPr>
          <w:p w:rsidR="00547DFB" w:rsidRPr="00807FB9" w:rsidRDefault="00547DFB" w:rsidP="00547DFB">
            <w:pPr>
              <w:pStyle w:val="TableTextCentered"/>
            </w:pPr>
            <w:r w:rsidRPr="00DD3A86">
              <w:t>-18.94</w:t>
            </w:r>
            <w:r>
              <w:t>%</w:t>
            </w:r>
          </w:p>
        </w:tc>
        <w:tc>
          <w:tcPr>
            <w:tcW w:w="1885" w:type="dxa"/>
            <w:tcBorders>
              <w:bottom w:val="single" w:sz="4" w:space="0" w:color="auto"/>
            </w:tcBorders>
            <w:vAlign w:val="top"/>
          </w:tcPr>
          <w:p w:rsidR="00547DFB" w:rsidRPr="00807FB9" w:rsidRDefault="00547DFB" w:rsidP="00547DFB">
            <w:pPr>
              <w:pStyle w:val="TableTextCentered"/>
            </w:pPr>
            <w:r w:rsidRPr="00DD3A86">
              <w:t>-1</w:t>
            </w:r>
            <w:r>
              <w:t>,</w:t>
            </w:r>
            <w:r w:rsidRPr="00DD3A86">
              <w:t>428</w:t>
            </w:r>
          </w:p>
        </w:tc>
      </w:tr>
      <w:tr w:rsidR="00547DFB" w:rsidRPr="00B1225A" w:rsidTr="00123319">
        <w:tc>
          <w:tcPr>
            <w:tcW w:w="2965" w:type="dxa"/>
            <w:tcBorders>
              <w:bottom w:val="single" w:sz="4" w:space="0" w:color="auto"/>
            </w:tcBorders>
          </w:tcPr>
          <w:p w:rsidR="00547DFB" w:rsidRPr="00C20B19" w:rsidRDefault="00547DFB" w:rsidP="00123319">
            <w:pPr>
              <w:pStyle w:val="TableText"/>
              <w:jc w:val="center"/>
            </w:pPr>
            <w:r w:rsidRPr="00C20B19">
              <w:t>English Language Learners</w:t>
            </w:r>
            <w:r>
              <w:t xml:space="preserve"> Education</w:t>
            </w:r>
          </w:p>
        </w:tc>
        <w:tc>
          <w:tcPr>
            <w:tcW w:w="2610" w:type="dxa"/>
            <w:tcBorders>
              <w:bottom w:val="single" w:sz="4" w:space="0" w:color="auto"/>
            </w:tcBorders>
          </w:tcPr>
          <w:p w:rsidR="00547DFB" w:rsidRPr="00547DFB" w:rsidRDefault="00547DFB" w:rsidP="00547DFB">
            <w:pPr>
              <w:pStyle w:val="TableTextCentered"/>
              <w:rPr>
                <w:rFonts w:cstheme="majorHAnsi"/>
              </w:rPr>
            </w:pPr>
            <w:r w:rsidRPr="00A46F58">
              <w:rPr>
                <w:rFonts w:cstheme="majorHAnsi"/>
              </w:rPr>
              <w:t>-2.64</w:t>
            </w:r>
            <w:r>
              <w:rPr>
                <w:rFonts w:cstheme="majorHAnsi"/>
              </w:rPr>
              <w:t>%</w:t>
            </w:r>
          </w:p>
        </w:tc>
        <w:tc>
          <w:tcPr>
            <w:tcW w:w="1890" w:type="dxa"/>
            <w:tcBorders>
              <w:bottom w:val="single" w:sz="4" w:space="0" w:color="auto"/>
            </w:tcBorders>
          </w:tcPr>
          <w:p w:rsidR="00547DFB" w:rsidRPr="00547DFB" w:rsidRDefault="00547DFB" w:rsidP="00547DFB">
            <w:pPr>
              <w:pStyle w:val="TableTextCentered"/>
              <w:rPr>
                <w:rFonts w:cstheme="majorHAnsi"/>
              </w:rPr>
            </w:pPr>
            <w:r w:rsidRPr="00A46F58">
              <w:rPr>
                <w:rFonts w:cstheme="majorHAnsi"/>
              </w:rPr>
              <w:t>-23.45</w:t>
            </w:r>
            <w:r>
              <w:rPr>
                <w:rFonts w:cstheme="majorHAnsi"/>
              </w:rPr>
              <w:t>%</w:t>
            </w:r>
          </w:p>
        </w:tc>
        <w:tc>
          <w:tcPr>
            <w:tcW w:w="1885" w:type="dxa"/>
            <w:tcBorders>
              <w:bottom w:val="single" w:sz="4" w:space="0" w:color="auto"/>
            </w:tcBorders>
          </w:tcPr>
          <w:p w:rsidR="00547DFB" w:rsidRPr="00547DFB" w:rsidRDefault="00547DFB" w:rsidP="00547DFB">
            <w:pPr>
              <w:pStyle w:val="TableTextCentered"/>
              <w:rPr>
                <w:rFonts w:cstheme="majorHAnsi"/>
              </w:rPr>
            </w:pPr>
            <w:r w:rsidRPr="00A46F58">
              <w:rPr>
                <w:rFonts w:cstheme="majorHAnsi"/>
              </w:rPr>
              <w:t>-187</w:t>
            </w:r>
          </w:p>
        </w:tc>
      </w:tr>
      <w:tr w:rsidR="00547DFB" w:rsidRPr="00B1225A" w:rsidTr="00123319">
        <w:tc>
          <w:tcPr>
            <w:tcW w:w="2965" w:type="dxa"/>
          </w:tcPr>
          <w:p w:rsidR="00547DFB" w:rsidRPr="00807FB9" w:rsidRDefault="00547DFB" w:rsidP="00123319">
            <w:pPr>
              <w:pStyle w:val="TableText"/>
              <w:jc w:val="center"/>
            </w:pPr>
            <w:r w:rsidRPr="00807FB9">
              <w:t>Career</w:t>
            </w:r>
            <w:r>
              <w:t>/</w:t>
            </w:r>
            <w:r w:rsidRPr="00807FB9">
              <w:t>Vocational</w:t>
            </w:r>
            <w:r>
              <w:t>/</w:t>
            </w:r>
            <w:r w:rsidRPr="00807FB9">
              <w:t>Technical Education</w:t>
            </w:r>
          </w:p>
        </w:tc>
        <w:tc>
          <w:tcPr>
            <w:tcW w:w="2610" w:type="dxa"/>
          </w:tcPr>
          <w:p w:rsidR="00547DFB" w:rsidRPr="00547DFB" w:rsidRDefault="00547DFB" w:rsidP="00547DFB">
            <w:pPr>
              <w:pStyle w:val="TableTextCentered"/>
              <w:rPr>
                <w:rFonts w:cstheme="majorHAnsi"/>
              </w:rPr>
            </w:pPr>
            <w:r w:rsidRPr="00A46F58">
              <w:rPr>
                <w:rFonts w:cstheme="majorHAnsi"/>
              </w:rPr>
              <w:t>-</w:t>
            </w:r>
            <w:r>
              <w:rPr>
                <w:rFonts w:cstheme="majorHAnsi"/>
              </w:rPr>
              <w:t>0</w:t>
            </w:r>
            <w:r w:rsidRPr="00A46F58">
              <w:rPr>
                <w:rFonts w:cstheme="majorHAnsi"/>
              </w:rPr>
              <w:t>.56</w:t>
            </w:r>
            <w:r>
              <w:rPr>
                <w:rFonts w:cstheme="majorHAnsi"/>
              </w:rPr>
              <w:t>%</w:t>
            </w:r>
          </w:p>
        </w:tc>
        <w:tc>
          <w:tcPr>
            <w:tcW w:w="1890" w:type="dxa"/>
          </w:tcPr>
          <w:p w:rsidR="00547DFB" w:rsidRPr="00547DFB" w:rsidRDefault="00547DFB" w:rsidP="00547DFB">
            <w:pPr>
              <w:pStyle w:val="TableTextCentered"/>
              <w:rPr>
                <w:rFonts w:cstheme="majorHAnsi"/>
              </w:rPr>
            </w:pPr>
            <w:r w:rsidRPr="00A46F58">
              <w:rPr>
                <w:rFonts w:cstheme="majorHAnsi"/>
              </w:rPr>
              <w:t>-5.44</w:t>
            </w:r>
            <w:r>
              <w:rPr>
                <w:rFonts w:cstheme="majorHAnsi"/>
              </w:rPr>
              <w:t>%</w:t>
            </w:r>
          </w:p>
        </w:tc>
        <w:tc>
          <w:tcPr>
            <w:tcW w:w="1885" w:type="dxa"/>
          </w:tcPr>
          <w:p w:rsidR="00547DFB" w:rsidRPr="00547DFB" w:rsidRDefault="00547DFB" w:rsidP="00547DFB">
            <w:pPr>
              <w:pStyle w:val="TableTextCentered"/>
              <w:rPr>
                <w:rFonts w:cstheme="majorHAnsi"/>
              </w:rPr>
            </w:pPr>
            <w:r w:rsidRPr="00A46F58">
              <w:rPr>
                <w:rFonts w:cstheme="majorHAnsi"/>
              </w:rPr>
              <w:t>-93</w:t>
            </w:r>
          </w:p>
        </w:tc>
      </w:tr>
    </w:tbl>
    <w:p w:rsidR="00C157EC" w:rsidRDefault="00C157EC" w:rsidP="008F7FB6">
      <w:pPr>
        <w:pStyle w:val="Heading3NoTOC"/>
      </w:pPr>
      <w:bookmarkStart w:id="157" w:name="_Toc435461214"/>
      <w:bookmarkStart w:id="158" w:name="_Toc435784278"/>
      <w:bookmarkStart w:id="159" w:name="_Toc436724315"/>
      <w:r>
        <w:t>Research Question 4</w:t>
      </w:r>
      <w:bookmarkEnd w:id="157"/>
      <w:r>
        <w:t>a: Demand and Supply Projections by Race</w:t>
      </w:r>
      <w:bookmarkEnd w:id="158"/>
      <w:bookmarkEnd w:id="159"/>
    </w:p>
    <w:p w:rsidR="00C157EC" w:rsidRDefault="00C157EC" w:rsidP="00CE7487">
      <w:pPr>
        <w:pStyle w:val="BodyText"/>
      </w:pPr>
      <w:r>
        <w:t>As an additional analysis related to demand and supply projections by race, the research team estimated projections of retained teachers, new entrants, and transfers by race. The retained teacher projections were created in much</w:t>
      </w:r>
      <w:r w:rsidR="00461E17">
        <w:t xml:space="preserve"> the same way as they were for Research Q</w:t>
      </w:r>
      <w:r>
        <w:t xml:space="preserve">uestion 3. To estimate new entrant projections by race, we first estimated new entrants based on the average proportion of students by race enrolled in each </w:t>
      </w:r>
      <w:r w:rsidR="003F4F9F">
        <w:t>sponsoring organization</w:t>
      </w:r>
      <w:r>
        <w:t xml:space="preserve"> (</w:t>
      </w:r>
      <w:r w:rsidR="003F4F9F">
        <w:t>SO</w:t>
      </w:r>
      <w:r>
        <w:t>) and then created projections at the district level using a regression-based approach. Finally, we estimated transfers based on the total teacher, retained teacher, and new entrant projections. The assumptions and methods used for these analyses are described in more detail in the Data and Methods section and Appendix A of this report.</w:t>
      </w:r>
    </w:p>
    <w:p w:rsidR="00C157EC" w:rsidRDefault="00C157EC" w:rsidP="008F7FB6">
      <w:pPr>
        <w:pStyle w:val="Heading4NoTOC"/>
      </w:pPr>
      <w:bookmarkStart w:id="160" w:name="_Toc435784279"/>
      <w:r w:rsidRPr="00CE7487">
        <w:t>Retained Teachers</w:t>
      </w:r>
      <w:bookmarkEnd w:id="160"/>
    </w:p>
    <w:p w:rsidR="00C157EC" w:rsidRDefault="00C157EC" w:rsidP="00CE7487">
      <w:pPr>
        <w:pStyle w:val="BodyText"/>
      </w:pPr>
      <w:r>
        <w:t xml:space="preserve">As seen in </w:t>
      </w:r>
      <w:r w:rsidR="004110D9">
        <w:t>Table</w:t>
      </w:r>
      <w:r>
        <w:t xml:space="preserve"> B3, the number of retained minority teachers is expected to decrease annually by almost 0.5 percent, on average, between 2013</w:t>
      </w:r>
      <w:r w:rsidRPr="0067485C">
        <w:t>–</w:t>
      </w:r>
      <w:r>
        <w:t>14 and 2023</w:t>
      </w:r>
      <w:r w:rsidRPr="0067485C">
        <w:t>–</w:t>
      </w:r>
      <w:r>
        <w:t>24, which will result in an overall decline of more than 4 percent in total over the same time period. The decline of 128 retained minority teachers outpaces the overall decline in the supply of minority teachers, which is expected to decline by only 2</w:t>
      </w:r>
      <w:r w:rsidR="00FD289D">
        <w:t>1</w:t>
      </w:r>
      <w:r>
        <w:t xml:space="preserve"> teachers from 2014</w:t>
      </w:r>
      <w:r w:rsidRPr="0067485C">
        <w:t>–</w:t>
      </w:r>
      <w:r>
        <w:t>15 to 2023</w:t>
      </w:r>
      <w:r w:rsidRPr="0067485C">
        <w:t>–</w:t>
      </w:r>
      <w:r>
        <w:t>24. Moreover, the decline in the retention of minority teachers is faster than the decline in the retention of White teachers, which is only expected to change by 0.37 percent per year, or 3.6</w:t>
      </w:r>
      <w:r w:rsidR="00FD289D">
        <w:t>5</w:t>
      </w:r>
      <w:r>
        <w:t xml:space="preserve"> percent overall.</w:t>
      </w:r>
    </w:p>
    <w:p w:rsidR="00C157EC" w:rsidRDefault="004110D9" w:rsidP="00A46F58">
      <w:pPr>
        <w:pStyle w:val="ExhibitTitle"/>
      </w:pPr>
      <w:r>
        <w:t>Table</w:t>
      </w:r>
      <w:r w:rsidR="00C157EC" w:rsidRPr="000331C5">
        <w:t xml:space="preserve"> </w:t>
      </w:r>
      <w:r w:rsidR="00C157EC">
        <w:t>B3</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Supply of Retained Teachers by Race</w:t>
      </w:r>
      <w:r w:rsidR="00BE6FDE">
        <w:t xml:space="preserve">, </w:t>
      </w:r>
      <w:r w:rsidR="00C157EC">
        <w:t>2014</w:t>
      </w:r>
      <w:r w:rsidR="00C157EC" w:rsidRPr="0067485C">
        <w:t>–</w:t>
      </w:r>
      <w:r w:rsidR="00C157EC">
        <w:t>15</w:t>
      </w:r>
      <w:r w:rsidR="0092042A">
        <w:t xml:space="preserve"> </w:t>
      </w:r>
      <w:proofErr w:type="gramStart"/>
      <w:r w:rsidR="0092042A">
        <w:t>Through</w:t>
      </w:r>
      <w:proofErr w:type="gramEnd"/>
      <w:r w:rsidR="0092042A">
        <w:t xml:space="preserve"> </w:t>
      </w:r>
      <w:r w:rsidR="00C157EC">
        <w:t>2023</w:t>
      </w:r>
      <w:r w:rsidR="00C157EC" w:rsidRPr="0067485C">
        <w:t>–</w:t>
      </w:r>
      <w:r w:rsidR="00BE6FDE">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1"/>
        <w:gridCol w:w="2677"/>
        <w:gridCol w:w="1939"/>
        <w:gridCol w:w="1933"/>
      </w:tblGrid>
      <w:tr w:rsidR="00C157EC" w:rsidTr="00123319">
        <w:trPr>
          <w:cnfStyle w:val="100000000000"/>
        </w:trPr>
        <w:tc>
          <w:tcPr>
            <w:tcW w:w="2965" w:type="dxa"/>
            <w:tcBorders>
              <w:bottom w:val="single" w:sz="4" w:space="0" w:color="auto"/>
            </w:tcBorders>
          </w:tcPr>
          <w:p w:rsidR="00C157EC" w:rsidRPr="00807FB9" w:rsidRDefault="00854E4E" w:rsidP="00123319">
            <w:pPr>
              <w:pStyle w:val="TableText"/>
              <w:jc w:val="center"/>
            </w:pPr>
            <w:r>
              <w:t>Race</w:t>
            </w:r>
          </w:p>
        </w:tc>
        <w:tc>
          <w:tcPr>
            <w:tcW w:w="2610" w:type="dxa"/>
            <w:tcBorders>
              <w:bottom w:val="single" w:sz="4" w:space="0" w:color="auto"/>
            </w:tcBorders>
          </w:tcPr>
          <w:p w:rsidR="00C157EC" w:rsidRPr="00807FB9" w:rsidRDefault="00C157EC" w:rsidP="00CE7487">
            <w:pPr>
              <w:pStyle w:val="TableTextCentered"/>
              <w:rPr>
                <w:szCs w:val="24"/>
              </w:rPr>
            </w:pPr>
            <w:r w:rsidRPr="003F4D14">
              <w:t>Average Annual Percent</w:t>
            </w:r>
            <w:r w:rsidRPr="00D250F3">
              <w:t xml:space="preserve"> Change</w:t>
            </w:r>
            <w:r>
              <w:t>:</w:t>
            </w:r>
            <w:r w:rsidRPr="00D250F3">
              <w:t xml:space="preserve"> 2014</w:t>
            </w:r>
            <w:r w:rsidRPr="0067485C">
              <w:t>–</w:t>
            </w:r>
            <w:r w:rsidRPr="00D250F3">
              <w:t xml:space="preserve">15 </w:t>
            </w:r>
            <w:r w:rsidR="00123319">
              <w:t>Through</w:t>
            </w:r>
            <w:r w:rsidR="00123319" w:rsidRPr="00C20B19">
              <w:t xml:space="preserve"> </w:t>
            </w:r>
            <w:r w:rsidRPr="00D250F3">
              <w:t>2023</w:t>
            </w:r>
            <w:r w:rsidRPr="0067485C">
              <w:t>–</w:t>
            </w:r>
            <w:r w:rsidRPr="00D250F3">
              <w:t>24</w:t>
            </w:r>
          </w:p>
        </w:tc>
        <w:tc>
          <w:tcPr>
            <w:tcW w:w="1890" w:type="dxa"/>
            <w:tcBorders>
              <w:bottom w:val="single" w:sz="4" w:space="0" w:color="auto"/>
            </w:tcBorders>
          </w:tcPr>
          <w:p w:rsidR="00C157EC" w:rsidRPr="00807FB9" w:rsidRDefault="00C157EC" w:rsidP="00CE7487">
            <w:pPr>
              <w:pStyle w:val="TableTextCentered"/>
              <w:rPr>
                <w:szCs w:val="24"/>
              </w:rPr>
            </w:pPr>
            <w:r w:rsidRPr="003F4D14">
              <w:t>Overall Percent</w:t>
            </w:r>
            <w:r w:rsidRPr="00D250F3">
              <w:t xml:space="preserve"> Change</w:t>
            </w:r>
            <w:r>
              <w:t>:</w:t>
            </w:r>
            <w:r w:rsidRPr="00D250F3">
              <w:t xml:space="preserve"> 2014</w:t>
            </w:r>
            <w:r w:rsidRPr="0067485C">
              <w:t>–</w:t>
            </w:r>
            <w:r w:rsidRPr="00D250F3">
              <w:t xml:space="preserve">15 </w:t>
            </w:r>
            <w:r w:rsidR="00123319">
              <w:t>Through</w:t>
            </w:r>
            <w:r w:rsidR="00123319" w:rsidRPr="00C20B19">
              <w:t xml:space="preserve"> </w:t>
            </w:r>
            <w:r w:rsidRPr="00D250F3">
              <w:t>2023</w:t>
            </w:r>
            <w:r w:rsidRPr="0067485C">
              <w:t>–</w:t>
            </w:r>
            <w:r w:rsidRPr="00D250F3">
              <w:t>24</w:t>
            </w:r>
          </w:p>
        </w:tc>
        <w:tc>
          <w:tcPr>
            <w:tcW w:w="1885" w:type="dxa"/>
            <w:tcBorders>
              <w:bottom w:val="single" w:sz="4" w:space="0" w:color="auto"/>
            </w:tcBorders>
          </w:tcPr>
          <w:p w:rsidR="00C157EC" w:rsidRPr="00807FB9" w:rsidRDefault="00C157EC" w:rsidP="00CE7487">
            <w:pPr>
              <w:pStyle w:val="TableTextCentered"/>
              <w:rPr>
                <w:szCs w:val="24"/>
              </w:rPr>
            </w:pPr>
            <w:r w:rsidRPr="003F4D14">
              <w:t>Overall A</w:t>
            </w:r>
            <w:r w:rsidRPr="00D250F3">
              <w:t>bsolute Change</w:t>
            </w:r>
            <w:r>
              <w:t>:</w:t>
            </w:r>
            <w:r w:rsidRPr="00D250F3">
              <w:t xml:space="preserve"> 2014</w:t>
            </w:r>
            <w:r w:rsidRPr="0067485C">
              <w:t>–</w:t>
            </w:r>
            <w:r w:rsidRPr="00D250F3">
              <w:t xml:space="preserve">15 </w:t>
            </w:r>
            <w:r w:rsidR="00123319">
              <w:t>Through</w:t>
            </w:r>
            <w:r w:rsidR="00123319" w:rsidRPr="00C20B19">
              <w:t xml:space="preserve"> </w:t>
            </w:r>
            <w:r w:rsidRPr="00D250F3">
              <w:t>2023</w:t>
            </w:r>
            <w:r w:rsidRPr="0067485C">
              <w:t>–</w:t>
            </w:r>
            <w:r w:rsidRPr="00D250F3">
              <w:t>24</w:t>
            </w:r>
          </w:p>
        </w:tc>
      </w:tr>
      <w:tr w:rsidR="00CE7487" w:rsidTr="00123319">
        <w:tc>
          <w:tcPr>
            <w:tcW w:w="2965" w:type="dxa"/>
            <w:tcBorders>
              <w:bottom w:val="single" w:sz="4" w:space="0" w:color="auto"/>
            </w:tcBorders>
          </w:tcPr>
          <w:p w:rsidR="00C157EC" w:rsidRPr="00807FB9" w:rsidRDefault="00C157EC" w:rsidP="00123319">
            <w:pPr>
              <w:pStyle w:val="TableText"/>
              <w:jc w:val="center"/>
            </w:pPr>
            <w:r w:rsidRPr="00807FB9">
              <w:t>All Minority</w:t>
            </w:r>
          </w:p>
        </w:tc>
        <w:tc>
          <w:tcPr>
            <w:tcW w:w="2610" w:type="dxa"/>
            <w:tcBorders>
              <w:bottom w:val="single" w:sz="4" w:space="0" w:color="auto"/>
            </w:tcBorders>
          </w:tcPr>
          <w:p w:rsidR="00C157EC" w:rsidRPr="00807FB9" w:rsidRDefault="00C157EC" w:rsidP="00CE7487">
            <w:pPr>
              <w:pStyle w:val="TableTextCentered"/>
            </w:pPr>
            <w:r w:rsidRPr="00807FB9">
              <w:t>-0.46%</w:t>
            </w:r>
          </w:p>
        </w:tc>
        <w:tc>
          <w:tcPr>
            <w:tcW w:w="1890" w:type="dxa"/>
            <w:tcBorders>
              <w:bottom w:val="single" w:sz="4" w:space="0" w:color="auto"/>
            </w:tcBorders>
          </w:tcPr>
          <w:p w:rsidR="00C157EC" w:rsidRPr="00807FB9" w:rsidRDefault="00C157EC" w:rsidP="00CE7487">
            <w:pPr>
              <w:pStyle w:val="TableTextCentered"/>
            </w:pPr>
            <w:r w:rsidRPr="00807FB9">
              <w:t>-4.50%</w:t>
            </w:r>
          </w:p>
        </w:tc>
        <w:tc>
          <w:tcPr>
            <w:tcW w:w="1885" w:type="dxa"/>
            <w:tcBorders>
              <w:bottom w:val="single" w:sz="4" w:space="0" w:color="auto"/>
            </w:tcBorders>
          </w:tcPr>
          <w:p w:rsidR="00C157EC" w:rsidRPr="00807FB9" w:rsidRDefault="00C157EC" w:rsidP="00CE7487">
            <w:pPr>
              <w:pStyle w:val="TableTextCentered"/>
            </w:pPr>
            <w:r w:rsidRPr="00807FB9">
              <w:t>-128</w:t>
            </w:r>
          </w:p>
        </w:tc>
      </w:tr>
      <w:tr w:rsidR="00C157EC" w:rsidTr="00123319">
        <w:tc>
          <w:tcPr>
            <w:tcW w:w="2965" w:type="dxa"/>
          </w:tcPr>
          <w:p w:rsidR="00C157EC" w:rsidRPr="00807FB9" w:rsidRDefault="00C157EC" w:rsidP="00123319">
            <w:pPr>
              <w:pStyle w:val="TableText"/>
              <w:jc w:val="center"/>
            </w:pPr>
            <w:r w:rsidRPr="00807FB9">
              <w:t>White</w:t>
            </w:r>
          </w:p>
        </w:tc>
        <w:tc>
          <w:tcPr>
            <w:tcW w:w="2610" w:type="dxa"/>
          </w:tcPr>
          <w:p w:rsidR="00C157EC" w:rsidRPr="00807FB9" w:rsidRDefault="00C157EC" w:rsidP="00CE7487">
            <w:pPr>
              <w:pStyle w:val="TableTextCentered"/>
            </w:pPr>
            <w:r w:rsidRPr="00807FB9">
              <w:t>-0.37%</w:t>
            </w:r>
          </w:p>
        </w:tc>
        <w:tc>
          <w:tcPr>
            <w:tcW w:w="1890" w:type="dxa"/>
          </w:tcPr>
          <w:p w:rsidR="00C157EC" w:rsidRPr="00807FB9" w:rsidRDefault="00C157EC" w:rsidP="00CE7487">
            <w:pPr>
              <w:pStyle w:val="TableTextCentered"/>
            </w:pPr>
            <w:r w:rsidRPr="00807FB9">
              <w:t>-3.6</w:t>
            </w:r>
            <w:r w:rsidR="00FD289D">
              <w:t>5</w:t>
            </w:r>
            <w:r w:rsidRPr="00807FB9">
              <w:t>%</w:t>
            </w:r>
          </w:p>
        </w:tc>
        <w:tc>
          <w:tcPr>
            <w:tcW w:w="1885" w:type="dxa"/>
          </w:tcPr>
          <w:p w:rsidR="00C157EC" w:rsidRPr="00807FB9" w:rsidRDefault="00C157EC" w:rsidP="00CE7487">
            <w:pPr>
              <w:pStyle w:val="TableTextCentered"/>
            </w:pPr>
            <w:r w:rsidRPr="00807FB9">
              <w:t>-1,96</w:t>
            </w:r>
            <w:r w:rsidR="00FD289D">
              <w:t>8</w:t>
            </w:r>
          </w:p>
        </w:tc>
      </w:tr>
    </w:tbl>
    <w:p w:rsidR="00C157EC" w:rsidRDefault="00C157EC" w:rsidP="00AA6403">
      <w:pPr>
        <w:pStyle w:val="BodyText"/>
      </w:pPr>
      <w:r>
        <w:t xml:space="preserve">The estimated trends for all minorities versus Whites are not all that surprising when we consider the average estimated retention rates for specific race categories versus that of White teachers. As shown in </w:t>
      </w:r>
      <w:r w:rsidR="004110D9">
        <w:t>Table</w:t>
      </w:r>
      <w:r>
        <w:t xml:space="preserve"> B4, African-American, Asian, and Hispanic teachers all have much lower average estimated retention rates than White teachers. Furthermore, these findings may be driving the overall decline in the supply of minority teachers as retention constitutes the largest share of overall supply.</w:t>
      </w:r>
    </w:p>
    <w:p w:rsidR="00C157EC" w:rsidRDefault="004110D9" w:rsidP="00AA6403">
      <w:pPr>
        <w:pStyle w:val="ExhibitTitle"/>
      </w:pPr>
      <w:r>
        <w:t>Table</w:t>
      </w:r>
      <w:r w:rsidR="00C157EC" w:rsidRPr="000331C5">
        <w:t xml:space="preserve"> </w:t>
      </w:r>
      <w:r w:rsidR="00C157EC">
        <w:t>B4</w:t>
      </w:r>
      <w:r w:rsidR="00C157EC" w:rsidRPr="000331C5">
        <w:t>.</w:t>
      </w:r>
      <w:r w:rsidR="00C157EC">
        <w:t xml:space="preserve"> Estimated</w:t>
      </w:r>
      <w:r w:rsidR="00C157EC" w:rsidRPr="002B58FC">
        <w:t xml:space="preserve"> </w:t>
      </w:r>
      <w:r w:rsidR="00C157EC">
        <w:t>Average Retention Rates for Minority and White Teachers</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5"/>
        <w:gridCol w:w="2399"/>
        <w:gridCol w:w="2121"/>
        <w:gridCol w:w="2025"/>
      </w:tblGrid>
      <w:tr w:rsidR="00434994" w:rsidTr="00434994">
        <w:trPr>
          <w:cnfStyle w:val="100000000000"/>
        </w:trPr>
        <w:tc>
          <w:tcPr>
            <w:tcW w:w="1587" w:type="pct"/>
            <w:tcBorders>
              <w:bottom w:val="single" w:sz="4" w:space="0" w:color="auto"/>
            </w:tcBorders>
          </w:tcPr>
          <w:p w:rsidR="00C157EC" w:rsidRPr="00807FB9" w:rsidRDefault="00C157EC" w:rsidP="00A2777B">
            <w:pPr>
              <w:pStyle w:val="TableText"/>
              <w:jc w:val="center"/>
            </w:pPr>
            <w:r w:rsidRPr="00807FB9">
              <w:t>Race</w:t>
            </w:r>
          </w:p>
        </w:tc>
        <w:tc>
          <w:tcPr>
            <w:tcW w:w="1251" w:type="pct"/>
            <w:tcBorders>
              <w:bottom w:val="single" w:sz="4" w:space="0" w:color="auto"/>
            </w:tcBorders>
          </w:tcPr>
          <w:p w:rsidR="00C157EC" w:rsidRPr="00807FB9" w:rsidRDefault="00A2777B" w:rsidP="00AA6403">
            <w:pPr>
              <w:pStyle w:val="TableTextCentered"/>
            </w:pPr>
            <w:r>
              <w:t xml:space="preserve">Estimated </w:t>
            </w:r>
            <w:r w:rsidR="00C157EC" w:rsidRPr="00807FB9">
              <w:t>Average Retention Rate</w:t>
            </w:r>
          </w:p>
        </w:tc>
        <w:tc>
          <w:tcPr>
            <w:tcW w:w="1106" w:type="pct"/>
            <w:tcBorders>
              <w:bottom w:val="single" w:sz="4" w:space="0" w:color="auto"/>
            </w:tcBorders>
          </w:tcPr>
          <w:p w:rsidR="00C157EC" w:rsidRPr="00807FB9" w:rsidRDefault="00C157EC" w:rsidP="00AA6403">
            <w:pPr>
              <w:pStyle w:val="TableTextCentered"/>
            </w:pPr>
            <w:r w:rsidRPr="00807FB9">
              <w:t>95% Confidence Interval</w:t>
            </w:r>
            <w:r w:rsidR="007858C8" w:rsidRPr="00930283">
              <w:t>–</w:t>
            </w:r>
            <w:r w:rsidRPr="00807FB9">
              <w:t>Lower Bound</w:t>
            </w:r>
          </w:p>
        </w:tc>
        <w:tc>
          <w:tcPr>
            <w:tcW w:w="1056" w:type="pct"/>
            <w:tcBorders>
              <w:bottom w:val="single" w:sz="4" w:space="0" w:color="auto"/>
            </w:tcBorders>
          </w:tcPr>
          <w:p w:rsidR="00C157EC" w:rsidRPr="00807FB9" w:rsidRDefault="00C157EC" w:rsidP="00AA6403">
            <w:pPr>
              <w:pStyle w:val="TableTextCentered"/>
            </w:pPr>
            <w:r w:rsidRPr="00807FB9">
              <w:t>95% Confidence Interval</w:t>
            </w:r>
            <w:r w:rsidR="007858C8" w:rsidRPr="00930283">
              <w:t>–</w:t>
            </w:r>
            <w:r w:rsidRPr="00807FB9">
              <w:t>Upper Bound</w:t>
            </w:r>
          </w:p>
        </w:tc>
      </w:tr>
      <w:tr w:rsidR="00434994" w:rsidTr="00434994">
        <w:tc>
          <w:tcPr>
            <w:tcW w:w="1587" w:type="pct"/>
            <w:tcBorders>
              <w:bottom w:val="single" w:sz="4" w:space="0" w:color="auto"/>
            </w:tcBorders>
          </w:tcPr>
          <w:p w:rsidR="00C157EC" w:rsidRPr="00D250F3" w:rsidRDefault="00C157EC" w:rsidP="00A2777B">
            <w:pPr>
              <w:pStyle w:val="TableText"/>
              <w:jc w:val="center"/>
            </w:pPr>
            <w:r w:rsidRPr="00D250F3">
              <w:t>African</w:t>
            </w:r>
            <w:r>
              <w:t xml:space="preserve"> </w:t>
            </w:r>
            <w:r w:rsidRPr="00D250F3">
              <w:t>American</w:t>
            </w:r>
          </w:p>
        </w:tc>
        <w:tc>
          <w:tcPr>
            <w:tcW w:w="1251" w:type="pct"/>
            <w:tcBorders>
              <w:bottom w:val="single" w:sz="4" w:space="0" w:color="auto"/>
            </w:tcBorders>
          </w:tcPr>
          <w:p w:rsidR="00C157EC" w:rsidRPr="00972DD0" w:rsidRDefault="00C157EC" w:rsidP="00AA6403">
            <w:pPr>
              <w:pStyle w:val="TableTextCentered"/>
            </w:pPr>
            <w:r w:rsidRPr="00972DD0">
              <w:t>65%</w:t>
            </w:r>
          </w:p>
        </w:tc>
        <w:tc>
          <w:tcPr>
            <w:tcW w:w="1106" w:type="pct"/>
            <w:tcBorders>
              <w:bottom w:val="single" w:sz="4" w:space="0" w:color="auto"/>
            </w:tcBorders>
          </w:tcPr>
          <w:p w:rsidR="00C157EC" w:rsidRPr="00972DD0" w:rsidRDefault="00C157EC" w:rsidP="00AA6403">
            <w:pPr>
              <w:pStyle w:val="TableTextCentered"/>
            </w:pPr>
            <w:r w:rsidRPr="00972DD0">
              <w:t>24%</w:t>
            </w:r>
          </w:p>
        </w:tc>
        <w:tc>
          <w:tcPr>
            <w:tcW w:w="1056" w:type="pct"/>
            <w:tcBorders>
              <w:bottom w:val="single" w:sz="4" w:space="0" w:color="auto"/>
            </w:tcBorders>
          </w:tcPr>
          <w:p w:rsidR="00C157EC" w:rsidRPr="00ED412E" w:rsidRDefault="00C157EC" w:rsidP="00AA6403">
            <w:pPr>
              <w:pStyle w:val="TableTextCentered"/>
            </w:pPr>
            <w:r w:rsidRPr="008B7050">
              <w:t>107%</w:t>
            </w:r>
          </w:p>
        </w:tc>
      </w:tr>
      <w:tr w:rsidR="00434994" w:rsidTr="00434994">
        <w:tc>
          <w:tcPr>
            <w:tcW w:w="1587" w:type="pct"/>
            <w:tcBorders>
              <w:bottom w:val="single" w:sz="4" w:space="0" w:color="auto"/>
            </w:tcBorders>
          </w:tcPr>
          <w:p w:rsidR="00C157EC" w:rsidRPr="00D250F3" w:rsidRDefault="00C157EC" w:rsidP="00A2777B">
            <w:pPr>
              <w:pStyle w:val="TableText"/>
              <w:jc w:val="center"/>
            </w:pPr>
            <w:r w:rsidRPr="00D250F3">
              <w:t>Asian</w:t>
            </w:r>
          </w:p>
        </w:tc>
        <w:tc>
          <w:tcPr>
            <w:tcW w:w="1251" w:type="pct"/>
            <w:tcBorders>
              <w:bottom w:val="single" w:sz="4" w:space="0" w:color="auto"/>
            </w:tcBorders>
          </w:tcPr>
          <w:p w:rsidR="00C157EC" w:rsidRPr="00972DD0" w:rsidRDefault="00C157EC" w:rsidP="00AA6403">
            <w:pPr>
              <w:pStyle w:val="TableTextCentered"/>
            </w:pPr>
            <w:r w:rsidRPr="00972DD0">
              <w:t>63%</w:t>
            </w:r>
          </w:p>
        </w:tc>
        <w:tc>
          <w:tcPr>
            <w:tcW w:w="1106" w:type="pct"/>
            <w:tcBorders>
              <w:bottom w:val="single" w:sz="4" w:space="0" w:color="auto"/>
            </w:tcBorders>
          </w:tcPr>
          <w:p w:rsidR="00C157EC" w:rsidRPr="00972DD0" w:rsidRDefault="00C157EC" w:rsidP="00AA6403">
            <w:pPr>
              <w:pStyle w:val="TableTextCentered"/>
            </w:pPr>
            <w:r w:rsidRPr="00972DD0">
              <w:t>16%</w:t>
            </w:r>
          </w:p>
        </w:tc>
        <w:tc>
          <w:tcPr>
            <w:tcW w:w="1056" w:type="pct"/>
            <w:tcBorders>
              <w:bottom w:val="single" w:sz="4" w:space="0" w:color="auto"/>
            </w:tcBorders>
          </w:tcPr>
          <w:p w:rsidR="00C157EC" w:rsidRPr="00ED412E" w:rsidRDefault="00C157EC" w:rsidP="00AA6403">
            <w:pPr>
              <w:pStyle w:val="TableTextCentered"/>
            </w:pPr>
            <w:r w:rsidRPr="008B7050">
              <w:t>111%</w:t>
            </w:r>
          </w:p>
        </w:tc>
      </w:tr>
      <w:tr w:rsidR="00434994" w:rsidTr="00434994">
        <w:tc>
          <w:tcPr>
            <w:tcW w:w="1587" w:type="pct"/>
            <w:tcBorders>
              <w:bottom w:val="single" w:sz="4" w:space="0" w:color="auto"/>
            </w:tcBorders>
          </w:tcPr>
          <w:p w:rsidR="00C157EC" w:rsidRPr="00D250F3" w:rsidRDefault="00C157EC" w:rsidP="00A2777B">
            <w:pPr>
              <w:pStyle w:val="TableText"/>
              <w:jc w:val="center"/>
            </w:pPr>
            <w:r w:rsidRPr="00D250F3">
              <w:t>Hispanic</w:t>
            </w:r>
          </w:p>
        </w:tc>
        <w:tc>
          <w:tcPr>
            <w:tcW w:w="1251" w:type="pct"/>
            <w:tcBorders>
              <w:bottom w:val="single" w:sz="4" w:space="0" w:color="auto"/>
            </w:tcBorders>
          </w:tcPr>
          <w:p w:rsidR="00C157EC" w:rsidRPr="00972DD0" w:rsidRDefault="00C157EC" w:rsidP="00AA6403">
            <w:pPr>
              <w:pStyle w:val="TableTextCentered"/>
            </w:pPr>
            <w:r w:rsidRPr="00972DD0">
              <w:t>72%</w:t>
            </w:r>
          </w:p>
        </w:tc>
        <w:tc>
          <w:tcPr>
            <w:tcW w:w="1106" w:type="pct"/>
            <w:tcBorders>
              <w:bottom w:val="single" w:sz="4" w:space="0" w:color="auto"/>
            </w:tcBorders>
          </w:tcPr>
          <w:p w:rsidR="00C157EC" w:rsidRPr="00972DD0" w:rsidRDefault="00C157EC" w:rsidP="00AA6403">
            <w:pPr>
              <w:pStyle w:val="TableTextCentered"/>
            </w:pPr>
            <w:r w:rsidRPr="00972DD0">
              <w:t>43%</w:t>
            </w:r>
          </w:p>
        </w:tc>
        <w:tc>
          <w:tcPr>
            <w:tcW w:w="1056" w:type="pct"/>
            <w:tcBorders>
              <w:bottom w:val="single" w:sz="4" w:space="0" w:color="auto"/>
            </w:tcBorders>
          </w:tcPr>
          <w:p w:rsidR="00C157EC" w:rsidRPr="00ED412E" w:rsidRDefault="00C157EC" w:rsidP="00AA6403">
            <w:pPr>
              <w:pStyle w:val="TableTextCentered"/>
            </w:pPr>
            <w:r w:rsidRPr="008B7050">
              <w:t>100%</w:t>
            </w:r>
          </w:p>
        </w:tc>
      </w:tr>
      <w:tr w:rsidR="00434994" w:rsidTr="00434994">
        <w:tc>
          <w:tcPr>
            <w:tcW w:w="1587" w:type="pct"/>
            <w:tcBorders>
              <w:bottom w:val="single" w:sz="4" w:space="0" w:color="auto"/>
            </w:tcBorders>
          </w:tcPr>
          <w:p w:rsidR="00C157EC" w:rsidRPr="00D250F3" w:rsidRDefault="00C157EC" w:rsidP="00A2777B">
            <w:pPr>
              <w:pStyle w:val="TableText"/>
              <w:jc w:val="center"/>
            </w:pPr>
            <w:r w:rsidRPr="00D250F3">
              <w:t>Native</w:t>
            </w:r>
            <w:r>
              <w:t xml:space="preserve"> </w:t>
            </w:r>
            <w:r w:rsidRPr="00D250F3">
              <w:t>American</w:t>
            </w:r>
          </w:p>
        </w:tc>
        <w:tc>
          <w:tcPr>
            <w:tcW w:w="1251" w:type="pct"/>
            <w:tcBorders>
              <w:bottom w:val="single" w:sz="4" w:space="0" w:color="auto"/>
            </w:tcBorders>
          </w:tcPr>
          <w:p w:rsidR="00C157EC" w:rsidRPr="00972DD0" w:rsidRDefault="00C157EC" w:rsidP="00AA6403">
            <w:pPr>
              <w:pStyle w:val="TableTextCentered"/>
            </w:pPr>
            <w:r w:rsidRPr="00972DD0">
              <w:t>100%</w:t>
            </w:r>
          </w:p>
        </w:tc>
        <w:tc>
          <w:tcPr>
            <w:tcW w:w="1106" w:type="pct"/>
            <w:tcBorders>
              <w:bottom w:val="single" w:sz="4" w:space="0" w:color="auto"/>
            </w:tcBorders>
          </w:tcPr>
          <w:p w:rsidR="00C157EC" w:rsidRPr="00972DD0" w:rsidRDefault="00C157EC" w:rsidP="00AA6403">
            <w:pPr>
              <w:pStyle w:val="TableTextCentered"/>
            </w:pPr>
            <w:r w:rsidRPr="00972DD0">
              <w:t>96%</w:t>
            </w:r>
          </w:p>
        </w:tc>
        <w:tc>
          <w:tcPr>
            <w:tcW w:w="1056" w:type="pct"/>
            <w:tcBorders>
              <w:bottom w:val="single" w:sz="4" w:space="0" w:color="auto"/>
            </w:tcBorders>
          </w:tcPr>
          <w:p w:rsidR="00C157EC" w:rsidRPr="00ED412E" w:rsidRDefault="00C157EC" w:rsidP="00AA6403">
            <w:pPr>
              <w:pStyle w:val="TableTextCentered"/>
            </w:pPr>
            <w:r w:rsidRPr="008B7050">
              <w:t>104%</w:t>
            </w:r>
          </w:p>
        </w:tc>
      </w:tr>
      <w:tr w:rsidR="00434994" w:rsidTr="00434994">
        <w:tc>
          <w:tcPr>
            <w:tcW w:w="1587" w:type="pct"/>
            <w:tcBorders>
              <w:bottom w:val="single" w:sz="4" w:space="0" w:color="auto"/>
            </w:tcBorders>
          </w:tcPr>
          <w:p w:rsidR="00C157EC" w:rsidRPr="00972DD0" w:rsidRDefault="00C157EC" w:rsidP="00A2777B">
            <w:pPr>
              <w:pStyle w:val="TableText"/>
              <w:jc w:val="center"/>
            </w:pPr>
            <w:r w:rsidRPr="00D250F3">
              <w:t>Nat</w:t>
            </w:r>
            <w:r w:rsidRPr="00972DD0">
              <w:t>ive Hawaiian, Pacific Islander</w:t>
            </w:r>
          </w:p>
        </w:tc>
        <w:tc>
          <w:tcPr>
            <w:tcW w:w="1251" w:type="pct"/>
            <w:tcBorders>
              <w:bottom w:val="single" w:sz="4" w:space="0" w:color="auto"/>
            </w:tcBorders>
          </w:tcPr>
          <w:p w:rsidR="00C157EC" w:rsidRPr="00972DD0" w:rsidRDefault="00C157EC" w:rsidP="00AA6403">
            <w:pPr>
              <w:pStyle w:val="TableTextCentered"/>
            </w:pPr>
            <w:r w:rsidRPr="00972DD0">
              <w:t>94%</w:t>
            </w:r>
          </w:p>
        </w:tc>
        <w:tc>
          <w:tcPr>
            <w:tcW w:w="1106" w:type="pct"/>
            <w:tcBorders>
              <w:bottom w:val="single" w:sz="4" w:space="0" w:color="auto"/>
            </w:tcBorders>
          </w:tcPr>
          <w:p w:rsidR="00C157EC" w:rsidRPr="00ED412E" w:rsidRDefault="00C157EC" w:rsidP="00AA6403">
            <w:pPr>
              <w:pStyle w:val="TableTextCentered"/>
            </w:pPr>
            <w:r w:rsidRPr="008B7050">
              <w:t>49%</w:t>
            </w:r>
          </w:p>
        </w:tc>
        <w:tc>
          <w:tcPr>
            <w:tcW w:w="1056" w:type="pct"/>
            <w:tcBorders>
              <w:bottom w:val="single" w:sz="4" w:space="0" w:color="auto"/>
            </w:tcBorders>
          </w:tcPr>
          <w:p w:rsidR="00C157EC" w:rsidRPr="00ED412E" w:rsidRDefault="00C157EC" w:rsidP="00AA6403">
            <w:pPr>
              <w:pStyle w:val="TableTextCentered"/>
            </w:pPr>
            <w:r w:rsidRPr="00ED412E">
              <w:t>138%</w:t>
            </w:r>
          </w:p>
        </w:tc>
      </w:tr>
      <w:tr w:rsidR="00434994" w:rsidTr="00434994">
        <w:tc>
          <w:tcPr>
            <w:tcW w:w="1587" w:type="pct"/>
            <w:tcBorders>
              <w:bottom w:val="single" w:sz="4" w:space="0" w:color="auto"/>
            </w:tcBorders>
          </w:tcPr>
          <w:p w:rsidR="00C157EC" w:rsidRPr="00D250F3" w:rsidRDefault="00C157EC" w:rsidP="00A2777B">
            <w:pPr>
              <w:pStyle w:val="TableText"/>
              <w:jc w:val="center"/>
            </w:pPr>
            <w:proofErr w:type="spellStart"/>
            <w:r w:rsidRPr="00D250F3">
              <w:t>Multi</w:t>
            </w:r>
            <w:r>
              <w:t>r</w:t>
            </w:r>
            <w:r w:rsidRPr="00D250F3">
              <w:t>ace</w:t>
            </w:r>
            <w:proofErr w:type="spellEnd"/>
            <w:r w:rsidRPr="00D250F3">
              <w:t>, Non-Hispanic</w:t>
            </w:r>
          </w:p>
        </w:tc>
        <w:tc>
          <w:tcPr>
            <w:tcW w:w="1251" w:type="pct"/>
            <w:tcBorders>
              <w:bottom w:val="single" w:sz="4" w:space="0" w:color="auto"/>
            </w:tcBorders>
          </w:tcPr>
          <w:p w:rsidR="00C157EC" w:rsidRPr="00972DD0" w:rsidRDefault="00C157EC" w:rsidP="00AA6403">
            <w:pPr>
              <w:pStyle w:val="TableTextCentered"/>
            </w:pPr>
            <w:r w:rsidRPr="00972DD0">
              <w:t>70%</w:t>
            </w:r>
          </w:p>
        </w:tc>
        <w:tc>
          <w:tcPr>
            <w:tcW w:w="1106" w:type="pct"/>
            <w:tcBorders>
              <w:bottom w:val="single" w:sz="4" w:space="0" w:color="auto"/>
            </w:tcBorders>
          </w:tcPr>
          <w:p w:rsidR="00C157EC" w:rsidRPr="00972DD0" w:rsidRDefault="00C157EC" w:rsidP="00AA6403">
            <w:pPr>
              <w:pStyle w:val="TableTextCentered"/>
            </w:pPr>
            <w:r w:rsidRPr="00972DD0">
              <w:t>17%</w:t>
            </w:r>
          </w:p>
        </w:tc>
        <w:tc>
          <w:tcPr>
            <w:tcW w:w="1056" w:type="pct"/>
            <w:tcBorders>
              <w:bottom w:val="single" w:sz="4" w:space="0" w:color="auto"/>
            </w:tcBorders>
          </w:tcPr>
          <w:p w:rsidR="00C157EC" w:rsidRPr="00ED412E" w:rsidRDefault="00C157EC" w:rsidP="00AA6403">
            <w:pPr>
              <w:pStyle w:val="TableTextCentered"/>
            </w:pPr>
            <w:r w:rsidRPr="008B7050">
              <w:t>122%</w:t>
            </w:r>
          </w:p>
        </w:tc>
      </w:tr>
      <w:tr w:rsidR="00434994" w:rsidTr="00434994">
        <w:tc>
          <w:tcPr>
            <w:tcW w:w="1587" w:type="pct"/>
          </w:tcPr>
          <w:p w:rsidR="00C157EC" w:rsidRPr="00D250F3" w:rsidRDefault="00C157EC" w:rsidP="00A2777B">
            <w:pPr>
              <w:pStyle w:val="TableText"/>
              <w:jc w:val="center"/>
            </w:pPr>
            <w:r w:rsidRPr="00D250F3">
              <w:t>White</w:t>
            </w:r>
          </w:p>
        </w:tc>
        <w:tc>
          <w:tcPr>
            <w:tcW w:w="1251" w:type="pct"/>
          </w:tcPr>
          <w:p w:rsidR="00C157EC" w:rsidRPr="00972DD0" w:rsidRDefault="00C157EC" w:rsidP="00AA6403">
            <w:pPr>
              <w:pStyle w:val="TableTextCentered"/>
            </w:pPr>
            <w:r w:rsidRPr="00972DD0">
              <w:t>87%</w:t>
            </w:r>
          </w:p>
        </w:tc>
        <w:tc>
          <w:tcPr>
            <w:tcW w:w="1106" w:type="pct"/>
          </w:tcPr>
          <w:p w:rsidR="00C157EC" w:rsidRPr="00972DD0" w:rsidRDefault="00C157EC" w:rsidP="00AA6403">
            <w:pPr>
              <w:pStyle w:val="TableTextCentered"/>
            </w:pPr>
            <w:r w:rsidRPr="00972DD0">
              <w:t>87%</w:t>
            </w:r>
          </w:p>
        </w:tc>
        <w:tc>
          <w:tcPr>
            <w:tcW w:w="1056" w:type="pct"/>
          </w:tcPr>
          <w:p w:rsidR="00C157EC" w:rsidRPr="00ED412E" w:rsidRDefault="00C157EC" w:rsidP="00AA6403">
            <w:pPr>
              <w:pStyle w:val="TableTextCentered"/>
            </w:pPr>
            <w:r w:rsidRPr="008B7050">
              <w:t>88%</w:t>
            </w:r>
          </w:p>
        </w:tc>
      </w:tr>
    </w:tbl>
    <w:p w:rsidR="00C157EC" w:rsidRPr="00AA6403" w:rsidRDefault="00C157EC" w:rsidP="008F7FB6">
      <w:pPr>
        <w:pStyle w:val="Heading4NoTOC"/>
      </w:pPr>
      <w:bookmarkStart w:id="161" w:name="_Toc435784280"/>
      <w:r w:rsidRPr="00AA6403">
        <w:t>New Entrants</w:t>
      </w:r>
      <w:bookmarkEnd w:id="161"/>
    </w:p>
    <w:p w:rsidR="00C157EC" w:rsidRPr="00AA6403" w:rsidRDefault="00C157EC" w:rsidP="00AA6403">
      <w:pPr>
        <w:pStyle w:val="BodyText"/>
      </w:pPr>
      <w:r>
        <w:t>The supply of newly entering teachers also was analyzed by race (</w:t>
      </w:r>
      <w:r w:rsidR="004110D9">
        <w:t>Table</w:t>
      </w:r>
      <w:r>
        <w:t xml:space="preserve"> B5). Specifically, we found that minority new entrants are expected to decline by an average of 6.69 percent each year between 2012</w:t>
      </w:r>
      <w:r w:rsidRPr="0067485C">
        <w:t>–</w:t>
      </w:r>
      <w:r>
        <w:t>13 and 2022</w:t>
      </w:r>
      <w:r w:rsidRPr="0067485C">
        <w:t>–</w:t>
      </w:r>
      <w:r>
        <w:t>23, or by approximately 50 percent in total over the period. Although these changes seem large in relative terms, they amount to a drop of only 173 teachers. In fact, new entrants are a very small proportion of total supply in general, making up only 4.8 percent of all teachers over the past three years. The supply of White new entrants also is expected to decline. Specifically, we found that newly entering White teachers are expected to decline by an average of 7.19 percent each year between 2012</w:t>
      </w:r>
      <w:r w:rsidRPr="00930283">
        <w:t>–</w:t>
      </w:r>
      <w:r>
        <w:t>13 and 2022</w:t>
      </w:r>
      <w:r w:rsidRPr="00930283">
        <w:t>–</w:t>
      </w:r>
      <w:r>
        <w:t>23, or approximately 52.6 percent (equal to 1,317 teachers) in total over the same time period.</w:t>
      </w:r>
    </w:p>
    <w:p w:rsidR="00C157EC" w:rsidRPr="00AA6403" w:rsidRDefault="004110D9" w:rsidP="00AA6403">
      <w:pPr>
        <w:pStyle w:val="ExhibitTitle"/>
      </w:pPr>
      <w:r>
        <w:t>Table</w:t>
      </w:r>
      <w:r w:rsidR="00C157EC" w:rsidRPr="000331C5">
        <w:t xml:space="preserve"> </w:t>
      </w:r>
      <w:r w:rsidR="00C157EC">
        <w:t>B5</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Supply of New Entrants by Race</w:t>
      </w:r>
      <w:r w:rsidR="00BE6FDE">
        <w:t>,</w:t>
      </w:r>
      <w:r w:rsidR="00C157EC" w:rsidRPr="002B58FC">
        <w:t xml:space="preserve"> </w:t>
      </w:r>
      <w:r w:rsidR="00C157EC">
        <w:t>201</w:t>
      </w:r>
      <w:r w:rsidR="00BE6FDE">
        <w:t>2</w:t>
      </w:r>
      <w:r w:rsidR="00C157EC" w:rsidRPr="00930283">
        <w:t>–</w:t>
      </w:r>
      <w:r w:rsidR="00C157EC">
        <w:t>1</w:t>
      </w:r>
      <w:r w:rsidR="00BE6FDE">
        <w:t>3</w:t>
      </w:r>
      <w:r w:rsidR="0092042A">
        <w:t xml:space="preserve"> </w:t>
      </w:r>
      <w:proofErr w:type="gramStart"/>
      <w:r w:rsidR="0092042A">
        <w:t>Through</w:t>
      </w:r>
      <w:proofErr w:type="gramEnd"/>
      <w:r w:rsidR="0092042A">
        <w:t xml:space="preserve"> </w:t>
      </w:r>
      <w:r w:rsidR="00C157EC">
        <w:t>202</w:t>
      </w:r>
      <w:r w:rsidR="00BE6FDE">
        <w:t>2</w:t>
      </w:r>
      <w:r w:rsidR="00C157EC" w:rsidRPr="00930283">
        <w:t>–</w:t>
      </w:r>
      <w:r w:rsidR="00BE6FDE">
        <w:t>23</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1"/>
        <w:gridCol w:w="2677"/>
        <w:gridCol w:w="1939"/>
        <w:gridCol w:w="1933"/>
      </w:tblGrid>
      <w:tr w:rsidR="00C157EC" w:rsidTr="00123319">
        <w:trPr>
          <w:cnfStyle w:val="100000000000"/>
        </w:trPr>
        <w:tc>
          <w:tcPr>
            <w:tcW w:w="2965" w:type="dxa"/>
            <w:tcBorders>
              <w:bottom w:val="single" w:sz="4" w:space="0" w:color="auto"/>
            </w:tcBorders>
          </w:tcPr>
          <w:p w:rsidR="00C157EC" w:rsidRPr="00807FB9" w:rsidRDefault="00854E4E" w:rsidP="00123319">
            <w:pPr>
              <w:pStyle w:val="TableText"/>
              <w:jc w:val="center"/>
            </w:pPr>
            <w:r>
              <w:t>Race</w:t>
            </w:r>
          </w:p>
        </w:tc>
        <w:tc>
          <w:tcPr>
            <w:tcW w:w="2610" w:type="dxa"/>
            <w:tcBorders>
              <w:bottom w:val="single" w:sz="4" w:space="0" w:color="auto"/>
            </w:tcBorders>
          </w:tcPr>
          <w:p w:rsidR="00C157EC" w:rsidRPr="00807FB9" w:rsidRDefault="00C157EC" w:rsidP="00AA6403">
            <w:pPr>
              <w:pStyle w:val="TableTextCentered"/>
            </w:pPr>
            <w:r w:rsidRPr="00D250F3">
              <w:t>Average Annual Percent Change</w:t>
            </w:r>
            <w:r>
              <w:t>:</w:t>
            </w:r>
            <w:r w:rsidRPr="00D250F3">
              <w:t xml:space="preserve"> 201</w:t>
            </w:r>
            <w:r>
              <w:t>2</w:t>
            </w:r>
            <w:r w:rsidRPr="00930283">
              <w:t>–</w:t>
            </w:r>
            <w:r w:rsidRPr="00D250F3">
              <w:t>13</w:t>
            </w:r>
            <w:r w:rsidRPr="00972DD0">
              <w:t xml:space="preserve"> </w:t>
            </w:r>
            <w:r w:rsidR="00123319">
              <w:t>Through</w:t>
            </w:r>
            <w:r w:rsidR="00123319" w:rsidRPr="00C20B19">
              <w:t xml:space="preserve"> </w:t>
            </w:r>
            <w:r w:rsidRPr="00D250F3">
              <w:t>202</w:t>
            </w:r>
            <w:r>
              <w:t>2</w:t>
            </w:r>
            <w:r w:rsidRPr="00930283">
              <w:t>–</w:t>
            </w:r>
            <w:r w:rsidRPr="00D250F3">
              <w:t>23</w:t>
            </w:r>
          </w:p>
        </w:tc>
        <w:tc>
          <w:tcPr>
            <w:tcW w:w="1890" w:type="dxa"/>
            <w:tcBorders>
              <w:bottom w:val="single" w:sz="4" w:space="0" w:color="auto"/>
            </w:tcBorders>
          </w:tcPr>
          <w:p w:rsidR="00C157EC" w:rsidRPr="00807FB9" w:rsidRDefault="00C157EC" w:rsidP="00AA6403">
            <w:pPr>
              <w:pStyle w:val="TableTextCentered"/>
            </w:pPr>
            <w:r w:rsidRPr="00D250F3">
              <w:t>Overall Percent Change</w:t>
            </w:r>
            <w:r>
              <w:t>:</w:t>
            </w:r>
            <w:r w:rsidRPr="00D250F3">
              <w:t xml:space="preserve"> </w:t>
            </w:r>
            <w:r w:rsidRPr="008A3727">
              <w:t>201</w:t>
            </w:r>
            <w:r>
              <w:t>2</w:t>
            </w:r>
            <w:r w:rsidRPr="00930283">
              <w:t>–</w:t>
            </w:r>
            <w:r w:rsidRPr="008A3727">
              <w:t xml:space="preserve">13 </w:t>
            </w:r>
            <w:r w:rsidR="00123319">
              <w:t>Through</w:t>
            </w:r>
            <w:r w:rsidR="00123319" w:rsidRPr="00C20B19">
              <w:t xml:space="preserve"> </w:t>
            </w:r>
            <w:r w:rsidRPr="008A3727">
              <w:t>202</w:t>
            </w:r>
            <w:r>
              <w:t>2</w:t>
            </w:r>
            <w:r w:rsidRPr="00930283">
              <w:t>–</w:t>
            </w:r>
            <w:r w:rsidRPr="008A3727">
              <w:t>23</w:t>
            </w:r>
          </w:p>
        </w:tc>
        <w:tc>
          <w:tcPr>
            <w:tcW w:w="1885" w:type="dxa"/>
            <w:tcBorders>
              <w:bottom w:val="single" w:sz="4" w:space="0" w:color="auto"/>
            </w:tcBorders>
          </w:tcPr>
          <w:p w:rsidR="00C157EC" w:rsidRPr="00807FB9" w:rsidRDefault="00C157EC" w:rsidP="00AA6403">
            <w:pPr>
              <w:pStyle w:val="TableTextCentered"/>
            </w:pPr>
            <w:r w:rsidRPr="00D250F3">
              <w:t>Overall Absolute Change</w:t>
            </w:r>
            <w:r>
              <w:t>:</w:t>
            </w:r>
            <w:r w:rsidRPr="00D250F3">
              <w:t xml:space="preserve"> </w:t>
            </w:r>
            <w:r w:rsidRPr="008A3727">
              <w:t>201</w:t>
            </w:r>
            <w:r>
              <w:t>2</w:t>
            </w:r>
            <w:r w:rsidRPr="00930283">
              <w:t>–</w:t>
            </w:r>
            <w:r w:rsidRPr="008A3727">
              <w:t xml:space="preserve">13 </w:t>
            </w:r>
            <w:r w:rsidR="00123319">
              <w:t>Through</w:t>
            </w:r>
            <w:r w:rsidR="00123319" w:rsidRPr="00C20B19">
              <w:t xml:space="preserve"> </w:t>
            </w:r>
            <w:r w:rsidRPr="008A3727">
              <w:t>202</w:t>
            </w:r>
            <w:r>
              <w:t>2</w:t>
            </w:r>
            <w:r w:rsidRPr="00930283">
              <w:t>–</w:t>
            </w:r>
            <w:r w:rsidRPr="008A3727">
              <w:t>23</w:t>
            </w:r>
          </w:p>
        </w:tc>
      </w:tr>
      <w:tr w:rsidR="00AA6403" w:rsidTr="00123319">
        <w:tc>
          <w:tcPr>
            <w:tcW w:w="2965" w:type="dxa"/>
            <w:tcBorders>
              <w:bottom w:val="single" w:sz="4" w:space="0" w:color="auto"/>
            </w:tcBorders>
          </w:tcPr>
          <w:p w:rsidR="00C157EC" w:rsidRPr="00807FB9" w:rsidRDefault="00C157EC" w:rsidP="00123319">
            <w:pPr>
              <w:pStyle w:val="TableText"/>
              <w:jc w:val="center"/>
            </w:pPr>
            <w:r w:rsidRPr="00807FB9">
              <w:t>All Minority</w:t>
            </w:r>
          </w:p>
        </w:tc>
        <w:tc>
          <w:tcPr>
            <w:tcW w:w="2610" w:type="dxa"/>
            <w:tcBorders>
              <w:bottom w:val="single" w:sz="4" w:space="0" w:color="auto"/>
            </w:tcBorders>
          </w:tcPr>
          <w:p w:rsidR="00C157EC" w:rsidRPr="00807FB9" w:rsidRDefault="00C157EC" w:rsidP="00AA6403">
            <w:pPr>
              <w:pStyle w:val="TableTextCentered"/>
            </w:pPr>
            <w:r w:rsidRPr="00807FB9">
              <w:t>-6.69%</w:t>
            </w:r>
          </w:p>
        </w:tc>
        <w:tc>
          <w:tcPr>
            <w:tcW w:w="1890" w:type="dxa"/>
            <w:tcBorders>
              <w:bottom w:val="single" w:sz="4" w:space="0" w:color="auto"/>
            </w:tcBorders>
          </w:tcPr>
          <w:p w:rsidR="00C157EC" w:rsidRPr="00807FB9" w:rsidRDefault="00C157EC" w:rsidP="00AA6403">
            <w:pPr>
              <w:pStyle w:val="TableTextCentered"/>
            </w:pPr>
            <w:r w:rsidRPr="00807FB9">
              <w:t>-50.04%</w:t>
            </w:r>
          </w:p>
        </w:tc>
        <w:tc>
          <w:tcPr>
            <w:tcW w:w="1885" w:type="dxa"/>
            <w:tcBorders>
              <w:bottom w:val="single" w:sz="4" w:space="0" w:color="auto"/>
            </w:tcBorders>
          </w:tcPr>
          <w:p w:rsidR="00C157EC" w:rsidRPr="00807FB9" w:rsidRDefault="00C157EC" w:rsidP="00AA6403">
            <w:pPr>
              <w:pStyle w:val="TableTextCentered"/>
            </w:pPr>
            <w:r w:rsidRPr="00807FB9">
              <w:t>-173</w:t>
            </w:r>
          </w:p>
        </w:tc>
      </w:tr>
      <w:tr w:rsidR="00C157EC" w:rsidTr="00123319">
        <w:tc>
          <w:tcPr>
            <w:tcW w:w="2965" w:type="dxa"/>
          </w:tcPr>
          <w:p w:rsidR="00C157EC" w:rsidRPr="00807FB9" w:rsidRDefault="00C157EC" w:rsidP="00123319">
            <w:pPr>
              <w:pStyle w:val="TableText"/>
              <w:jc w:val="center"/>
            </w:pPr>
            <w:r w:rsidRPr="00807FB9">
              <w:t>White</w:t>
            </w:r>
          </w:p>
        </w:tc>
        <w:tc>
          <w:tcPr>
            <w:tcW w:w="2610" w:type="dxa"/>
          </w:tcPr>
          <w:p w:rsidR="00C157EC" w:rsidRPr="00807FB9" w:rsidRDefault="00C157EC" w:rsidP="00AA6403">
            <w:pPr>
              <w:pStyle w:val="TableTextCentered"/>
            </w:pPr>
            <w:r w:rsidRPr="00807FB9">
              <w:t>-7.19%</w:t>
            </w:r>
          </w:p>
        </w:tc>
        <w:tc>
          <w:tcPr>
            <w:tcW w:w="1890" w:type="dxa"/>
          </w:tcPr>
          <w:p w:rsidR="00C157EC" w:rsidRPr="00807FB9" w:rsidRDefault="00C157EC" w:rsidP="00AA6403">
            <w:pPr>
              <w:pStyle w:val="TableTextCentered"/>
            </w:pPr>
            <w:r w:rsidRPr="00807FB9">
              <w:t>-52.59%</w:t>
            </w:r>
          </w:p>
        </w:tc>
        <w:tc>
          <w:tcPr>
            <w:tcW w:w="1885" w:type="dxa"/>
          </w:tcPr>
          <w:p w:rsidR="00C157EC" w:rsidRPr="00807FB9" w:rsidRDefault="00C157EC" w:rsidP="00AA6403">
            <w:pPr>
              <w:pStyle w:val="TableTextCentered"/>
            </w:pPr>
            <w:r w:rsidRPr="00807FB9">
              <w:t>-1,317</w:t>
            </w:r>
          </w:p>
        </w:tc>
      </w:tr>
    </w:tbl>
    <w:p w:rsidR="00C157EC" w:rsidRDefault="00C157EC" w:rsidP="00AA6403">
      <w:pPr>
        <w:pStyle w:val="BodyText"/>
      </w:pPr>
      <w:r>
        <w:t>These results suggest that the projected decline in new entrants statewide is consistent for both White and minority new entrants. However, it is important to bear in mind that the data upon which the new entrant projections were based only consisted of three years of historical data, so these projections should be interpreted with caution.</w:t>
      </w:r>
    </w:p>
    <w:p w:rsidR="00C157EC" w:rsidRDefault="00C157EC" w:rsidP="008F7FB6">
      <w:pPr>
        <w:pStyle w:val="Heading4NoTOC"/>
      </w:pPr>
      <w:bookmarkStart w:id="162" w:name="_Toc435784281"/>
      <w:r>
        <w:t>Transfers</w:t>
      </w:r>
      <w:bookmarkEnd w:id="162"/>
    </w:p>
    <w:p w:rsidR="00C157EC" w:rsidRDefault="00C157EC" w:rsidP="00EC7FF5">
      <w:pPr>
        <w:pStyle w:val="BodyText"/>
      </w:pPr>
      <w:r>
        <w:t>We found that the supply of minority teachers transferring into districts, either from other districts or elsewhere (i.e., those who did not transfer from a teacher preparation program) is expected to grow (</w:t>
      </w:r>
      <w:r w:rsidR="004110D9">
        <w:t>Table</w:t>
      </w:r>
      <w:r>
        <w:t xml:space="preserve"> B6). Specifically, minority transfer teachers are projected to increase 2.2</w:t>
      </w:r>
      <w:r w:rsidR="00FD289D">
        <w:t>3</w:t>
      </w:r>
      <w:r>
        <w:t xml:space="preserve"> percent, on average, each year between 2012</w:t>
      </w:r>
      <w:r w:rsidRPr="00930283">
        <w:t>–</w:t>
      </w:r>
      <w:r>
        <w:t>13 and 2022</w:t>
      </w:r>
      <w:r w:rsidRPr="00930283">
        <w:t>–</w:t>
      </w:r>
      <w:r>
        <w:t>23, growing 24.</w:t>
      </w:r>
      <w:r w:rsidR="00FD289D">
        <w:t>62</w:t>
      </w:r>
      <w:r>
        <w:t xml:space="preserve"> percent in total, or 27</w:t>
      </w:r>
      <w:r w:rsidR="00FD289D">
        <w:t>8</w:t>
      </w:r>
      <w:r>
        <w:t xml:space="preserve"> teachers over the period. The supply of White transfer teachers is expected to increase at a much slower average annual rate of 0.61 percent, amounting to an increase of 3</w:t>
      </w:r>
      <w:r w:rsidR="00FD289D">
        <w:t>48</w:t>
      </w:r>
      <w:r>
        <w:t xml:space="preserve"> teachers over the period.</w:t>
      </w:r>
    </w:p>
    <w:p w:rsidR="00C157EC" w:rsidRPr="00EC7FF5" w:rsidRDefault="004110D9" w:rsidP="00EC7FF5">
      <w:pPr>
        <w:pStyle w:val="ExhibitTitle"/>
      </w:pPr>
      <w:r>
        <w:t>Table</w:t>
      </w:r>
      <w:r w:rsidR="00C157EC" w:rsidRPr="000331C5">
        <w:t xml:space="preserve"> </w:t>
      </w:r>
      <w:r w:rsidR="00C157EC">
        <w:t>B6</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Supply of Transfers by Race</w:t>
      </w:r>
      <w:r w:rsidR="00BE6FDE">
        <w:t>,</w:t>
      </w:r>
      <w:r w:rsidR="00BE6FDE" w:rsidRPr="002B58FC">
        <w:t xml:space="preserve"> </w:t>
      </w:r>
      <w:r w:rsidR="00BE6FDE">
        <w:t>2012</w:t>
      </w:r>
      <w:r w:rsidR="00BE6FDE" w:rsidRPr="00930283">
        <w:t>–</w:t>
      </w:r>
      <w:r w:rsidR="00BE6FDE">
        <w:t>13</w:t>
      </w:r>
      <w:r w:rsidR="0092042A">
        <w:t xml:space="preserve"> </w:t>
      </w:r>
      <w:proofErr w:type="gramStart"/>
      <w:r w:rsidR="0092042A">
        <w:t>Through</w:t>
      </w:r>
      <w:proofErr w:type="gramEnd"/>
      <w:r w:rsidR="0092042A">
        <w:t xml:space="preserve"> </w:t>
      </w:r>
      <w:r w:rsidR="00BE6FDE">
        <w:t>2022</w:t>
      </w:r>
      <w:r w:rsidR="00BE6FDE" w:rsidRPr="00930283">
        <w:t>–</w:t>
      </w:r>
      <w:r w:rsidR="00BE6FDE">
        <w:t>23</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1"/>
        <w:gridCol w:w="2677"/>
        <w:gridCol w:w="1939"/>
        <w:gridCol w:w="1933"/>
      </w:tblGrid>
      <w:tr w:rsidR="00C157EC" w:rsidTr="00123319">
        <w:trPr>
          <w:cnfStyle w:val="100000000000"/>
        </w:trPr>
        <w:tc>
          <w:tcPr>
            <w:tcW w:w="2965" w:type="dxa"/>
            <w:tcBorders>
              <w:bottom w:val="single" w:sz="4" w:space="0" w:color="auto"/>
            </w:tcBorders>
          </w:tcPr>
          <w:p w:rsidR="00C157EC" w:rsidRDefault="00854E4E" w:rsidP="00123319">
            <w:pPr>
              <w:pStyle w:val="TableText"/>
              <w:jc w:val="center"/>
              <w:rPr>
                <w:rFonts w:ascii="Times New Roman" w:hAnsi="Times New Roman"/>
                <w:sz w:val="24"/>
                <w:szCs w:val="24"/>
              </w:rPr>
            </w:pPr>
            <w:r>
              <w:t>Race</w:t>
            </w:r>
          </w:p>
        </w:tc>
        <w:tc>
          <w:tcPr>
            <w:tcW w:w="2610" w:type="dxa"/>
            <w:tcBorders>
              <w:bottom w:val="single" w:sz="4" w:space="0" w:color="auto"/>
            </w:tcBorders>
          </w:tcPr>
          <w:p w:rsidR="00C157EC" w:rsidRDefault="00C157EC" w:rsidP="00EC7FF5">
            <w:pPr>
              <w:pStyle w:val="TableTextCentered"/>
              <w:rPr>
                <w:rFonts w:ascii="Times New Roman" w:hAnsi="Times New Roman"/>
                <w:sz w:val="24"/>
                <w:szCs w:val="24"/>
              </w:rPr>
            </w:pPr>
            <w:r w:rsidRPr="008A3727">
              <w:t>Average Annual Percent Change</w:t>
            </w:r>
            <w:r>
              <w:t>:</w:t>
            </w:r>
            <w:r w:rsidRPr="008A3727">
              <w:t xml:space="preserve"> 201</w:t>
            </w:r>
            <w:r>
              <w:t>2</w:t>
            </w:r>
            <w:r w:rsidRPr="00D15E18">
              <w:t>–</w:t>
            </w:r>
            <w:r w:rsidRPr="008A3727">
              <w:t xml:space="preserve">13 </w:t>
            </w:r>
            <w:r w:rsidR="00123319">
              <w:t>Through</w:t>
            </w:r>
            <w:r w:rsidR="00123319" w:rsidRPr="00C20B19">
              <w:t xml:space="preserve"> </w:t>
            </w:r>
            <w:r w:rsidRPr="008A3727">
              <w:t>202</w:t>
            </w:r>
            <w:r>
              <w:t>2</w:t>
            </w:r>
            <w:r w:rsidRPr="00D15E18">
              <w:t>–</w:t>
            </w:r>
            <w:r w:rsidRPr="008A3727">
              <w:t>23</w:t>
            </w:r>
          </w:p>
        </w:tc>
        <w:tc>
          <w:tcPr>
            <w:tcW w:w="1890" w:type="dxa"/>
            <w:tcBorders>
              <w:bottom w:val="single" w:sz="4" w:space="0" w:color="auto"/>
            </w:tcBorders>
          </w:tcPr>
          <w:p w:rsidR="00C157EC" w:rsidRDefault="00C157EC" w:rsidP="00EC7FF5">
            <w:pPr>
              <w:pStyle w:val="TableTextCentered"/>
              <w:rPr>
                <w:rFonts w:ascii="Times New Roman" w:hAnsi="Times New Roman"/>
                <w:sz w:val="24"/>
                <w:szCs w:val="24"/>
              </w:rPr>
            </w:pPr>
            <w:r w:rsidRPr="008A3727">
              <w:t>Overall Percent Change</w:t>
            </w:r>
            <w:r>
              <w:t>:</w:t>
            </w:r>
            <w:r w:rsidRPr="008A3727">
              <w:t xml:space="preserve"> 201</w:t>
            </w:r>
            <w:r>
              <w:t>2</w:t>
            </w:r>
            <w:r w:rsidRPr="00D15E18">
              <w:t>–</w:t>
            </w:r>
            <w:r w:rsidRPr="008A3727">
              <w:t xml:space="preserve">13 </w:t>
            </w:r>
            <w:r w:rsidR="00123319">
              <w:t>Through</w:t>
            </w:r>
            <w:r w:rsidR="00123319" w:rsidRPr="00C20B19">
              <w:t xml:space="preserve"> </w:t>
            </w:r>
            <w:r w:rsidRPr="008A3727">
              <w:t>202</w:t>
            </w:r>
            <w:r>
              <w:t>2</w:t>
            </w:r>
            <w:r w:rsidRPr="00D15E18">
              <w:t>–</w:t>
            </w:r>
            <w:r w:rsidRPr="008A3727">
              <w:t>23</w:t>
            </w:r>
          </w:p>
        </w:tc>
        <w:tc>
          <w:tcPr>
            <w:tcW w:w="1885" w:type="dxa"/>
            <w:tcBorders>
              <w:bottom w:val="single" w:sz="4" w:space="0" w:color="auto"/>
            </w:tcBorders>
          </w:tcPr>
          <w:p w:rsidR="00C157EC" w:rsidRDefault="00C157EC" w:rsidP="00EC7FF5">
            <w:pPr>
              <w:pStyle w:val="TableTextCentered"/>
              <w:rPr>
                <w:rFonts w:ascii="Times New Roman" w:hAnsi="Times New Roman"/>
                <w:sz w:val="24"/>
                <w:szCs w:val="24"/>
              </w:rPr>
            </w:pPr>
            <w:r w:rsidRPr="008A3727">
              <w:t>Overall Absolute Change</w:t>
            </w:r>
            <w:r>
              <w:t>:</w:t>
            </w:r>
            <w:r w:rsidRPr="008A3727">
              <w:t xml:space="preserve"> 201</w:t>
            </w:r>
            <w:r>
              <w:t>2</w:t>
            </w:r>
            <w:r w:rsidRPr="00D15E18">
              <w:t>–</w:t>
            </w:r>
            <w:r w:rsidRPr="008A3727">
              <w:t xml:space="preserve">13 </w:t>
            </w:r>
            <w:r w:rsidR="00123319">
              <w:t>Through</w:t>
            </w:r>
            <w:r w:rsidR="00123319" w:rsidRPr="00C20B19">
              <w:t xml:space="preserve"> </w:t>
            </w:r>
            <w:r w:rsidRPr="008A3727">
              <w:t>202</w:t>
            </w:r>
            <w:r>
              <w:t>2</w:t>
            </w:r>
            <w:r w:rsidRPr="00D15E18">
              <w:t>–</w:t>
            </w:r>
            <w:r w:rsidRPr="008A3727">
              <w:t>23</w:t>
            </w:r>
          </w:p>
        </w:tc>
      </w:tr>
      <w:tr w:rsidR="00EC7FF5" w:rsidTr="00123319">
        <w:tc>
          <w:tcPr>
            <w:tcW w:w="2965" w:type="dxa"/>
            <w:tcBorders>
              <w:bottom w:val="single" w:sz="4" w:space="0" w:color="auto"/>
            </w:tcBorders>
          </w:tcPr>
          <w:p w:rsidR="00C157EC" w:rsidRPr="00807FB9" w:rsidRDefault="00C157EC" w:rsidP="00123319">
            <w:pPr>
              <w:pStyle w:val="TableText"/>
              <w:jc w:val="center"/>
            </w:pPr>
            <w:r w:rsidRPr="00807FB9">
              <w:t>All Minority</w:t>
            </w:r>
          </w:p>
        </w:tc>
        <w:tc>
          <w:tcPr>
            <w:tcW w:w="2610" w:type="dxa"/>
            <w:tcBorders>
              <w:bottom w:val="single" w:sz="4" w:space="0" w:color="auto"/>
            </w:tcBorders>
          </w:tcPr>
          <w:p w:rsidR="00C157EC" w:rsidRPr="00807FB9" w:rsidRDefault="00C157EC" w:rsidP="00EC7FF5">
            <w:pPr>
              <w:pStyle w:val="TableTextCentered"/>
            </w:pPr>
            <w:r w:rsidRPr="00807FB9">
              <w:t>2.2</w:t>
            </w:r>
            <w:r w:rsidR="00FD289D">
              <w:t>3</w:t>
            </w:r>
            <w:r w:rsidRPr="00807FB9">
              <w:t>%</w:t>
            </w:r>
          </w:p>
        </w:tc>
        <w:tc>
          <w:tcPr>
            <w:tcW w:w="1890" w:type="dxa"/>
            <w:tcBorders>
              <w:bottom w:val="single" w:sz="4" w:space="0" w:color="auto"/>
            </w:tcBorders>
          </w:tcPr>
          <w:p w:rsidR="00C157EC" w:rsidRPr="00807FB9" w:rsidRDefault="00C157EC" w:rsidP="00EC7FF5">
            <w:pPr>
              <w:pStyle w:val="TableTextCentered"/>
            </w:pPr>
            <w:r w:rsidRPr="00807FB9">
              <w:t>24.</w:t>
            </w:r>
            <w:r w:rsidR="00FD289D">
              <w:t>62</w:t>
            </w:r>
            <w:r w:rsidRPr="00807FB9">
              <w:t>%</w:t>
            </w:r>
          </w:p>
        </w:tc>
        <w:tc>
          <w:tcPr>
            <w:tcW w:w="1885" w:type="dxa"/>
            <w:tcBorders>
              <w:bottom w:val="single" w:sz="4" w:space="0" w:color="auto"/>
            </w:tcBorders>
          </w:tcPr>
          <w:p w:rsidR="00C157EC" w:rsidRPr="00807FB9" w:rsidRDefault="00C157EC" w:rsidP="00EC7FF5">
            <w:pPr>
              <w:pStyle w:val="TableTextCentered"/>
            </w:pPr>
            <w:r w:rsidRPr="00807FB9">
              <w:t>27</w:t>
            </w:r>
            <w:r w:rsidR="00FD289D">
              <w:t>8</w:t>
            </w:r>
          </w:p>
        </w:tc>
      </w:tr>
      <w:tr w:rsidR="00C157EC" w:rsidTr="00123319">
        <w:tc>
          <w:tcPr>
            <w:tcW w:w="2965" w:type="dxa"/>
          </w:tcPr>
          <w:p w:rsidR="00C157EC" w:rsidRPr="00807FB9" w:rsidRDefault="00C157EC" w:rsidP="00123319">
            <w:pPr>
              <w:pStyle w:val="TableText"/>
              <w:jc w:val="center"/>
            </w:pPr>
            <w:r w:rsidRPr="00807FB9">
              <w:t>White</w:t>
            </w:r>
          </w:p>
        </w:tc>
        <w:tc>
          <w:tcPr>
            <w:tcW w:w="2610" w:type="dxa"/>
          </w:tcPr>
          <w:p w:rsidR="00C157EC" w:rsidRPr="00807FB9" w:rsidRDefault="00C157EC" w:rsidP="00EC7FF5">
            <w:pPr>
              <w:pStyle w:val="TableTextCentered"/>
            </w:pPr>
            <w:r w:rsidRPr="00807FB9">
              <w:t>0.61%</w:t>
            </w:r>
          </w:p>
        </w:tc>
        <w:tc>
          <w:tcPr>
            <w:tcW w:w="1890" w:type="dxa"/>
          </w:tcPr>
          <w:p w:rsidR="00C157EC" w:rsidRPr="00807FB9" w:rsidRDefault="00FD289D" w:rsidP="00EC7FF5">
            <w:pPr>
              <w:pStyle w:val="TableTextCentered"/>
            </w:pPr>
            <w:r>
              <w:t>6.03</w:t>
            </w:r>
            <w:r w:rsidR="00C157EC" w:rsidRPr="00807FB9">
              <w:t>%</w:t>
            </w:r>
          </w:p>
        </w:tc>
        <w:tc>
          <w:tcPr>
            <w:tcW w:w="1885" w:type="dxa"/>
          </w:tcPr>
          <w:p w:rsidR="00C157EC" w:rsidRPr="00807FB9" w:rsidRDefault="00C157EC" w:rsidP="00EC7FF5">
            <w:pPr>
              <w:pStyle w:val="TableTextCentered"/>
            </w:pPr>
            <w:r w:rsidRPr="00807FB9">
              <w:t>3</w:t>
            </w:r>
            <w:r w:rsidR="00FD289D">
              <w:t>48</w:t>
            </w:r>
          </w:p>
        </w:tc>
      </w:tr>
    </w:tbl>
    <w:p w:rsidR="00C157EC" w:rsidRDefault="00C157EC" w:rsidP="008F7FB6">
      <w:pPr>
        <w:pStyle w:val="Heading3NoTOC"/>
      </w:pPr>
      <w:bookmarkStart w:id="163" w:name="_Toc435784283"/>
      <w:bookmarkStart w:id="164" w:name="_Toc436724316"/>
      <w:r>
        <w:t>Research 4b: Demand and Supply Projections by Age</w:t>
      </w:r>
      <w:bookmarkEnd w:id="163"/>
      <w:bookmarkEnd w:id="164"/>
    </w:p>
    <w:p w:rsidR="00C157EC" w:rsidRDefault="00C157EC" w:rsidP="008F7FB6">
      <w:pPr>
        <w:pStyle w:val="Heading4NoTOC"/>
      </w:pPr>
      <w:bookmarkStart w:id="165" w:name="_Toc435784284"/>
      <w:r>
        <w:t>Demand Projections by Age</w:t>
      </w:r>
      <w:bookmarkEnd w:id="165"/>
    </w:p>
    <w:p w:rsidR="00C157EC" w:rsidRDefault="004110D9" w:rsidP="00EC7FF5">
      <w:pPr>
        <w:pStyle w:val="BodyText"/>
      </w:pPr>
      <w:r>
        <w:t>Figures</w:t>
      </w:r>
      <w:r w:rsidR="00C157EC">
        <w:t xml:space="preserve"> B</w:t>
      </w:r>
      <w:r>
        <w:t>1</w:t>
      </w:r>
      <w:r w:rsidR="00C157EC">
        <w:t xml:space="preserve"> and B</w:t>
      </w:r>
      <w:r>
        <w:t>2</w:t>
      </w:r>
      <w:r w:rsidR="00C157EC">
        <w:t xml:space="preserve"> present demand projections by age for the 41</w:t>
      </w:r>
      <w:r w:rsidR="00C157EC" w:rsidRPr="00D15E18">
        <w:t>–</w:t>
      </w:r>
      <w:r w:rsidR="00C157EC">
        <w:t>48 and 49</w:t>
      </w:r>
      <w:r w:rsidR="00C157EC" w:rsidRPr="00D15E18">
        <w:t>–</w:t>
      </w:r>
      <w:r w:rsidR="00C157EC">
        <w:t xml:space="preserve">56 age groups. </w:t>
      </w:r>
    </w:p>
    <w:p w:rsidR="00C157EC" w:rsidRPr="00807FB9" w:rsidRDefault="004110D9" w:rsidP="00A46F58">
      <w:pPr>
        <w:pStyle w:val="ExhibitTitle"/>
      </w:pPr>
      <w:r>
        <w:t>Figure</w:t>
      </w:r>
      <w:r w:rsidR="00C157EC">
        <w:t xml:space="preserve"> B</w:t>
      </w:r>
      <w:r>
        <w:t>1</w:t>
      </w:r>
      <w:r w:rsidR="00C157EC" w:rsidRPr="00807FB9">
        <w:t xml:space="preserve">. </w:t>
      </w:r>
      <w:r w:rsidR="00C157EC" w:rsidRPr="00F52938">
        <w:t xml:space="preserve">Historical and Projected </w:t>
      </w:r>
      <w:r w:rsidR="00C157EC">
        <w:t>Statewide Demand for Teachers Ages 41 to 48 in Terms of FTEs</w:t>
      </w:r>
      <w:r w:rsidR="00BE6FDE">
        <w:t>,</w:t>
      </w:r>
      <w:r w:rsidR="00C157EC">
        <w:t xml:space="preserve"> </w:t>
      </w:r>
      <w:r w:rsidR="00C157EC" w:rsidRPr="00F52938">
        <w:t>200</w:t>
      </w:r>
      <w:r w:rsidR="00C157EC">
        <w:t>8</w:t>
      </w:r>
      <w:r w:rsidR="00C157EC" w:rsidRPr="00BA5BB1">
        <w:t>–</w:t>
      </w:r>
      <w:r w:rsidR="00C157EC">
        <w:t>0</w:t>
      </w:r>
      <w:r w:rsidR="00C157EC" w:rsidRPr="00F52938">
        <w:t>9</w:t>
      </w:r>
      <w:r w:rsidR="0092042A">
        <w:t xml:space="preserve"> </w:t>
      </w:r>
      <w:proofErr w:type="gramStart"/>
      <w:r w:rsidR="0092042A">
        <w:t>Through</w:t>
      </w:r>
      <w:proofErr w:type="gramEnd"/>
      <w:r w:rsidR="0092042A">
        <w:t xml:space="preserve"> </w:t>
      </w:r>
      <w:r w:rsidR="00C157EC" w:rsidRPr="00F52938">
        <w:t>20</w:t>
      </w:r>
      <w:r w:rsidR="00C157EC">
        <w:t>23</w:t>
      </w:r>
      <w:r w:rsidR="00C157EC" w:rsidRPr="00BA5BB1">
        <w:t>–</w:t>
      </w:r>
      <w:r w:rsidR="00C157EC" w:rsidRPr="00F52938">
        <w:t>24</w:t>
      </w:r>
    </w:p>
    <w:p w:rsidR="00C157EC" w:rsidRDefault="00C157EC" w:rsidP="00EC7FF5">
      <w:pPr>
        <w:pStyle w:val="FigurePlacement"/>
      </w:pPr>
      <w:r w:rsidRPr="00816661">
        <w:rPr>
          <w:noProof/>
          <w:lang w:eastAsia="zh-CN" w:bidi="km-KH"/>
        </w:rPr>
        <w:drawing>
          <wp:inline distT="0" distB="0" distL="0" distR="0">
            <wp:extent cx="5648000" cy="3657600"/>
            <wp:effectExtent l="19050" t="0" r="0" b="0"/>
            <wp:docPr id="41" name="Picture 41" descr="Figures B1 and B2 present demand projections by age for the 41–48 and 49–56 age groups. &#10;Figure B1. Historical and Projected Statewide Demand for Teachers Ages 41 to 48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52" t="3866" r="5060" b="7473"/>
                    <a:stretch/>
                  </pic:blipFill>
                  <pic:spPr bwMode="auto">
                    <a:xfrm>
                      <a:off x="0" y="0"/>
                      <a:ext cx="5648000"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Pr="00807FB9" w:rsidRDefault="004110D9" w:rsidP="00A46F58">
      <w:pPr>
        <w:pStyle w:val="ExhibitTitle"/>
      </w:pPr>
      <w:r>
        <w:t>Figure</w:t>
      </w:r>
      <w:r w:rsidR="00C157EC">
        <w:t xml:space="preserve"> B</w:t>
      </w:r>
      <w:r>
        <w:t>2</w:t>
      </w:r>
      <w:r w:rsidR="00C157EC" w:rsidRPr="00807FB9">
        <w:t xml:space="preserve">. Historical and Projected </w:t>
      </w:r>
      <w:r w:rsidR="00C157EC">
        <w:t xml:space="preserve">Statewide </w:t>
      </w:r>
      <w:r w:rsidR="00C157EC" w:rsidRPr="00807FB9">
        <w:t>Demand for Teachers Ages 49</w:t>
      </w:r>
      <w:r w:rsidR="00C157EC" w:rsidRPr="00A26DE0">
        <w:t xml:space="preserve"> to 56</w:t>
      </w:r>
      <w:r w:rsidR="00D41F40">
        <w:t xml:space="preserve"> in Terms of FTEs,</w:t>
      </w:r>
      <w:r w:rsidR="00C157EC" w:rsidRPr="00807FB9">
        <w:t xml:space="preserve"> 2008</w:t>
      </w:r>
      <w:r w:rsidR="00C157EC" w:rsidRPr="00BA5BB1">
        <w:t>–</w:t>
      </w:r>
      <w:r w:rsidR="00C157EC" w:rsidRPr="00807FB9">
        <w:t xml:space="preserve">09 </w:t>
      </w:r>
      <w:proofErr w:type="gramStart"/>
      <w:r w:rsidR="00C157EC">
        <w:t>T</w:t>
      </w:r>
      <w:r w:rsidR="00C157EC" w:rsidRPr="00807FB9">
        <w:t>hrough</w:t>
      </w:r>
      <w:proofErr w:type="gramEnd"/>
      <w:r w:rsidR="00C157EC" w:rsidRPr="00807FB9">
        <w:t xml:space="preserve"> 2023</w:t>
      </w:r>
      <w:r w:rsidR="00C157EC" w:rsidRPr="00BA5BB1">
        <w:t>–</w:t>
      </w:r>
      <w:r w:rsidR="00C157EC" w:rsidRPr="00807FB9">
        <w:t>24</w:t>
      </w:r>
    </w:p>
    <w:p w:rsidR="00C157EC" w:rsidRDefault="00C157EC" w:rsidP="00EC7FF5">
      <w:pPr>
        <w:pStyle w:val="FigurePlacement"/>
      </w:pPr>
      <w:r w:rsidRPr="00816661">
        <w:rPr>
          <w:noProof/>
          <w:lang w:eastAsia="zh-CN" w:bidi="km-KH"/>
        </w:rPr>
        <w:drawing>
          <wp:inline distT="0" distB="0" distL="0" distR="0">
            <wp:extent cx="5647258" cy="3657600"/>
            <wp:effectExtent l="19050" t="0" r="0" b="0"/>
            <wp:docPr id="42" name="Picture 42" descr="Figures B1 and B2 present demand projections by age for the 41–48 and 49–56 age groups. &#10;&#10;Figure B2. Historical and Projected Statewide Demand for Teachers Ages 49 to 56 in Terms of FTEs, 2008–09 Through 2023–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92" t="3924" r="4783" b="6982"/>
                    <a:stretch/>
                  </pic:blipFill>
                  <pic:spPr bwMode="auto">
                    <a:xfrm>
                      <a:off x="0" y="0"/>
                      <a:ext cx="5647258"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8F7FB6">
      <w:pPr>
        <w:pStyle w:val="Heading4NoTOC"/>
      </w:pPr>
      <w:bookmarkStart w:id="166" w:name="_Toc435784285"/>
      <w:r>
        <w:t>Comparing Supply and Demand by Age</w:t>
      </w:r>
      <w:bookmarkEnd w:id="166"/>
    </w:p>
    <w:p w:rsidR="00C157EC" w:rsidRDefault="004110D9" w:rsidP="00EC7FF5">
      <w:pPr>
        <w:pStyle w:val="BodyText"/>
      </w:pPr>
      <w:r>
        <w:t>The following tables and figures</w:t>
      </w:r>
      <w:r w:rsidR="00C157EC">
        <w:t xml:space="preserve"> present the comparison of demand and supply projections for each age group not presented in the main body of the report.</w:t>
      </w:r>
    </w:p>
    <w:p w:rsidR="00C157EC" w:rsidRDefault="004110D9" w:rsidP="00EC7FF5">
      <w:pPr>
        <w:pStyle w:val="ExhibitTitle"/>
      </w:pPr>
      <w:r>
        <w:t>Table</w:t>
      </w:r>
      <w:r w:rsidR="00C157EC" w:rsidRPr="00CC4696">
        <w:t xml:space="preserve"> </w:t>
      </w:r>
      <w:r w:rsidR="00C157EC">
        <w:t>B</w:t>
      </w:r>
      <w:r>
        <w:t>7</w:t>
      </w:r>
      <w:r w:rsidR="00C157EC" w:rsidRPr="00CC4696">
        <w:t xml:space="preserve">. </w:t>
      </w:r>
      <w:r w:rsidR="004E50CD">
        <w:t xml:space="preserve">Projected Statewide Demand and </w:t>
      </w:r>
      <w:r w:rsidR="00C157EC" w:rsidRPr="00CC4696">
        <w:t xml:space="preserve">Supply </w:t>
      </w:r>
      <w:r w:rsidR="00C157EC">
        <w:t>of Teachers</w:t>
      </w:r>
      <w:r w:rsidR="004E50CD">
        <w:t xml:space="preserve"> Ages 26 to 32 in Terms of FTEs</w:t>
      </w:r>
      <w:r w:rsidR="00C157EC">
        <w:t xml:space="preserve"> </w:t>
      </w:r>
      <w:r w:rsidR="00C157EC" w:rsidRPr="00CC4696">
        <w:t xml:space="preserve">and Absolute </w:t>
      </w:r>
      <w:r w:rsidR="00C157EC">
        <w:t xml:space="preserve">and </w:t>
      </w:r>
      <w:r w:rsidR="00C157EC" w:rsidRPr="00CC4696">
        <w:t>Relative Differences</w:t>
      </w:r>
      <w:r w:rsidR="00D41F40">
        <w:t>,</w:t>
      </w:r>
      <w:r w:rsidR="00C157EC" w:rsidRPr="00CC4696">
        <w:t xml:space="preserve"> </w:t>
      </w:r>
      <w:r w:rsidR="00C157EC">
        <w:t>2014</w:t>
      </w:r>
      <w:r w:rsidR="00C157EC" w:rsidRPr="00BA5BB1">
        <w:t>–</w:t>
      </w:r>
      <w:r w:rsidR="00C157EC">
        <w:t>15</w:t>
      </w:r>
      <w:r w:rsidR="00C157EC" w:rsidRPr="00CC4696">
        <w:t xml:space="preserve"> </w:t>
      </w:r>
      <w:proofErr w:type="gramStart"/>
      <w:r w:rsidR="002D6597">
        <w:t>Through</w:t>
      </w:r>
      <w:proofErr w:type="gramEnd"/>
      <w:r w:rsidR="002D6597">
        <w:t xml:space="preserve"> </w:t>
      </w:r>
      <w:r w:rsidR="00C157EC" w:rsidRPr="00CC4696">
        <w:t>2023</w:t>
      </w:r>
      <w:r w:rsidR="00C157EC" w:rsidRPr="00BA5BB1">
        <w:t>–</w:t>
      </w:r>
      <w:r w:rsidR="00C157EC"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2"/>
        <w:gridCol w:w="1939"/>
        <w:gridCol w:w="2121"/>
        <w:gridCol w:w="1847"/>
        <w:gridCol w:w="1841"/>
      </w:tblGrid>
      <w:tr w:rsidR="00EC7FF5" w:rsidTr="004E50CD">
        <w:trPr>
          <w:cnfStyle w:val="100000000000"/>
        </w:trPr>
        <w:tc>
          <w:tcPr>
            <w:tcW w:w="960" w:type="pct"/>
            <w:tcBorders>
              <w:bottom w:val="single" w:sz="4" w:space="0" w:color="auto"/>
            </w:tcBorders>
          </w:tcPr>
          <w:p w:rsidR="00C157EC" w:rsidRDefault="00C157EC" w:rsidP="004E50CD">
            <w:pPr>
              <w:pStyle w:val="TableText"/>
              <w:jc w:val="center"/>
              <w:rPr>
                <w:rFonts w:ascii="Times New Roman" w:hAnsi="Times New Roman"/>
                <w:sz w:val="24"/>
                <w:szCs w:val="24"/>
              </w:rPr>
            </w:pPr>
            <w:r>
              <w:t>Year</w:t>
            </w:r>
          </w:p>
        </w:tc>
        <w:tc>
          <w:tcPr>
            <w:tcW w:w="1011" w:type="pct"/>
            <w:tcBorders>
              <w:bottom w:val="single" w:sz="4" w:space="0" w:color="auto"/>
            </w:tcBorders>
          </w:tcPr>
          <w:p w:rsidR="00C157EC" w:rsidRDefault="00C157EC" w:rsidP="00EC7FF5">
            <w:pPr>
              <w:pStyle w:val="TableTextCentered"/>
              <w:rPr>
                <w:rFonts w:ascii="Times New Roman" w:hAnsi="Times New Roman"/>
                <w:sz w:val="24"/>
                <w:szCs w:val="24"/>
              </w:rPr>
            </w:pPr>
            <w:r w:rsidRPr="00807FB9">
              <w:t>Projected Supply</w:t>
            </w:r>
          </w:p>
        </w:tc>
        <w:tc>
          <w:tcPr>
            <w:tcW w:w="1106" w:type="pct"/>
            <w:tcBorders>
              <w:bottom w:val="single" w:sz="4" w:space="0" w:color="auto"/>
            </w:tcBorders>
          </w:tcPr>
          <w:p w:rsidR="00C157EC" w:rsidRDefault="00C157EC" w:rsidP="00EC7FF5">
            <w:pPr>
              <w:pStyle w:val="TableTextCentered"/>
              <w:rPr>
                <w:rFonts w:ascii="Times New Roman" w:hAnsi="Times New Roman"/>
                <w:sz w:val="24"/>
                <w:szCs w:val="24"/>
              </w:rPr>
            </w:pPr>
            <w:r w:rsidRPr="00807FB9">
              <w:t>Projected Demand</w:t>
            </w:r>
          </w:p>
        </w:tc>
        <w:tc>
          <w:tcPr>
            <w:tcW w:w="963" w:type="pct"/>
            <w:tcBorders>
              <w:bottom w:val="single" w:sz="4" w:space="0" w:color="auto"/>
            </w:tcBorders>
          </w:tcPr>
          <w:p w:rsidR="00C157EC" w:rsidRDefault="00C157EC" w:rsidP="00EC7FF5">
            <w:pPr>
              <w:pStyle w:val="TableTextCentered"/>
              <w:rPr>
                <w:rFonts w:ascii="Times New Roman" w:hAnsi="Times New Roman"/>
                <w:sz w:val="24"/>
                <w:szCs w:val="24"/>
              </w:rPr>
            </w:pPr>
            <w:r w:rsidRPr="00807FB9">
              <w:t xml:space="preserve">Absolute Difference </w:t>
            </w:r>
            <w:r>
              <w:t>B</w:t>
            </w:r>
            <w:r w:rsidRPr="00807FB9">
              <w:t>etween Supply and Demand</w:t>
            </w:r>
          </w:p>
        </w:tc>
        <w:tc>
          <w:tcPr>
            <w:tcW w:w="960" w:type="pct"/>
            <w:tcBorders>
              <w:bottom w:val="single" w:sz="4" w:space="0" w:color="auto"/>
            </w:tcBorders>
          </w:tcPr>
          <w:p w:rsidR="00C157EC" w:rsidRDefault="00C157EC" w:rsidP="00EC7FF5">
            <w:pPr>
              <w:pStyle w:val="TableTextCentered"/>
              <w:rPr>
                <w:rFonts w:ascii="Times New Roman" w:hAnsi="Times New Roman"/>
                <w:sz w:val="24"/>
                <w:szCs w:val="24"/>
              </w:rPr>
            </w:pPr>
            <w:r w:rsidRPr="00807FB9">
              <w:t xml:space="preserve">Relative Difference </w:t>
            </w:r>
            <w:r>
              <w:t>B</w:t>
            </w:r>
            <w:r w:rsidRPr="00807FB9">
              <w:t>etween Supply and Demand</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201</w:t>
            </w:r>
            <w:r>
              <w:t>4</w:t>
            </w:r>
            <w:r w:rsidRPr="00BA5BB1">
              <w:t>–</w:t>
            </w:r>
            <w:r>
              <w:t>1</w:t>
            </w:r>
            <w:r w:rsidRPr="00807FB9">
              <w:t>5</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12</w:t>
            </w:r>
            <w:r>
              <w:rPr>
                <w:rFonts w:cstheme="majorHAnsi"/>
                <w:color w:val="000000"/>
              </w:rPr>
              <w:t>,</w:t>
            </w:r>
            <w:r w:rsidRPr="00085539">
              <w:rPr>
                <w:rFonts w:cstheme="majorHAnsi"/>
                <w:color w:val="000000"/>
              </w:rPr>
              <w:t>456</w:t>
            </w:r>
          </w:p>
        </w:tc>
        <w:tc>
          <w:tcPr>
            <w:tcW w:w="1106" w:type="pct"/>
            <w:tcBorders>
              <w:bottom w:val="single" w:sz="4" w:space="0" w:color="auto"/>
            </w:tcBorders>
          </w:tcPr>
          <w:p w:rsidR="00FD289D" w:rsidRPr="00495CA5" w:rsidRDefault="00FD289D" w:rsidP="00FD289D">
            <w:pPr>
              <w:pStyle w:val="TableTextCentered"/>
            </w:pPr>
            <w:r w:rsidRPr="00495CA5">
              <w:t>12,301</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155</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1.26</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201</w:t>
            </w:r>
            <w:r>
              <w:t>5</w:t>
            </w:r>
            <w:r w:rsidRPr="00BA5BB1">
              <w:t>–</w:t>
            </w:r>
            <w:r>
              <w:t>1</w:t>
            </w:r>
            <w:r w:rsidRPr="00807FB9">
              <w:t>6</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12</w:t>
            </w:r>
            <w:r>
              <w:rPr>
                <w:rFonts w:cstheme="majorHAnsi"/>
                <w:color w:val="000000"/>
              </w:rPr>
              <w:t>,</w:t>
            </w:r>
            <w:r w:rsidRPr="00085539">
              <w:rPr>
                <w:rFonts w:cstheme="majorHAnsi"/>
                <w:color w:val="000000"/>
              </w:rPr>
              <w:t>378</w:t>
            </w:r>
          </w:p>
        </w:tc>
        <w:tc>
          <w:tcPr>
            <w:tcW w:w="1106" w:type="pct"/>
            <w:tcBorders>
              <w:bottom w:val="single" w:sz="4" w:space="0" w:color="auto"/>
            </w:tcBorders>
          </w:tcPr>
          <w:p w:rsidR="00FD289D" w:rsidRPr="00495CA5" w:rsidRDefault="00FD289D" w:rsidP="00FD289D">
            <w:pPr>
              <w:pStyle w:val="TableTextCentered"/>
            </w:pPr>
            <w:r w:rsidRPr="00495CA5">
              <w:t>12,177</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200</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1.65</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201</w:t>
            </w:r>
            <w:r>
              <w:t>6</w:t>
            </w:r>
            <w:r w:rsidRPr="00BA5BB1">
              <w:t>–</w:t>
            </w:r>
            <w:r>
              <w:t>1</w:t>
            </w:r>
            <w:r w:rsidRPr="00807FB9">
              <w:t>7</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12</w:t>
            </w:r>
            <w:r>
              <w:rPr>
                <w:rFonts w:cstheme="majorHAnsi"/>
                <w:color w:val="000000"/>
              </w:rPr>
              <w:t>,</w:t>
            </w:r>
            <w:r w:rsidRPr="00085539">
              <w:rPr>
                <w:rFonts w:cstheme="majorHAnsi"/>
                <w:color w:val="000000"/>
              </w:rPr>
              <w:t>301</w:t>
            </w:r>
          </w:p>
        </w:tc>
        <w:tc>
          <w:tcPr>
            <w:tcW w:w="1106" w:type="pct"/>
            <w:tcBorders>
              <w:bottom w:val="single" w:sz="4" w:space="0" w:color="auto"/>
            </w:tcBorders>
          </w:tcPr>
          <w:p w:rsidR="00FD289D" w:rsidRPr="00495CA5" w:rsidRDefault="00FD289D" w:rsidP="00FD289D">
            <w:pPr>
              <w:pStyle w:val="TableTextCentered"/>
            </w:pPr>
            <w:r w:rsidRPr="00495CA5">
              <w:t>12,034</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267</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2.22</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201</w:t>
            </w:r>
            <w:r>
              <w:t>7</w:t>
            </w:r>
            <w:r w:rsidRPr="00BA5BB1">
              <w:t>–</w:t>
            </w:r>
            <w:r>
              <w:t>1</w:t>
            </w:r>
            <w:r w:rsidRPr="00807FB9">
              <w:t>8</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12</w:t>
            </w:r>
            <w:r>
              <w:rPr>
                <w:rFonts w:cstheme="majorHAnsi"/>
                <w:color w:val="000000"/>
              </w:rPr>
              <w:t>,</w:t>
            </w:r>
            <w:r w:rsidRPr="00085539">
              <w:rPr>
                <w:rFonts w:cstheme="majorHAnsi"/>
                <w:color w:val="000000"/>
              </w:rPr>
              <w:t>225</w:t>
            </w:r>
          </w:p>
        </w:tc>
        <w:tc>
          <w:tcPr>
            <w:tcW w:w="1106" w:type="pct"/>
            <w:tcBorders>
              <w:bottom w:val="single" w:sz="4" w:space="0" w:color="auto"/>
            </w:tcBorders>
          </w:tcPr>
          <w:p w:rsidR="00FD289D" w:rsidRPr="00495CA5" w:rsidRDefault="00FD289D" w:rsidP="00FD289D">
            <w:pPr>
              <w:pStyle w:val="TableTextCentered"/>
            </w:pPr>
            <w:r w:rsidRPr="00495CA5">
              <w:t>11,893</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332</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2.79</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201</w:t>
            </w:r>
            <w:r>
              <w:t>8</w:t>
            </w:r>
            <w:r w:rsidRPr="00BA5BB1">
              <w:t>–</w:t>
            </w:r>
            <w:r>
              <w:t>1</w:t>
            </w:r>
            <w:r w:rsidRPr="00807FB9">
              <w:t>9</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12</w:t>
            </w:r>
            <w:r>
              <w:rPr>
                <w:rFonts w:cstheme="majorHAnsi"/>
                <w:color w:val="000000"/>
              </w:rPr>
              <w:t>,</w:t>
            </w:r>
            <w:r w:rsidRPr="00085539">
              <w:rPr>
                <w:rFonts w:cstheme="majorHAnsi"/>
                <w:color w:val="000000"/>
              </w:rPr>
              <w:t>150</w:t>
            </w:r>
          </w:p>
        </w:tc>
        <w:tc>
          <w:tcPr>
            <w:tcW w:w="1106" w:type="pct"/>
            <w:tcBorders>
              <w:bottom w:val="single" w:sz="4" w:space="0" w:color="auto"/>
            </w:tcBorders>
          </w:tcPr>
          <w:p w:rsidR="00FD289D" w:rsidRPr="00495CA5" w:rsidRDefault="00FD289D" w:rsidP="00FD289D">
            <w:pPr>
              <w:pStyle w:val="TableTextCentered"/>
            </w:pPr>
            <w:r w:rsidRPr="00495CA5">
              <w:t>11,728</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422</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3.6</w:t>
            </w:r>
            <w:r>
              <w:rPr>
                <w:rFonts w:cstheme="majorHAnsi"/>
                <w:color w:val="000000"/>
              </w:rPr>
              <w:t>0%</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w:t>
            </w:r>
            <w:r>
              <w:t>19</w:t>
            </w:r>
            <w:r w:rsidRPr="00BA5BB1">
              <w:t>–</w:t>
            </w:r>
            <w:r w:rsidRPr="00807FB9">
              <w:t>20</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12</w:t>
            </w:r>
            <w:r>
              <w:rPr>
                <w:rFonts w:cstheme="majorHAnsi"/>
                <w:color w:val="000000"/>
              </w:rPr>
              <w:t>,</w:t>
            </w:r>
            <w:r w:rsidRPr="00085539">
              <w:rPr>
                <w:rFonts w:cstheme="majorHAnsi"/>
                <w:color w:val="000000"/>
              </w:rPr>
              <w:t>077</w:t>
            </w:r>
          </w:p>
        </w:tc>
        <w:tc>
          <w:tcPr>
            <w:tcW w:w="1106" w:type="pct"/>
            <w:tcBorders>
              <w:bottom w:val="single" w:sz="4" w:space="0" w:color="auto"/>
            </w:tcBorders>
          </w:tcPr>
          <w:p w:rsidR="00FD289D" w:rsidRPr="00495CA5" w:rsidRDefault="00FD289D" w:rsidP="00FD289D">
            <w:pPr>
              <w:pStyle w:val="TableTextCentered"/>
            </w:pPr>
            <w:r w:rsidRPr="00495CA5">
              <w:t>11,561</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516</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4.46</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202</w:t>
            </w:r>
            <w:r>
              <w:t>0</w:t>
            </w:r>
            <w:r w:rsidRPr="00BA5BB1">
              <w:t>–</w:t>
            </w:r>
            <w:r>
              <w:t>2</w:t>
            </w:r>
            <w:r w:rsidRPr="00807FB9">
              <w:t>1</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12</w:t>
            </w:r>
            <w:r>
              <w:rPr>
                <w:rFonts w:cstheme="majorHAnsi"/>
                <w:color w:val="000000"/>
              </w:rPr>
              <w:t>,</w:t>
            </w:r>
            <w:r w:rsidRPr="00085539">
              <w:rPr>
                <w:rFonts w:cstheme="majorHAnsi"/>
                <w:color w:val="000000"/>
              </w:rPr>
              <w:t>004</w:t>
            </w:r>
          </w:p>
        </w:tc>
        <w:tc>
          <w:tcPr>
            <w:tcW w:w="1106" w:type="pct"/>
            <w:tcBorders>
              <w:bottom w:val="single" w:sz="4" w:space="0" w:color="auto"/>
            </w:tcBorders>
          </w:tcPr>
          <w:p w:rsidR="00FD289D" w:rsidRPr="00495CA5" w:rsidRDefault="00FD289D" w:rsidP="00FD289D">
            <w:pPr>
              <w:pStyle w:val="TableTextCentered"/>
            </w:pPr>
            <w:r w:rsidRPr="00495CA5">
              <w:t>11,391</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613</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5.38</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202</w:t>
            </w:r>
            <w:r>
              <w:t>1</w:t>
            </w:r>
            <w:r w:rsidRPr="00BA5BB1">
              <w:t>–</w:t>
            </w:r>
            <w:r>
              <w:t>2</w:t>
            </w:r>
            <w:r w:rsidRPr="00807FB9">
              <w:t>2</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11</w:t>
            </w:r>
            <w:r>
              <w:rPr>
                <w:rFonts w:cstheme="majorHAnsi"/>
                <w:color w:val="000000"/>
              </w:rPr>
              <w:t>,</w:t>
            </w:r>
            <w:r w:rsidRPr="00085539">
              <w:rPr>
                <w:rFonts w:cstheme="majorHAnsi"/>
                <w:color w:val="000000"/>
              </w:rPr>
              <w:t>933</w:t>
            </w:r>
          </w:p>
        </w:tc>
        <w:tc>
          <w:tcPr>
            <w:tcW w:w="1106" w:type="pct"/>
            <w:tcBorders>
              <w:bottom w:val="single" w:sz="4" w:space="0" w:color="auto"/>
            </w:tcBorders>
          </w:tcPr>
          <w:p w:rsidR="00FD289D" w:rsidRPr="00495CA5" w:rsidRDefault="00FD289D" w:rsidP="00FD289D">
            <w:pPr>
              <w:pStyle w:val="TableTextCentered"/>
            </w:pPr>
            <w:r w:rsidRPr="00495CA5">
              <w:t>11,204</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729</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6.51</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202</w:t>
            </w:r>
            <w:r>
              <w:t>2</w:t>
            </w:r>
            <w:r w:rsidRPr="00BA5BB1">
              <w:t>–</w:t>
            </w:r>
            <w:r>
              <w:t>2</w:t>
            </w:r>
            <w:r w:rsidRPr="00807FB9">
              <w:t>3</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11</w:t>
            </w:r>
            <w:r>
              <w:rPr>
                <w:rFonts w:cstheme="majorHAnsi"/>
                <w:color w:val="000000"/>
              </w:rPr>
              <w:t>,</w:t>
            </w:r>
            <w:r w:rsidRPr="00085539">
              <w:rPr>
                <w:rFonts w:cstheme="majorHAnsi"/>
                <w:color w:val="000000"/>
              </w:rPr>
              <w:t>863</w:t>
            </w:r>
          </w:p>
        </w:tc>
        <w:tc>
          <w:tcPr>
            <w:tcW w:w="1106" w:type="pct"/>
            <w:tcBorders>
              <w:bottom w:val="single" w:sz="4" w:space="0" w:color="auto"/>
            </w:tcBorders>
          </w:tcPr>
          <w:p w:rsidR="00FD289D" w:rsidRPr="00495CA5" w:rsidRDefault="00FD289D" w:rsidP="00FD289D">
            <w:pPr>
              <w:pStyle w:val="TableTextCentered"/>
            </w:pPr>
            <w:r w:rsidRPr="00495CA5">
              <w:t>11,007</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855</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7.77</w:t>
            </w:r>
            <w:r>
              <w:rPr>
                <w:rFonts w:cstheme="majorHAnsi"/>
                <w:color w:val="000000"/>
              </w:rPr>
              <w:t>%</w:t>
            </w:r>
          </w:p>
        </w:tc>
      </w:tr>
      <w:tr w:rsidR="00FD289D" w:rsidTr="00085539">
        <w:tc>
          <w:tcPr>
            <w:tcW w:w="960" w:type="pct"/>
          </w:tcPr>
          <w:p w:rsidR="00FD289D" w:rsidRPr="00495CA5" w:rsidRDefault="00FD289D" w:rsidP="00FD289D">
            <w:pPr>
              <w:pStyle w:val="TableText"/>
              <w:jc w:val="center"/>
              <w:rPr>
                <w:szCs w:val="24"/>
              </w:rPr>
            </w:pPr>
            <w:r w:rsidRPr="00807FB9">
              <w:t>202</w:t>
            </w:r>
            <w:r>
              <w:t>3</w:t>
            </w:r>
            <w:r w:rsidRPr="00BA5BB1">
              <w:t>–</w:t>
            </w:r>
            <w:r>
              <w:t>2</w:t>
            </w:r>
            <w:r w:rsidRPr="00807FB9">
              <w:t>4</w:t>
            </w:r>
          </w:p>
        </w:tc>
        <w:tc>
          <w:tcPr>
            <w:tcW w:w="1011" w:type="pct"/>
            <w:vAlign w:val="bottom"/>
          </w:tcPr>
          <w:p w:rsidR="00FD289D" w:rsidRPr="00A5516F" w:rsidRDefault="00FD289D" w:rsidP="00FD289D">
            <w:pPr>
              <w:pStyle w:val="TableTextCentered"/>
              <w:rPr>
                <w:rFonts w:cstheme="majorHAnsi"/>
              </w:rPr>
            </w:pPr>
            <w:r w:rsidRPr="00085539">
              <w:rPr>
                <w:rFonts w:cstheme="majorHAnsi"/>
                <w:color w:val="000000"/>
              </w:rPr>
              <w:t>11</w:t>
            </w:r>
            <w:r>
              <w:rPr>
                <w:rFonts w:cstheme="majorHAnsi"/>
                <w:color w:val="000000"/>
              </w:rPr>
              <w:t>,</w:t>
            </w:r>
            <w:r w:rsidRPr="00085539">
              <w:rPr>
                <w:rFonts w:cstheme="majorHAnsi"/>
                <w:color w:val="000000"/>
              </w:rPr>
              <w:t>793</w:t>
            </w:r>
          </w:p>
        </w:tc>
        <w:tc>
          <w:tcPr>
            <w:tcW w:w="1106" w:type="pct"/>
          </w:tcPr>
          <w:p w:rsidR="00FD289D" w:rsidRPr="00495CA5" w:rsidRDefault="00FD289D" w:rsidP="00FD289D">
            <w:pPr>
              <w:pStyle w:val="TableTextCentered"/>
            </w:pPr>
            <w:r w:rsidRPr="00495CA5">
              <w:t>10,804</w:t>
            </w:r>
          </w:p>
        </w:tc>
        <w:tc>
          <w:tcPr>
            <w:tcW w:w="963" w:type="pct"/>
            <w:vAlign w:val="bottom"/>
          </w:tcPr>
          <w:p w:rsidR="00FD289D" w:rsidRPr="00A5516F" w:rsidRDefault="00FD289D" w:rsidP="00FD289D">
            <w:pPr>
              <w:pStyle w:val="TableTextCentered"/>
              <w:rPr>
                <w:rFonts w:cstheme="majorHAnsi"/>
              </w:rPr>
            </w:pPr>
            <w:r w:rsidRPr="00085539">
              <w:rPr>
                <w:rFonts w:cstheme="majorHAnsi"/>
                <w:color w:val="000000"/>
              </w:rPr>
              <w:t>990</w:t>
            </w:r>
          </w:p>
        </w:tc>
        <w:tc>
          <w:tcPr>
            <w:tcW w:w="960" w:type="pct"/>
            <w:vAlign w:val="bottom"/>
          </w:tcPr>
          <w:p w:rsidR="00FD289D" w:rsidRPr="00A5516F" w:rsidRDefault="00FD289D" w:rsidP="00FD289D">
            <w:pPr>
              <w:pStyle w:val="TableTextCentered"/>
              <w:rPr>
                <w:rFonts w:cstheme="majorHAnsi"/>
              </w:rPr>
            </w:pPr>
            <w:r w:rsidRPr="00085539">
              <w:rPr>
                <w:rFonts w:cstheme="majorHAnsi"/>
                <w:color w:val="000000"/>
              </w:rPr>
              <w:t>9.16</w:t>
            </w:r>
            <w:r>
              <w:rPr>
                <w:rFonts w:cstheme="majorHAnsi"/>
                <w:color w:val="000000"/>
              </w:rPr>
              <w:t>%</w:t>
            </w:r>
          </w:p>
        </w:tc>
      </w:tr>
    </w:tbl>
    <w:p w:rsidR="00C157EC" w:rsidRDefault="004110D9" w:rsidP="00A46F58">
      <w:pPr>
        <w:pStyle w:val="ExhibitTitle"/>
      </w:pPr>
      <w:r>
        <w:t>Figure</w:t>
      </w:r>
      <w:r w:rsidR="00C157EC">
        <w:t xml:space="preserve"> B</w:t>
      </w:r>
      <w:r>
        <w:t>3</w:t>
      </w:r>
      <w:r w:rsidR="00C157EC">
        <w:t>. Historical and Projected Statewide Supply and Demand for Teachers Ages 26 to 32 in Terms of FTEs</w:t>
      </w:r>
      <w:r w:rsidR="00D41F40">
        <w:t xml:space="preserve">, </w:t>
      </w:r>
      <w:r w:rsidR="00C157EC">
        <w:t>2008</w:t>
      </w:r>
      <w:r w:rsidR="00C157EC" w:rsidRPr="00BA5BB1">
        <w:t>–</w:t>
      </w:r>
      <w:r w:rsidR="00C157EC">
        <w:t>09 to 2023</w:t>
      </w:r>
      <w:r w:rsidR="00C157EC" w:rsidRPr="00BA5BB1">
        <w:t>–</w:t>
      </w:r>
      <w:r w:rsidR="00D41F40">
        <w:t>24</w:t>
      </w:r>
    </w:p>
    <w:p w:rsidR="00C157EC" w:rsidRDefault="007A056A" w:rsidP="00EC7FF5">
      <w:pPr>
        <w:pStyle w:val="FigurePlacement"/>
      </w:pPr>
      <w:r w:rsidRPr="007A056A">
        <w:t xml:space="preserve"> </w:t>
      </w:r>
      <w:r w:rsidR="00DC0BCE" w:rsidRPr="001B4E7D">
        <w:rPr>
          <w:noProof/>
          <w:lang w:eastAsia="zh-CN" w:bidi="km-KH"/>
        </w:rPr>
        <w:drawing>
          <wp:inline distT="0" distB="0" distL="0" distR="0">
            <wp:extent cx="5600582" cy="3657600"/>
            <wp:effectExtent l="19050" t="0" r="118" b="0"/>
            <wp:docPr id="3" name="Picture 3" descr="Figure B3. Historical and Projected Statewide Supply and Demand for Teachers Ages 26 to 32 in Terms of FTEs, 2008–09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873" t="2122" r="2733" b="6803"/>
                    <a:stretch/>
                  </pic:blipFill>
                  <pic:spPr bwMode="auto">
                    <a:xfrm>
                      <a:off x="0" y="0"/>
                      <a:ext cx="5600582"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Pr="00EC7FF5" w:rsidRDefault="00FC31F1" w:rsidP="00EC7FF5">
      <w:pPr>
        <w:pStyle w:val="ExhibitTitle"/>
      </w:pPr>
      <w:r>
        <w:t>Table</w:t>
      </w:r>
      <w:r w:rsidR="00C157EC" w:rsidRPr="00CC4696">
        <w:t xml:space="preserve"> </w:t>
      </w:r>
      <w:r w:rsidR="00C157EC">
        <w:t>B</w:t>
      </w:r>
      <w:r>
        <w:t>8</w:t>
      </w:r>
      <w:r w:rsidR="00C157EC" w:rsidRPr="00CC4696">
        <w:t xml:space="preserve">. </w:t>
      </w:r>
      <w:r w:rsidR="00C157EC">
        <w:t xml:space="preserve">Projected </w:t>
      </w:r>
      <w:r w:rsidR="004E50CD">
        <w:t xml:space="preserve">Statewide Demand and </w:t>
      </w:r>
      <w:r w:rsidR="00C157EC" w:rsidRPr="00CC4696">
        <w:t>Supply</w:t>
      </w:r>
      <w:r w:rsidR="00C157EC">
        <w:t xml:space="preserve"> of Teachers</w:t>
      </w:r>
      <w:r w:rsidR="004E50CD">
        <w:t xml:space="preserve"> Ages 33 to 40 in Terms of FTEs</w:t>
      </w:r>
      <w:r w:rsidR="00C157EC" w:rsidRPr="00CC4696">
        <w:t xml:space="preserve"> and Absolute </w:t>
      </w:r>
      <w:r w:rsidR="00C157EC">
        <w:t xml:space="preserve">and </w:t>
      </w:r>
      <w:r w:rsidR="00C157EC" w:rsidRPr="00CC4696">
        <w:t>Relative Differences</w:t>
      </w:r>
      <w:r w:rsidR="00D41F40">
        <w:t>,</w:t>
      </w:r>
      <w:r w:rsidR="00C157EC" w:rsidRPr="00CC4696">
        <w:t xml:space="preserve"> </w:t>
      </w:r>
      <w:r w:rsidR="00C157EC">
        <w:t>2014</w:t>
      </w:r>
      <w:r w:rsidR="00C157EC" w:rsidRPr="00BA5BB1">
        <w:t>–</w:t>
      </w:r>
      <w:r w:rsidR="00C157EC">
        <w:t>15</w:t>
      </w:r>
      <w:r w:rsidR="00C157EC" w:rsidRPr="00CC4696">
        <w:t xml:space="preserve"> </w:t>
      </w:r>
      <w:proofErr w:type="gramStart"/>
      <w:r w:rsidR="002D6597">
        <w:t>Through</w:t>
      </w:r>
      <w:proofErr w:type="gramEnd"/>
      <w:r w:rsidR="002D6597">
        <w:t xml:space="preserve"> </w:t>
      </w:r>
      <w:r w:rsidR="00C157EC" w:rsidRPr="00CC4696">
        <w:t>2023</w:t>
      </w:r>
      <w:r w:rsidR="00C157EC" w:rsidRPr="00BA5BB1">
        <w:t>–</w:t>
      </w:r>
      <w:r w:rsidR="00C157EC"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2"/>
        <w:gridCol w:w="1939"/>
        <w:gridCol w:w="2121"/>
        <w:gridCol w:w="1847"/>
        <w:gridCol w:w="1841"/>
      </w:tblGrid>
      <w:tr w:rsidR="00EC7FF5" w:rsidTr="004E50CD">
        <w:trPr>
          <w:cnfStyle w:val="100000000000"/>
        </w:trPr>
        <w:tc>
          <w:tcPr>
            <w:tcW w:w="960" w:type="pct"/>
            <w:tcBorders>
              <w:bottom w:val="single" w:sz="4" w:space="0" w:color="auto"/>
            </w:tcBorders>
          </w:tcPr>
          <w:p w:rsidR="00C157EC" w:rsidRDefault="00C157EC" w:rsidP="004E50CD">
            <w:pPr>
              <w:pStyle w:val="TableText"/>
              <w:jc w:val="center"/>
              <w:rPr>
                <w:rFonts w:ascii="Times New Roman" w:hAnsi="Times New Roman"/>
                <w:sz w:val="24"/>
                <w:szCs w:val="24"/>
              </w:rPr>
            </w:pPr>
            <w:r>
              <w:t>Year</w:t>
            </w:r>
          </w:p>
        </w:tc>
        <w:tc>
          <w:tcPr>
            <w:tcW w:w="1011" w:type="pct"/>
            <w:tcBorders>
              <w:bottom w:val="single" w:sz="4" w:space="0" w:color="auto"/>
            </w:tcBorders>
          </w:tcPr>
          <w:p w:rsidR="00C157EC" w:rsidRDefault="00C157EC" w:rsidP="00B0585A">
            <w:pPr>
              <w:pStyle w:val="TableTextCentered"/>
              <w:rPr>
                <w:rFonts w:ascii="Times New Roman" w:hAnsi="Times New Roman"/>
                <w:sz w:val="24"/>
                <w:szCs w:val="24"/>
              </w:rPr>
            </w:pPr>
            <w:r w:rsidRPr="00807FB9">
              <w:t>Projected Supply</w:t>
            </w:r>
          </w:p>
        </w:tc>
        <w:tc>
          <w:tcPr>
            <w:tcW w:w="1106" w:type="pct"/>
            <w:tcBorders>
              <w:bottom w:val="single" w:sz="4" w:space="0" w:color="auto"/>
            </w:tcBorders>
          </w:tcPr>
          <w:p w:rsidR="00C157EC" w:rsidRDefault="00C157EC" w:rsidP="00B0585A">
            <w:pPr>
              <w:pStyle w:val="TableTextCentered"/>
              <w:rPr>
                <w:rFonts w:ascii="Times New Roman" w:hAnsi="Times New Roman"/>
                <w:sz w:val="24"/>
                <w:szCs w:val="24"/>
              </w:rPr>
            </w:pPr>
            <w:r w:rsidRPr="00807FB9">
              <w:t>Projected Demand</w:t>
            </w:r>
          </w:p>
        </w:tc>
        <w:tc>
          <w:tcPr>
            <w:tcW w:w="963" w:type="pct"/>
            <w:tcBorders>
              <w:bottom w:val="single" w:sz="4" w:space="0" w:color="auto"/>
            </w:tcBorders>
          </w:tcPr>
          <w:p w:rsidR="00C157EC" w:rsidRDefault="00C157EC" w:rsidP="00B0585A">
            <w:pPr>
              <w:pStyle w:val="TableTextCentered"/>
              <w:rPr>
                <w:rFonts w:ascii="Times New Roman" w:hAnsi="Times New Roman"/>
                <w:sz w:val="24"/>
                <w:szCs w:val="24"/>
              </w:rPr>
            </w:pPr>
            <w:r w:rsidRPr="00807FB9">
              <w:t xml:space="preserve">Absolute Difference </w:t>
            </w:r>
            <w:r>
              <w:t>B</w:t>
            </w:r>
            <w:r w:rsidRPr="00807FB9">
              <w:t>etween Supply and Demand</w:t>
            </w:r>
          </w:p>
        </w:tc>
        <w:tc>
          <w:tcPr>
            <w:tcW w:w="960" w:type="pct"/>
            <w:tcBorders>
              <w:bottom w:val="single" w:sz="4" w:space="0" w:color="auto"/>
            </w:tcBorders>
          </w:tcPr>
          <w:p w:rsidR="00C157EC" w:rsidRDefault="00C157EC" w:rsidP="00B0585A">
            <w:pPr>
              <w:pStyle w:val="TableTextCentered"/>
              <w:rPr>
                <w:rFonts w:ascii="Times New Roman" w:hAnsi="Times New Roman"/>
                <w:sz w:val="24"/>
                <w:szCs w:val="24"/>
              </w:rPr>
            </w:pPr>
            <w:r w:rsidRPr="00807FB9">
              <w:t xml:space="preserve">Relative Difference </w:t>
            </w:r>
            <w:r>
              <w:t>B</w:t>
            </w:r>
            <w:r w:rsidRPr="00807FB9">
              <w:t>etween Supply and Demand</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201</w:t>
            </w:r>
            <w:r>
              <w:t>4</w:t>
            </w:r>
            <w:r w:rsidRPr="00BA5BB1">
              <w:t>–</w:t>
            </w:r>
            <w:r>
              <w:t>1</w:t>
            </w:r>
            <w:r w:rsidRPr="00807FB9">
              <w:t>5</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14</w:t>
            </w:r>
            <w:r>
              <w:rPr>
                <w:rFonts w:cstheme="majorHAnsi"/>
                <w:color w:val="000000"/>
              </w:rPr>
              <w:t>,</w:t>
            </w:r>
            <w:r w:rsidRPr="00085539">
              <w:rPr>
                <w:rFonts w:cstheme="majorHAnsi"/>
                <w:color w:val="000000"/>
              </w:rPr>
              <w:t>343</w:t>
            </w:r>
          </w:p>
        </w:tc>
        <w:tc>
          <w:tcPr>
            <w:tcW w:w="1106" w:type="pct"/>
            <w:tcBorders>
              <w:bottom w:val="single" w:sz="4" w:space="0" w:color="auto"/>
            </w:tcBorders>
          </w:tcPr>
          <w:p w:rsidR="00FD289D" w:rsidRPr="00495CA5" w:rsidRDefault="00FD289D" w:rsidP="00FD289D">
            <w:pPr>
              <w:pStyle w:val="TableTextCentered"/>
            </w:pPr>
            <w:r w:rsidRPr="00495CA5">
              <w:t>14,265</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78</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0.55</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201</w:t>
            </w:r>
            <w:r>
              <w:t>5</w:t>
            </w:r>
            <w:r w:rsidRPr="00BA5BB1">
              <w:t>–</w:t>
            </w:r>
            <w:r>
              <w:t>1</w:t>
            </w:r>
            <w:r w:rsidRPr="00807FB9">
              <w:t>6</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14</w:t>
            </w:r>
            <w:r>
              <w:rPr>
                <w:rFonts w:cstheme="majorHAnsi"/>
                <w:color w:val="000000"/>
              </w:rPr>
              <w:t>,</w:t>
            </w:r>
            <w:r w:rsidRPr="00085539">
              <w:rPr>
                <w:rFonts w:cstheme="majorHAnsi"/>
                <w:color w:val="000000"/>
              </w:rPr>
              <w:t>537</w:t>
            </w:r>
          </w:p>
        </w:tc>
        <w:tc>
          <w:tcPr>
            <w:tcW w:w="1106" w:type="pct"/>
            <w:tcBorders>
              <w:bottom w:val="single" w:sz="4" w:space="0" w:color="auto"/>
            </w:tcBorders>
          </w:tcPr>
          <w:p w:rsidR="00FD289D" w:rsidRPr="00495CA5" w:rsidRDefault="00FD289D" w:rsidP="00FD289D">
            <w:pPr>
              <w:pStyle w:val="TableTextCentered"/>
            </w:pPr>
            <w:r w:rsidRPr="00495CA5">
              <w:t>14,306</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231</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1.61</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201</w:t>
            </w:r>
            <w:r>
              <w:t>6</w:t>
            </w:r>
            <w:r w:rsidRPr="00BA5BB1">
              <w:t>–</w:t>
            </w:r>
            <w:r>
              <w:t>1</w:t>
            </w:r>
            <w:r w:rsidRPr="00807FB9">
              <w:t>7</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14</w:t>
            </w:r>
            <w:r>
              <w:rPr>
                <w:rFonts w:cstheme="majorHAnsi"/>
                <w:color w:val="000000"/>
              </w:rPr>
              <w:t>,</w:t>
            </w:r>
            <w:r w:rsidRPr="00085539">
              <w:rPr>
                <w:rFonts w:cstheme="majorHAnsi"/>
                <w:color w:val="000000"/>
              </w:rPr>
              <w:t>735</w:t>
            </w:r>
          </w:p>
        </w:tc>
        <w:tc>
          <w:tcPr>
            <w:tcW w:w="1106" w:type="pct"/>
            <w:tcBorders>
              <w:bottom w:val="single" w:sz="4" w:space="0" w:color="auto"/>
            </w:tcBorders>
          </w:tcPr>
          <w:p w:rsidR="00FD289D" w:rsidRPr="00495CA5" w:rsidRDefault="00FD289D" w:rsidP="00FD289D">
            <w:pPr>
              <w:pStyle w:val="TableTextCentered"/>
            </w:pPr>
            <w:r w:rsidRPr="00495CA5">
              <w:t>14,319</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416</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2.91</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201</w:t>
            </w:r>
            <w:r>
              <w:t>7</w:t>
            </w:r>
            <w:r w:rsidRPr="00BA5BB1">
              <w:t>–</w:t>
            </w:r>
            <w:r>
              <w:t>1</w:t>
            </w:r>
            <w:r w:rsidRPr="00807FB9">
              <w:t>8</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14</w:t>
            </w:r>
            <w:r>
              <w:rPr>
                <w:rFonts w:cstheme="majorHAnsi"/>
                <w:color w:val="000000"/>
              </w:rPr>
              <w:t>,</w:t>
            </w:r>
            <w:r w:rsidRPr="00085539">
              <w:rPr>
                <w:rFonts w:cstheme="majorHAnsi"/>
                <w:color w:val="000000"/>
              </w:rPr>
              <w:t>937</w:t>
            </w:r>
          </w:p>
        </w:tc>
        <w:tc>
          <w:tcPr>
            <w:tcW w:w="1106" w:type="pct"/>
            <w:tcBorders>
              <w:bottom w:val="single" w:sz="4" w:space="0" w:color="auto"/>
            </w:tcBorders>
          </w:tcPr>
          <w:p w:rsidR="00FD289D" w:rsidRPr="00495CA5" w:rsidRDefault="00FD289D" w:rsidP="00FD289D">
            <w:pPr>
              <w:pStyle w:val="TableTextCentered"/>
            </w:pPr>
            <w:r w:rsidRPr="00495CA5">
              <w:t>14,332</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605</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4.22</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201</w:t>
            </w:r>
            <w:r>
              <w:t>8</w:t>
            </w:r>
            <w:r w:rsidRPr="00BA5BB1">
              <w:t>–</w:t>
            </w:r>
            <w:r>
              <w:t>1</w:t>
            </w:r>
            <w:r w:rsidRPr="00807FB9">
              <w:t>9</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15</w:t>
            </w:r>
            <w:r>
              <w:rPr>
                <w:rFonts w:cstheme="majorHAnsi"/>
                <w:color w:val="000000"/>
              </w:rPr>
              <w:t>,</w:t>
            </w:r>
            <w:r w:rsidRPr="00085539">
              <w:rPr>
                <w:rFonts w:cstheme="majorHAnsi"/>
                <w:color w:val="000000"/>
              </w:rPr>
              <w:t>143</w:t>
            </w:r>
          </w:p>
        </w:tc>
        <w:tc>
          <w:tcPr>
            <w:tcW w:w="1106" w:type="pct"/>
            <w:tcBorders>
              <w:bottom w:val="single" w:sz="4" w:space="0" w:color="auto"/>
            </w:tcBorders>
          </w:tcPr>
          <w:p w:rsidR="00FD289D" w:rsidRPr="00495CA5" w:rsidRDefault="00FD289D" w:rsidP="00FD289D">
            <w:pPr>
              <w:pStyle w:val="TableTextCentered"/>
            </w:pPr>
            <w:r w:rsidRPr="00495CA5">
              <w:t>14,308</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835</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5.84</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w:t>
            </w:r>
            <w:r>
              <w:t>19</w:t>
            </w:r>
            <w:r w:rsidRPr="00BA5BB1">
              <w:t>–</w:t>
            </w:r>
            <w:r w:rsidRPr="00807FB9">
              <w:t>20</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15</w:t>
            </w:r>
            <w:r>
              <w:rPr>
                <w:rFonts w:cstheme="majorHAnsi"/>
                <w:color w:val="000000"/>
              </w:rPr>
              <w:t>,</w:t>
            </w:r>
            <w:r w:rsidRPr="00085539">
              <w:rPr>
                <w:rFonts w:cstheme="majorHAnsi"/>
                <w:color w:val="000000"/>
              </w:rPr>
              <w:t>353</w:t>
            </w:r>
          </w:p>
        </w:tc>
        <w:tc>
          <w:tcPr>
            <w:tcW w:w="1106" w:type="pct"/>
            <w:tcBorders>
              <w:bottom w:val="single" w:sz="4" w:space="0" w:color="auto"/>
            </w:tcBorders>
          </w:tcPr>
          <w:p w:rsidR="00FD289D" w:rsidRPr="00495CA5" w:rsidRDefault="00FD289D" w:rsidP="00FD289D">
            <w:pPr>
              <w:pStyle w:val="TableTextCentered"/>
            </w:pPr>
            <w:r w:rsidRPr="00495CA5">
              <w:t>14,277</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w:t>
            </w:r>
            <w:r>
              <w:rPr>
                <w:rFonts w:cstheme="majorHAnsi"/>
                <w:color w:val="000000"/>
              </w:rPr>
              <w:t>,</w:t>
            </w:r>
            <w:r w:rsidRPr="00085539">
              <w:rPr>
                <w:rFonts w:cstheme="majorHAnsi"/>
                <w:color w:val="000000"/>
              </w:rPr>
              <w:t>076</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7.54</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202</w:t>
            </w:r>
            <w:r>
              <w:t>0</w:t>
            </w:r>
            <w:r w:rsidRPr="00BA5BB1">
              <w:t>–</w:t>
            </w:r>
            <w:r>
              <w:t>2</w:t>
            </w:r>
            <w:r w:rsidRPr="00807FB9">
              <w:t>1</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15</w:t>
            </w:r>
            <w:r>
              <w:rPr>
                <w:rFonts w:cstheme="majorHAnsi"/>
                <w:color w:val="000000"/>
              </w:rPr>
              <w:t>,</w:t>
            </w:r>
            <w:r w:rsidRPr="00085539">
              <w:rPr>
                <w:rFonts w:cstheme="majorHAnsi"/>
                <w:color w:val="000000"/>
              </w:rPr>
              <w:t>567</w:t>
            </w:r>
          </w:p>
        </w:tc>
        <w:tc>
          <w:tcPr>
            <w:tcW w:w="1106" w:type="pct"/>
            <w:tcBorders>
              <w:bottom w:val="single" w:sz="4" w:space="0" w:color="auto"/>
            </w:tcBorders>
          </w:tcPr>
          <w:p w:rsidR="00FD289D" w:rsidRPr="00495CA5" w:rsidRDefault="00FD289D" w:rsidP="00FD289D">
            <w:pPr>
              <w:pStyle w:val="TableTextCentered"/>
            </w:pPr>
            <w:r w:rsidRPr="00495CA5">
              <w:t>14,235</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w:t>
            </w:r>
            <w:r>
              <w:rPr>
                <w:rFonts w:cstheme="majorHAnsi"/>
                <w:color w:val="000000"/>
              </w:rPr>
              <w:t>,</w:t>
            </w:r>
            <w:r w:rsidRPr="00085539">
              <w:rPr>
                <w:rFonts w:cstheme="majorHAnsi"/>
                <w:color w:val="000000"/>
              </w:rPr>
              <w:t>332</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9.36</w:t>
            </w:r>
            <w:r>
              <w:rPr>
                <w:rFonts w:cstheme="majorHAnsi"/>
                <w:color w:val="000000"/>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202</w:t>
            </w:r>
            <w:r>
              <w:t>1</w:t>
            </w:r>
            <w:r w:rsidRPr="00BA5BB1">
              <w:t>–</w:t>
            </w:r>
            <w:r>
              <w:t>2</w:t>
            </w:r>
            <w:r w:rsidRPr="00807FB9">
              <w:t>2</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15</w:t>
            </w:r>
            <w:r>
              <w:rPr>
                <w:rFonts w:cstheme="majorHAnsi"/>
                <w:color w:val="000000"/>
              </w:rPr>
              <w:t>,</w:t>
            </w:r>
            <w:r w:rsidRPr="00085539">
              <w:rPr>
                <w:rFonts w:cstheme="majorHAnsi"/>
                <w:color w:val="000000"/>
              </w:rPr>
              <w:t>786</w:t>
            </w:r>
          </w:p>
        </w:tc>
        <w:tc>
          <w:tcPr>
            <w:tcW w:w="1106" w:type="pct"/>
            <w:tcBorders>
              <w:bottom w:val="single" w:sz="4" w:space="0" w:color="auto"/>
            </w:tcBorders>
          </w:tcPr>
          <w:p w:rsidR="00FD289D" w:rsidRPr="00495CA5" w:rsidRDefault="00FD289D" w:rsidP="00FD289D">
            <w:pPr>
              <w:pStyle w:val="TableTextCentered"/>
            </w:pPr>
            <w:r w:rsidRPr="00495CA5">
              <w:t>14,166</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w:t>
            </w:r>
            <w:r>
              <w:rPr>
                <w:rFonts w:cstheme="majorHAnsi"/>
                <w:color w:val="000000"/>
              </w:rPr>
              <w:t>,</w:t>
            </w:r>
            <w:r w:rsidRPr="00085539">
              <w:rPr>
                <w:rFonts w:cstheme="majorHAnsi"/>
                <w:color w:val="000000"/>
              </w:rPr>
              <w:t>619</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11.43</w:t>
            </w:r>
            <w:r>
              <w:rPr>
                <w:rFonts w:cstheme="majorHAnsi"/>
              </w:rPr>
              <w:t>%</w:t>
            </w:r>
          </w:p>
        </w:tc>
      </w:tr>
      <w:tr w:rsidR="00FD289D" w:rsidTr="00085539">
        <w:tc>
          <w:tcPr>
            <w:tcW w:w="960" w:type="pct"/>
            <w:tcBorders>
              <w:bottom w:val="single" w:sz="4" w:space="0" w:color="auto"/>
            </w:tcBorders>
          </w:tcPr>
          <w:p w:rsidR="00FD289D" w:rsidRPr="00495CA5" w:rsidRDefault="00FD289D" w:rsidP="00FD289D">
            <w:pPr>
              <w:pStyle w:val="TableText"/>
              <w:jc w:val="center"/>
              <w:rPr>
                <w:szCs w:val="24"/>
              </w:rPr>
            </w:pPr>
            <w:r w:rsidRPr="00807FB9">
              <w:t>202</w:t>
            </w:r>
            <w:r>
              <w:t>2</w:t>
            </w:r>
            <w:r w:rsidRPr="00BA5BB1">
              <w:t>–</w:t>
            </w:r>
            <w:r>
              <w:t>2</w:t>
            </w:r>
            <w:r w:rsidRPr="00807FB9">
              <w:t>3</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16</w:t>
            </w:r>
            <w:r>
              <w:rPr>
                <w:rFonts w:cstheme="majorHAnsi"/>
                <w:color w:val="000000"/>
              </w:rPr>
              <w:t>,</w:t>
            </w:r>
            <w:r w:rsidRPr="00085539">
              <w:rPr>
                <w:rFonts w:cstheme="majorHAnsi"/>
                <w:color w:val="000000"/>
              </w:rPr>
              <w:t>009</w:t>
            </w:r>
          </w:p>
        </w:tc>
        <w:tc>
          <w:tcPr>
            <w:tcW w:w="1106" w:type="pct"/>
            <w:tcBorders>
              <w:bottom w:val="single" w:sz="4" w:space="0" w:color="auto"/>
            </w:tcBorders>
          </w:tcPr>
          <w:p w:rsidR="00FD289D" w:rsidRPr="00495CA5" w:rsidRDefault="00FD289D" w:rsidP="00FD289D">
            <w:pPr>
              <w:pStyle w:val="TableTextCentered"/>
            </w:pPr>
            <w:r w:rsidRPr="00495CA5">
              <w:t>14,078</w:t>
            </w:r>
          </w:p>
        </w:tc>
        <w:tc>
          <w:tcPr>
            <w:tcW w:w="963"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w:t>
            </w:r>
            <w:r>
              <w:rPr>
                <w:rFonts w:cstheme="majorHAnsi"/>
                <w:color w:val="000000"/>
              </w:rPr>
              <w:t>,</w:t>
            </w:r>
            <w:r w:rsidRPr="00085539">
              <w:rPr>
                <w:rFonts w:cstheme="majorHAnsi"/>
                <w:color w:val="000000"/>
              </w:rPr>
              <w:t>930</w:t>
            </w:r>
          </w:p>
        </w:tc>
        <w:tc>
          <w:tcPr>
            <w:tcW w:w="960"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13.71</w:t>
            </w:r>
            <w:r>
              <w:rPr>
                <w:rFonts w:cstheme="majorHAnsi"/>
                <w:color w:val="000000"/>
              </w:rPr>
              <w:t>%</w:t>
            </w:r>
          </w:p>
        </w:tc>
      </w:tr>
      <w:tr w:rsidR="00FD289D" w:rsidTr="00085539">
        <w:tc>
          <w:tcPr>
            <w:tcW w:w="960" w:type="pct"/>
          </w:tcPr>
          <w:p w:rsidR="00FD289D" w:rsidRPr="00495CA5" w:rsidRDefault="00FD289D" w:rsidP="00FD289D">
            <w:pPr>
              <w:pStyle w:val="TableText"/>
              <w:jc w:val="center"/>
              <w:rPr>
                <w:szCs w:val="24"/>
              </w:rPr>
            </w:pPr>
            <w:r w:rsidRPr="00807FB9">
              <w:t>202</w:t>
            </w:r>
            <w:r>
              <w:t>3</w:t>
            </w:r>
            <w:r w:rsidRPr="00BA5BB1">
              <w:t>–</w:t>
            </w:r>
            <w:r>
              <w:t>2</w:t>
            </w:r>
            <w:r w:rsidRPr="00807FB9">
              <w:t>4</w:t>
            </w:r>
          </w:p>
        </w:tc>
        <w:tc>
          <w:tcPr>
            <w:tcW w:w="1011" w:type="pct"/>
            <w:vAlign w:val="bottom"/>
          </w:tcPr>
          <w:p w:rsidR="00FD289D" w:rsidRPr="00A5516F" w:rsidRDefault="00FD289D" w:rsidP="00FD289D">
            <w:pPr>
              <w:pStyle w:val="TableTextCentered"/>
              <w:rPr>
                <w:rFonts w:cstheme="majorHAnsi"/>
              </w:rPr>
            </w:pPr>
            <w:r w:rsidRPr="00085539">
              <w:rPr>
                <w:rFonts w:cstheme="majorHAnsi"/>
                <w:color w:val="000000"/>
              </w:rPr>
              <w:t>16</w:t>
            </w:r>
            <w:r>
              <w:rPr>
                <w:rFonts w:cstheme="majorHAnsi"/>
                <w:color w:val="000000"/>
              </w:rPr>
              <w:t>,</w:t>
            </w:r>
            <w:r w:rsidRPr="00085539">
              <w:rPr>
                <w:rFonts w:cstheme="majorHAnsi"/>
                <w:color w:val="000000"/>
              </w:rPr>
              <w:t>236</w:t>
            </w:r>
          </w:p>
        </w:tc>
        <w:tc>
          <w:tcPr>
            <w:tcW w:w="1106" w:type="pct"/>
          </w:tcPr>
          <w:p w:rsidR="00FD289D" w:rsidRPr="00495CA5" w:rsidRDefault="00FD289D" w:rsidP="00FD289D">
            <w:pPr>
              <w:pStyle w:val="TableTextCentered"/>
            </w:pPr>
            <w:r w:rsidRPr="00495CA5">
              <w:t>13,973</w:t>
            </w:r>
          </w:p>
        </w:tc>
        <w:tc>
          <w:tcPr>
            <w:tcW w:w="963" w:type="pct"/>
            <w:vAlign w:val="bottom"/>
          </w:tcPr>
          <w:p w:rsidR="00FD289D" w:rsidRPr="00A5516F" w:rsidRDefault="00FD289D" w:rsidP="00FD289D">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262</w:t>
            </w:r>
          </w:p>
        </w:tc>
        <w:tc>
          <w:tcPr>
            <w:tcW w:w="960" w:type="pct"/>
            <w:vAlign w:val="bottom"/>
          </w:tcPr>
          <w:p w:rsidR="00FD289D" w:rsidRPr="00A5516F" w:rsidRDefault="00FD289D" w:rsidP="00FD289D">
            <w:pPr>
              <w:pStyle w:val="TableTextCentered"/>
              <w:rPr>
                <w:rFonts w:cstheme="majorHAnsi"/>
              </w:rPr>
            </w:pPr>
            <w:r w:rsidRPr="00085539">
              <w:rPr>
                <w:rFonts w:cstheme="majorHAnsi"/>
                <w:color w:val="000000"/>
              </w:rPr>
              <w:t>16.19</w:t>
            </w:r>
            <w:r>
              <w:rPr>
                <w:rFonts w:cstheme="majorHAnsi"/>
                <w:color w:val="000000"/>
              </w:rPr>
              <w:t>%</w:t>
            </w:r>
          </w:p>
        </w:tc>
      </w:tr>
    </w:tbl>
    <w:p w:rsidR="00C157EC" w:rsidRDefault="00FC31F1" w:rsidP="00EC7FF5">
      <w:pPr>
        <w:pStyle w:val="ExhibitTitle"/>
      </w:pPr>
      <w:r>
        <w:t>Figure</w:t>
      </w:r>
      <w:r w:rsidR="00C157EC">
        <w:t xml:space="preserve"> B</w:t>
      </w:r>
      <w:r>
        <w:t>4</w:t>
      </w:r>
      <w:r w:rsidR="00C157EC">
        <w:t>. Historical and Projected Statewide Supply and Demand for Teachers Ages 33 to 40 in Terms of FTEs</w:t>
      </w:r>
      <w:r w:rsidR="00D41F40">
        <w:t xml:space="preserve">, </w:t>
      </w:r>
      <w:r w:rsidR="00C157EC">
        <w:t>2008</w:t>
      </w:r>
      <w:r w:rsidR="00C157EC" w:rsidRPr="00BA5BB1">
        <w:t>–</w:t>
      </w:r>
      <w:r w:rsidR="00C157EC">
        <w:t>09 to 2023</w:t>
      </w:r>
      <w:r w:rsidR="00C157EC" w:rsidRPr="00BA5BB1">
        <w:t>–</w:t>
      </w:r>
      <w:r w:rsidR="00D41F40">
        <w:t>24</w:t>
      </w:r>
    </w:p>
    <w:p w:rsidR="00C157EC" w:rsidRDefault="007A056A" w:rsidP="007B4A8E">
      <w:pPr>
        <w:pStyle w:val="FigurePlacement"/>
      </w:pPr>
      <w:r w:rsidRPr="007A056A">
        <w:t xml:space="preserve"> </w:t>
      </w:r>
      <w:r w:rsidRPr="007A056A">
        <w:rPr>
          <w:noProof/>
          <w:lang w:eastAsia="zh-CN" w:bidi="km-KH"/>
        </w:rPr>
        <w:drawing>
          <wp:inline distT="0" distB="0" distL="0" distR="0">
            <wp:extent cx="5610225" cy="3609669"/>
            <wp:effectExtent l="19050" t="0" r="9525" b="0"/>
            <wp:docPr id="28" name="Picture 28" descr="Figure B4. Historical and Projected Statewide Supply and Demand for Teachers Ages 33 to 40 in Terms of FTEs, 2008–09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02" t="42721" r="2393" b="3254"/>
                    <a:stretch/>
                  </pic:blipFill>
                  <pic:spPr bwMode="auto">
                    <a:xfrm>
                      <a:off x="0" y="0"/>
                      <a:ext cx="5617905" cy="361461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FC31F1" w:rsidP="007B4A8E">
      <w:pPr>
        <w:pStyle w:val="ExhibitTitle"/>
      </w:pPr>
      <w:r>
        <w:t>Table</w:t>
      </w:r>
      <w:r w:rsidR="00C157EC" w:rsidRPr="00CC4696">
        <w:t xml:space="preserve"> </w:t>
      </w:r>
      <w:r w:rsidR="00C157EC">
        <w:t>B</w:t>
      </w:r>
      <w:r>
        <w:t>9</w:t>
      </w:r>
      <w:r w:rsidR="00C157EC" w:rsidRPr="00CC4696">
        <w:t xml:space="preserve">. </w:t>
      </w:r>
      <w:r w:rsidR="00C157EC">
        <w:t xml:space="preserve">Projected </w:t>
      </w:r>
      <w:r w:rsidR="002D6597">
        <w:t xml:space="preserve">Statewide Demand and </w:t>
      </w:r>
      <w:r w:rsidR="00C157EC" w:rsidRPr="00CC4696">
        <w:t xml:space="preserve">Supply </w:t>
      </w:r>
      <w:r w:rsidR="00C157EC">
        <w:t>of Teachers</w:t>
      </w:r>
      <w:r w:rsidR="001D2E77">
        <w:t xml:space="preserve"> Ages 41 to 48 in Terms of FTEs</w:t>
      </w:r>
      <w:r w:rsidR="00C157EC">
        <w:t xml:space="preserve"> </w:t>
      </w:r>
      <w:r w:rsidR="00C157EC" w:rsidRPr="00CC4696">
        <w:t xml:space="preserve">and Absolute </w:t>
      </w:r>
      <w:r w:rsidR="00C157EC">
        <w:t xml:space="preserve">and </w:t>
      </w:r>
      <w:r w:rsidR="00C157EC" w:rsidRPr="00CC4696">
        <w:t>Relative Differences</w:t>
      </w:r>
      <w:r w:rsidR="00D41F40">
        <w:t>,</w:t>
      </w:r>
      <w:r w:rsidR="00C157EC" w:rsidRPr="00CC4696">
        <w:t xml:space="preserve"> </w:t>
      </w:r>
      <w:r w:rsidR="00C157EC">
        <w:t>2014</w:t>
      </w:r>
      <w:r w:rsidR="00C157EC" w:rsidRPr="00BA5BB1">
        <w:t>–</w:t>
      </w:r>
      <w:r w:rsidR="00C157EC">
        <w:t>15</w:t>
      </w:r>
      <w:r w:rsidR="00C157EC" w:rsidRPr="00CC4696">
        <w:t xml:space="preserve"> </w:t>
      </w:r>
      <w:proofErr w:type="gramStart"/>
      <w:r w:rsidR="002D6597">
        <w:t>Through</w:t>
      </w:r>
      <w:proofErr w:type="gramEnd"/>
      <w:r w:rsidR="002D6597">
        <w:t xml:space="preserve"> </w:t>
      </w:r>
      <w:r w:rsidR="00C157EC" w:rsidRPr="00CC4696">
        <w:t>2023</w:t>
      </w:r>
      <w:r w:rsidR="00C157EC" w:rsidRPr="00BA5BB1">
        <w:t>–</w:t>
      </w:r>
      <w:r w:rsidR="00C157EC"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2"/>
        <w:gridCol w:w="1939"/>
        <w:gridCol w:w="2123"/>
        <w:gridCol w:w="1849"/>
        <w:gridCol w:w="1837"/>
      </w:tblGrid>
      <w:tr w:rsidR="007B4A8E" w:rsidTr="001D2E77">
        <w:trPr>
          <w:cnfStyle w:val="100000000000"/>
        </w:trPr>
        <w:tc>
          <w:tcPr>
            <w:tcW w:w="960" w:type="pct"/>
            <w:tcBorders>
              <w:bottom w:val="single" w:sz="4" w:space="0" w:color="auto"/>
            </w:tcBorders>
          </w:tcPr>
          <w:p w:rsidR="00C157EC" w:rsidRDefault="00C157EC" w:rsidP="001D2E77">
            <w:pPr>
              <w:pStyle w:val="TableText"/>
              <w:jc w:val="center"/>
              <w:rPr>
                <w:rFonts w:ascii="Times New Roman" w:hAnsi="Times New Roman"/>
                <w:sz w:val="24"/>
                <w:szCs w:val="24"/>
              </w:rPr>
            </w:pPr>
            <w:r>
              <w:t>Year</w:t>
            </w:r>
          </w:p>
        </w:tc>
        <w:tc>
          <w:tcPr>
            <w:tcW w:w="1011" w:type="pct"/>
            <w:tcBorders>
              <w:bottom w:val="single" w:sz="4" w:space="0" w:color="auto"/>
            </w:tcBorders>
          </w:tcPr>
          <w:p w:rsidR="00C157EC" w:rsidRDefault="00C157EC" w:rsidP="007B4A8E">
            <w:pPr>
              <w:pStyle w:val="TableTextCentered"/>
              <w:rPr>
                <w:rFonts w:ascii="Times New Roman" w:hAnsi="Times New Roman"/>
                <w:sz w:val="24"/>
                <w:szCs w:val="24"/>
              </w:rPr>
            </w:pPr>
            <w:r w:rsidRPr="00807FB9">
              <w:t>Projected Supply</w:t>
            </w:r>
          </w:p>
        </w:tc>
        <w:tc>
          <w:tcPr>
            <w:tcW w:w="1107" w:type="pct"/>
            <w:tcBorders>
              <w:bottom w:val="single" w:sz="4" w:space="0" w:color="auto"/>
            </w:tcBorders>
          </w:tcPr>
          <w:p w:rsidR="00C157EC" w:rsidRDefault="00C157EC" w:rsidP="007B4A8E">
            <w:pPr>
              <w:pStyle w:val="TableTextCentered"/>
              <w:rPr>
                <w:rFonts w:ascii="Times New Roman" w:hAnsi="Times New Roman"/>
                <w:sz w:val="24"/>
                <w:szCs w:val="24"/>
              </w:rPr>
            </w:pPr>
            <w:r w:rsidRPr="00807FB9">
              <w:t>Projected Demand</w:t>
            </w:r>
          </w:p>
        </w:tc>
        <w:tc>
          <w:tcPr>
            <w:tcW w:w="964" w:type="pct"/>
            <w:tcBorders>
              <w:bottom w:val="single" w:sz="4" w:space="0" w:color="auto"/>
            </w:tcBorders>
          </w:tcPr>
          <w:p w:rsidR="00C157EC" w:rsidRDefault="00C157EC" w:rsidP="007B4A8E">
            <w:pPr>
              <w:pStyle w:val="TableTextCentered"/>
              <w:rPr>
                <w:rFonts w:ascii="Times New Roman" w:hAnsi="Times New Roman"/>
                <w:sz w:val="24"/>
                <w:szCs w:val="24"/>
              </w:rPr>
            </w:pPr>
            <w:r w:rsidRPr="00807FB9">
              <w:t xml:space="preserve">Absolute Difference </w:t>
            </w:r>
            <w:r>
              <w:t>B</w:t>
            </w:r>
            <w:r w:rsidRPr="00807FB9">
              <w:t>etween Supply and Demand</w:t>
            </w:r>
          </w:p>
        </w:tc>
        <w:tc>
          <w:tcPr>
            <w:tcW w:w="958" w:type="pct"/>
            <w:tcBorders>
              <w:bottom w:val="single" w:sz="4" w:space="0" w:color="auto"/>
            </w:tcBorders>
          </w:tcPr>
          <w:p w:rsidR="00C157EC" w:rsidRDefault="00C157EC" w:rsidP="007B4A8E">
            <w:pPr>
              <w:pStyle w:val="TableTextCentered"/>
              <w:rPr>
                <w:rFonts w:ascii="Times New Roman" w:hAnsi="Times New Roman"/>
                <w:sz w:val="24"/>
                <w:szCs w:val="24"/>
              </w:rPr>
            </w:pPr>
            <w:r w:rsidRPr="00807FB9">
              <w:t xml:space="preserve">Relative Difference </w:t>
            </w:r>
            <w:r>
              <w:t>B</w:t>
            </w:r>
            <w:r w:rsidRPr="00807FB9">
              <w:t>etween Supply and Demand</w:t>
            </w:r>
          </w:p>
        </w:tc>
      </w:tr>
      <w:tr w:rsidR="00FD289D" w:rsidTr="00085539">
        <w:tc>
          <w:tcPr>
            <w:tcW w:w="960" w:type="pct"/>
            <w:tcBorders>
              <w:bottom w:val="single" w:sz="4" w:space="0" w:color="auto"/>
            </w:tcBorders>
          </w:tcPr>
          <w:p w:rsidR="00FD289D" w:rsidRPr="00B1210F" w:rsidRDefault="00FD289D" w:rsidP="00FD289D">
            <w:pPr>
              <w:pStyle w:val="TableText"/>
              <w:jc w:val="center"/>
              <w:rPr>
                <w:szCs w:val="24"/>
              </w:rPr>
            </w:pPr>
            <w:r w:rsidRPr="00807FB9">
              <w:t>201</w:t>
            </w:r>
            <w:r>
              <w:t>4</w:t>
            </w:r>
            <w:r w:rsidRPr="00BA5BB1">
              <w:t>–</w:t>
            </w:r>
            <w:r>
              <w:t>1</w:t>
            </w:r>
            <w:r w:rsidRPr="00807FB9">
              <w:t>5</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14</w:t>
            </w:r>
            <w:r>
              <w:rPr>
                <w:rFonts w:cstheme="majorHAnsi"/>
                <w:color w:val="000000"/>
              </w:rPr>
              <w:t>,</w:t>
            </w:r>
            <w:r w:rsidRPr="00085539">
              <w:rPr>
                <w:rFonts w:cstheme="majorHAnsi"/>
                <w:color w:val="000000"/>
              </w:rPr>
              <w:t>369</w:t>
            </w:r>
          </w:p>
        </w:tc>
        <w:tc>
          <w:tcPr>
            <w:tcW w:w="1107" w:type="pct"/>
            <w:tcBorders>
              <w:bottom w:val="single" w:sz="4" w:space="0" w:color="auto"/>
            </w:tcBorders>
          </w:tcPr>
          <w:p w:rsidR="00FD289D" w:rsidRPr="00B1210F" w:rsidRDefault="00FD289D" w:rsidP="00FD289D">
            <w:pPr>
              <w:pStyle w:val="TableTextCentered"/>
            </w:pPr>
            <w:r w:rsidRPr="00B1210F">
              <w:t>14,539</w:t>
            </w:r>
          </w:p>
        </w:tc>
        <w:tc>
          <w:tcPr>
            <w:tcW w:w="964"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-170</w:t>
            </w:r>
          </w:p>
        </w:tc>
        <w:tc>
          <w:tcPr>
            <w:tcW w:w="958"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-1.17</w:t>
            </w:r>
            <w:r>
              <w:rPr>
                <w:rFonts w:cstheme="majorHAnsi"/>
                <w:color w:val="000000"/>
              </w:rPr>
              <w:t>%</w:t>
            </w:r>
          </w:p>
        </w:tc>
      </w:tr>
      <w:tr w:rsidR="00FD289D" w:rsidTr="00085539">
        <w:tc>
          <w:tcPr>
            <w:tcW w:w="960" w:type="pct"/>
            <w:tcBorders>
              <w:bottom w:val="single" w:sz="4" w:space="0" w:color="auto"/>
            </w:tcBorders>
          </w:tcPr>
          <w:p w:rsidR="00FD289D" w:rsidRPr="00B1210F" w:rsidRDefault="00FD289D" w:rsidP="00FD289D">
            <w:pPr>
              <w:pStyle w:val="TableText"/>
              <w:jc w:val="center"/>
              <w:rPr>
                <w:szCs w:val="24"/>
              </w:rPr>
            </w:pPr>
            <w:r w:rsidRPr="00807FB9">
              <w:t>201</w:t>
            </w:r>
            <w:r>
              <w:t>5</w:t>
            </w:r>
            <w:r w:rsidRPr="00BA5BB1">
              <w:t>–</w:t>
            </w:r>
            <w:r>
              <w:t>1</w:t>
            </w:r>
            <w:r w:rsidRPr="00807FB9">
              <w:t>6</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14</w:t>
            </w:r>
            <w:r>
              <w:rPr>
                <w:rFonts w:cstheme="majorHAnsi"/>
                <w:color w:val="000000"/>
              </w:rPr>
              <w:t>,</w:t>
            </w:r>
            <w:r w:rsidRPr="00085539">
              <w:rPr>
                <w:rFonts w:cstheme="majorHAnsi"/>
                <w:color w:val="000000"/>
              </w:rPr>
              <w:t>869</w:t>
            </w:r>
          </w:p>
        </w:tc>
        <w:tc>
          <w:tcPr>
            <w:tcW w:w="1107" w:type="pct"/>
            <w:tcBorders>
              <w:bottom w:val="single" w:sz="4" w:space="0" w:color="auto"/>
            </w:tcBorders>
          </w:tcPr>
          <w:p w:rsidR="00FD289D" w:rsidRPr="00B1210F" w:rsidRDefault="00FD289D" w:rsidP="00FD289D">
            <w:pPr>
              <w:pStyle w:val="TableTextCentered"/>
            </w:pPr>
            <w:r w:rsidRPr="00B1210F">
              <w:t>14,914</w:t>
            </w:r>
          </w:p>
        </w:tc>
        <w:tc>
          <w:tcPr>
            <w:tcW w:w="964"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-45</w:t>
            </w:r>
          </w:p>
        </w:tc>
        <w:tc>
          <w:tcPr>
            <w:tcW w:w="958"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-0.3</w:t>
            </w:r>
            <w:r>
              <w:rPr>
                <w:rFonts w:cstheme="majorHAnsi"/>
                <w:color w:val="000000"/>
              </w:rPr>
              <w:t>0%</w:t>
            </w:r>
          </w:p>
        </w:tc>
      </w:tr>
      <w:tr w:rsidR="00FD289D" w:rsidTr="00085539">
        <w:tc>
          <w:tcPr>
            <w:tcW w:w="960" w:type="pct"/>
            <w:tcBorders>
              <w:bottom w:val="single" w:sz="4" w:space="0" w:color="auto"/>
            </w:tcBorders>
          </w:tcPr>
          <w:p w:rsidR="00FD289D" w:rsidRPr="00B1210F" w:rsidRDefault="00FD289D" w:rsidP="00FD289D">
            <w:pPr>
              <w:pStyle w:val="TableText"/>
              <w:jc w:val="center"/>
              <w:rPr>
                <w:szCs w:val="24"/>
              </w:rPr>
            </w:pPr>
            <w:r w:rsidRPr="00807FB9">
              <w:t>201</w:t>
            </w:r>
            <w:r>
              <w:t>6</w:t>
            </w:r>
            <w:r w:rsidRPr="00BA5BB1">
              <w:t>–</w:t>
            </w:r>
            <w:r>
              <w:t>1</w:t>
            </w:r>
            <w:r w:rsidRPr="00807FB9">
              <w:t>7</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15</w:t>
            </w:r>
            <w:r>
              <w:rPr>
                <w:rFonts w:cstheme="majorHAnsi"/>
                <w:color w:val="000000"/>
              </w:rPr>
              <w:t>,</w:t>
            </w:r>
            <w:r w:rsidRPr="00085539">
              <w:rPr>
                <w:rFonts w:cstheme="majorHAnsi"/>
                <w:color w:val="000000"/>
              </w:rPr>
              <w:t>390</w:t>
            </w:r>
          </w:p>
        </w:tc>
        <w:tc>
          <w:tcPr>
            <w:tcW w:w="1107" w:type="pct"/>
            <w:tcBorders>
              <w:bottom w:val="single" w:sz="4" w:space="0" w:color="auto"/>
            </w:tcBorders>
          </w:tcPr>
          <w:p w:rsidR="00FD289D" w:rsidRPr="00B1210F" w:rsidRDefault="00FD289D" w:rsidP="00FD289D">
            <w:pPr>
              <w:pStyle w:val="TableTextCentered"/>
            </w:pPr>
            <w:r w:rsidRPr="00B1210F">
              <w:t>15,263</w:t>
            </w:r>
          </w:p>
        </w:tc>
        <w:tc>
          <w:tcPr>
            <w:tcW w:w="964"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127</w:t>
            </w:r>
          </w:p>
        </w:tc>
        <w:tc>
          <w:tcPr>
            <w:tcW w:w="958"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0.83</w:t>
            </w:r>
            <w:r>
              <w:rPr>
                <w:rFonts w:cstheme="majorHAnsi"/>
                <w:color w:val="000000"/>
              </w:rPr>
              <w:t>%</w:t>
            </w:r>
          </w:p>
        </w:tc>
      </w:tr>
      <w:tr w:rsidR="00FD289D" w:rsidTr="00085539">
        <w:tc>
          <w:tcPr>
            <w:tcW w:w="960" w:type="pct"/>
            <w:tcBorders>
              <w:bottom w:val="single" w:sz="4" w:space="0" w:color="auto"/>
            </w:tcBorders>
          </w:tcPr>
          <w:p w:rsidR="00FD289D" w:rsidRPr="00B1210F" w:rsidRDefault="00FD289D" w:rsidP="00FD289D">
            <w:pPr>
              <w:pStyle w:val="TableText"/>
              <w:jc w:val="center"/>
              <w:rPr>
                <w:szCs w:val="24"/>
              </w:rPr>
            </w:pPr>
            <w:r w:rsidRPr="00807FB9">
              <w:t>201</w:t>
            </w:r>
            <w:r>
              <w:t>7</w:t>
            </w:r>
            <w:r w:rsidRPr="00BA5BB1">
              <w:t>–</w:t>
            </w:r>
            <w:r>
              <w:t>1</w:t>
            </w:r>
            <w:r w:rsidRPr="00807FB9">
              <w:t>8</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15</w:t>
            </w:r>
            <w:r>
              <w:rPr>
                <w:rFonts w:cstheme="majorHAnsi"/>
                <w:color w:val="000000"/>
              </w:rPr>
              <w:t>,</w:t>
            </w:r>
            <w:r w:rsidRPr="00085539">
              <w:rPr>
                <w:rFonts w:cstheme="majorHAnsi"/>
                <w:color w:val="000000"/>
              </w:rPr>
              <w:t>933</w:t>
            </w:r>
          </w:p>
        </w:tc>
        <w:tc>
          <w:tcPr>
            <w:tcW w:w="1107" w:type="pct"/>
            <w:tcBorders>
              <w:bottom w:val="single" w:sz="4" w:space="0" w:color="auto"/>
            </w:tcBorders>
          </w:tcPr>
          <w:p w:rsidR="00FD289D" w:rsidRPr="00B1210F" w:rsidRDefault="00FD289D" w:rsidP="00FD289D">
            <w:pPr>
              <w:pStyle w:val="TableTextCentered"/>
            </w:pPr>
            <w:r w:rsidRPr="00B1210F">
              <w:t>15,614</w:t>
            </w:r>
          </w:p>
        </w:tc>
        <w:tc>
          <w:tcPr>
            <w:tcW w:w="964"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319</w:t>
            </w:r>
          </w:p>
        </w:tc>
        <w:tc>
          <w:tcPr>
            <w:tcW w:w="958"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2.04</w:t>
            </w:r>
            <w:r>
              <w:rPr>
                <w:rFonts w:cstheme="majorHAnsi"/>
                <w:color w:val="000000"/>
              </w:rPr>
              <w:t>%</w:t>
            </w:r>
          </w:p>
        </w:tc>
      </w:tr>
      <w:tr w:rsidR="00FD289D" w:rsidTr="00085539">
        <w:tc>
          <w:tcPr>
            <w:tcW w:w="960" w:type="pct"/>
            <w:tcBorders>
              <w:bottom w:val="single" w:sz="4" w:space="0" w:color="auto"/>
            </w:tcBorders>
          </w:tcPr>
          <w:p w:rsidR="00FD289D" w:rsidRPr="00B1210F" w:rsidRDefault="00FD289D" w:rsidP="00FD289D">
            <w:pPr>
              <w:pStyle w:val="TableText"/>
              <w:jc w:val="center"/>
              <w:rPr>
                <w:szCs w:val="24"/>
              </w:rPr>
            </w:pPr>
            <w:r w:rsidRPr="00807FB9">
              <w:t>201</w:t>
            </w:r>
            <w:r>
              <w:t>8</w:t>
            </w:r>
            <w:r w:rsidRPr="00BA5BB1">
              <w:t>–</w:t>
            </w:r>
            <w:r>
              <w:t>1</w:t>
            </w:r>
            <w:r w:rsidRPr="00807FB9">
              <w:t>9</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16</w:t>
            </w:r>
            <w:r>
              <w:rPr>
                <w:rFonts w:cstheme="majorHAnsi"/>
                <w:color w:val="000000"/>
              </w:rPr>
              <w:t>,</w:t>
            </w:r>
            <w:r w:rsidRPr="00085539">
              <w:rPr>
                <w:rFonts w:cstheme="majorHAnsi"/>
                <w:color w:val="000000"/>
              </w:rPr>
              <w:t>498</w:t>
            </w:r>
          </w:p>
        </w:tc>
        <w:tc>
          <w:tcPr>
            <w:tcW w:w="1107" w:type="pct"/>
            <w:tcBorders>
              <w:bottom w:val="single" w:sz="4" w:space="0" w:color="auto"/>
            </w:tcBorders>
          </w:tcPr>
          <w:p w:rsidR="00FD289D" w:rsidRPr="00B1210F" w:rsidRDefault="00FD289D" w:rsidP="00FD289D">
            <w:pPr>
              <w:pStyle w:val="TableTextCentered"/>
            </w:pPr>
            <w:r w:rsidRPr="00B1210F">
              <w:t>15,925</w:t>
            </w:r>
          </w:p>
        </w:tc>
        <w:tc>
          <w:tcPr>
            <w:tcW w:w="964"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573</w:t>
            </w:r>
          </w:p>
        </w:tc>
        <w:tc>
          <w:tcPr>
            <w:tcW w:w="958"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3.6</w:t>
            </w:r>
            <w:r>
              <w:rPr>
                <w:rFonts w:cstheme="majorHAnsi"/>
                <w:color w:val="000000"/>
              </w:rPr>
              <w:t>0%</w:t>
            </w:r>
          </w:p>
        </w:tc>
      </w:tr>
      <w:tr w:rsidR="00FD289D" w:rsidTr="00085539">
        <w:tc>
          <w:tcPr>
            <w:tcW w:w="960" w:type="pct"/>
            <w:tcBorders>
              <w:bottom w:val="single" w:sz="4" w:space="0" w:color="auto"/>
            </w:tcBorders>
          </w:tcPr>
          <w:p w:rsidR="00FD289D" w:rsidRPr="00B1210F" w:rsidRDefault="00FD289D" w:rsidP="00FD289D">
            <w:pPr>
              <w:pStyle w:val="TableText"/>
              <w:jc w:val="center"/>
              <w:rPr>
                <w:szCs w:val="24"/>
              </w:rPr>
            </w:pPr>
            <w:r w:rsidRPr="00807FB9">
              <w:t>20</w:t>
            </w:r>
            <w:r>
              <w:t>19</w:t>
            </w:r>
            <w:r w:rsidRPr="00BA5BB1">
              <w:t>–</w:t>
            </w:r>
            <w:r w:rsidRPr="00807FB9">
              <w:t>20</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17</w:t>
            </w:r>
            <w:r>
              <w:rPr>
                <w:rFonts w:cstheme="majorHAnsi"/>
                <w:color w:val="000000"/>
              </w:rPr>
              <w:t>,</w:t>
            </w:r>
            <w:r w:rsidRPr="00085539">
              <w:rPr>
                <w:rFonts w:cstheme="majorHAnsi"/>
                <w:color w:val="000000"/>
              </w:rPr>
              <w:t>088</w:t>
            </w:r>
          </w:p>
        </w:tc>
        <w:tc>
          <w:tcPr>
            <w:tcW w:w="1107" w:type="pct"/>
            <w:tcBorders>
              <w:bottom w:val="single" w:sz="4" w:space="0" w:color="auto"/>
            </w:tcBorders>
          </w:tcPr>
          <w:p w:rsidR="00FD289D" w:rsidRPr="00B1210F" w:rsidRDefault="00FD289D" w:rsidP="00FD289D">
            <w:pPr>
              <w:pStyle w:val="TableTextCentered"/>
            </w:pPr>
            <w:r w:rsidRPr="00B1210F">
              <w:t>16,229</w:t>
            </w:r>
          </w:p>
        </w:tc>
        <w:tc>
          <w:tcPr>
            <w:tcW w:w="964"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859</w:t>
            </w:r>
          </w:p>
        </w:tc>
        <w:tc>
          <w:tcPr>
            <w:tcW w:w="958"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5.29</w:t>
            </w:r>
            <w:r>
              <w:rPr>
                <w:rFonts w:cstheme="majorHAnsi"/>
                <w:color w:val="000000"/>
              </w:rPr>
              <w:t>%</w:t>
            </w:r>
          </w:p>
        </w:tc>
      </w:tr>
      <w:tr w:rsidR="00FD289D" w:rsidTr="00085539">
        <w:tc>
          <w:tcPr>
            <w:tcW w:w="960" w:type="pct"/>
            <w:tcBorders>
              <w:bottom w:val="single" w:sz="4" w:space="0" w:color="auto"/>
            </w:tcBorders>
          </w:tcPr>
          <w:p w:rsidR="00FD289D" w:rsidRPr="00B1210F" w:rsidRDefault="00FD289D" w:rsidP="00FD289D">
            <w:pPr>
              <w:pStyle w:val="TableText"/>
              <w:jc w:val="center"/>
              <w:rPr>
                <w:szCs w:val="24"/>
              </w:rPr>
            </w:pPr>
            <w:r w:rsidRPr="00807FB9">
              <w:t>202</w:t>
            </w:r>
            <w:r>
              <w:t>0</w:t>
            </w:r>
            <w:r w:rsidRPr="00BA5BB1">
              <w:t>–</w:t>
            </w:r>
            <w:r>
              <w:t>2</w:t>
            </w:r>
            <w:r w:rsidRPr="00807FB9">
              <w:t>1</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17</w:t>
            </w:r>
            <w:r>
              <w:rPr>
                <w:rFonts w:cstheme="majorHAnsi"/>
                <w:color w:val="000000"/>
              </w:rPr>
              <w:t>,</w:t>
            </w:r>
            <w:r w:rsidRPr="00085539">
              <w:rPr>
                <w:rFonts w:cstheme="majorHAnsi"/>
                <w:color w:val="000000"/>
              </w:rPr>
              <w:t>703</w:t>
            </w:r>
          </w:p>
        </w:tc>
        <w:tc>
          <w:tcPr>
            <w:tcW w:w="1107" w:type="pct"/>
            <w:tcBorders>
              <w:bottom w:val="single" w:sz="4" w:space="0" w:color="auto"/>
            </w:tcBorders>
          </w:tcPr>
          <w:p w:rsidR="00FD289D" w:rsidRPr="00B1210F" w:rsidRDefault="00FD289D" w:rsidP="00FD289D">
            <w:pPr>
              <w:pStyle w:val="TableTextCentered"/>
            </w:pPr>
            <w:r w:rsidRPr="00B1210F">
              <w:t>16,518</w:t>
            </w:r>
          </w:p>
        </w:tc>
        <w:tc>
          <w:tcPr>
            <w:tcW w:w="964"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w:t>
            </w:r>
            <w:r>
              <w:rPr>
                <w:rFonts w:cstheme="majorHAnsi"/>
                <w:color w:val="000000"/>
              </w:rPr>
              <w:t>,</w:t>
            </w:r>
            <w:r w:rsidRPr="00085539">
              <w:rPr>
                <w:rFonts w:cstheme="majorHAnsi"/>
                <w:color w:val="000000"/>
              </w:rPr>
              <w:t>185</w:t>
            </w:r>
          </w:p>
        </w:tc>
        <w:tc>
          <w:tcPr>
            <w:tcW w:w="958"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7.17</w:t>
            </w:r>
            <w:r>
              <w:rPr>
                <w:rFonts w:cstheme="majorHAnsi"/>
                <w:color w:val="000000"/>
              </w:rPr>
              <w:t>%</w:t>
            </w:r>
          </w:p>
        </w:tc>
      </w:tr>
      <w:tr w:rsidR="00FD289D" w:rsidTr="00085539">
        <w:tc>
          <w:tcPr>
            <w:tcW w:w="960" w:type="pct"/>
            <w:tcBorders>
              <w:bottom w:val="single" w:sz="4" w:space="0" w:color="auto"/>
            </w:tcBorders>
          </w:tcPr>
          <w:p w:rsidR="00FD289D" w:rsidRPr="00B1210F" w:rsidRDefault="00FD289D" w:rsidP="00FD289D">
            <w:pPr>
              <w:pStyle w:val="TableText"/>
              <w:jc w:val="center"/>
              <w:rPr>
                <w:szCs w:val="24"/>
              </w:rPr>
            </w:pPr>
            <w:r w:rsidRPr="00807FB9">
              <w:t>202</w:t>
            </w:r>
            <w:r>
              <w:t>1</w:t>
            </w:r>
            <w:r w:rsidRPr="00BA5BB1">
              <w:t>–</w:t>
            </w:r>
            <w:r>
              <w:t>2</w:t>
            </w:r>
            <w:r w:rsidRPr="00807FB9">
              <w:t>2</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18</w:t>
            </w:r>
            <w:r>
              <w:rPr>
                <w:rFonts w:cstheme="majorHAnsi"/>
                <w:color w:val="000000"/>
              </w:rPr>
              <w:t>,</w:t>
            </w:r>
            <w:r w:rsidRPr="00085539">
              <w:rPr>
                <w:rFonts w:cstheme="majorHAnsi"/>
                <w:color w:val="000000"/>
              </w:rPr>
              <w:t>344</w:t>
            </w:r>
          </w:p>
        </w:tc>
        <w:tc>
          <w:tcPr>
            <w:tcW w:w="1107" w:type="pct"/>
            <w:tcBorders>
              <w:bottom w:val="single" w:sz="4" w:space="0" w:color="auto"/>
            </w:tcBorders>
          </w:tcPr>
          <w:p w:rsidR="00FD289D" w:rsidRPr="00B1210F" w:rsidRDefault="00FD289D" w:rsidP="00FD289D">
            <w:pPr>
              <w:pStyle w:val="TableTextCentered"/>
            </w:pPr>
            <w:r w:rsidRPr="00B1210F">
              <w:t>16,772</w:t>
            </w:r>
          </w:p>
        </w:tc>
        <w:tc>
          <w:tcPr>
            <w:tcW w:w="964"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w:t>
            </w:r>
            <w:r>
              <w:rPr>
                <w:rFonts w:cstheme="majorHAnsi"/>
                <w:color w:val="000000"/>
              </w:rPr>
              <w:t>,</w:t>
            </w:r>
            <w:r w:rsidRPr="00085539">
              <w:rPr>
                <w:rFonts w:cstheme="majorHAnsi"/>
                <w:color w:val="000000"/>
              </w:rPr>
              <w:t>573</w:t>
            </w:r>
          </w:p>
        </w:tc>
        <w:tc>
          <w:tcPr>
            <w:tcW w:w="958"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9.38</w:t>
            </w:r>
            <w:r>
              <w:rPr>
                <w:rFonts w:cstheme="majorHAnsi"/>
                <w:color w:val="000000"/>
              </w:rPr>
              <w:t>%</w:t>
            </w:r>
          </w:p>
        </w:tc>
      </w:tr>
      <w:tr w:rsidR="00FD289D" w:rsidTr="00085539">
        <w:tc>
          <w:tcPr>
            <w:tcW w:w="960" w:type="pct"/>
            <w:tcBorders>
              <w:bottom w:val="single" w:sz="4" w:space="0" w:color="auto"/>
            </w:tcBorders>
          </w:tcPr>
          <w:p w:rsidR="00FD289D" w:rsidRPr="00B1210F" w:rsidRDefault="00FD289D" w:rsidP="00FD289D">
            <w:pPr>
              <w:pStyle w:val="TableText"/>
              <w:jc w:val="center"/>
              <w:rPr>
                <w:szCs w:val="24"/>
              </w:rPr>
            </w:pPr>
            <w:r w:rsidRPr="00807FB9">
              <w:t>202</w:t>
            </w:r>
            <w:r>
              <w:t>2</w:t>
            </w:r>
            <w:r w:rsidRPr="00BA5BB1">
              <w:t>–</w:t>
            </w:r>
            <w:r>
              <w:t>2</w:t>
            </w:r>
            <w:r w:rsidRPr="00807FB9">
              <w:t>3</w:t>
            </w:r>
          </w:p>
        </w:tc>
        <w:tc>
          <w:tcPr>
            <w:tcW w:w="1011"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19</w:t>
            </w:r>
            <w:r>
              <w:rPr>
                <w:rFonts w:cstheme="majorHAnsi"/>
                <w:color w:val="000000"/>
              </w:rPr>
              <w:t>,</w:t>
            </w:r>
            <w:r w:rsidRPr="00085539">
              <w:rPr>
                <w:rFonts w:cstheme="majorHAnsi"/>
                <w:color w:val="000000"/>
              </w:rPr>
              <w:t>013</w:t>
            </w:r>
          </w:p>
        </w:tc>
        <w:tc>
          <w:tcPr>
            <w:tcW w:w="1107" w:type="pct"/>
            <w:tcBorders>
              <w:bottom w:val="single" w:sz="4" w:space="0" w:color="auto"/>
            </w:tcBorders>
          </w:tcPr>
          <w:p w:rsidR="00FD289D" w:rsidRPr="00B1210F" w:rsidRDefault="00FD289D" w:rsidP="00FD289D">
            <w:pPr>
              <w:pStyle w:val="TableTextCentered"/>
            </w:pPr>
            <w:r w:rsidRPr="00B1210F">
              <w:t>16,998</w:t>
            </w:r>
          </w:p>
        </w:tc>
        <w:tc>
          <w:tcPr>
            <w:tcW w:w="964"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015</w:t>
            </w:r>
          </w:p>
        </w:tc>
        <w:tc>
          <w:tcPr>
            <w:tcW w:w="958" w:type="pct"/>
            <w:tcBorders>
              <w:bottom w:val="single" w:sz="4" w:space="0" w:color="auto"/>
            </w:tcBorders>
            <w:vAlign w:val="bottom"/>
          </w:tcPr>
          <w:p w:rsidR="00FD289D" w:rsidRPr="00A5516F" w:rsidRDefault="00FD289D" w:rsidP="00FD289D">
            <w:pPr>
              <w:pStyle w:val="TableTextCentered"/>
              <w:rPr>
                <w:rFonts w:cstheme="majorHAnsi"/>
              </w:rPr>
            </w:pPr>
            <w:r w:rsidRPr="00085539">
              <w:rPr>
                <w:rFonts w:cstheme="majorHAnsi"/>
                <w:color w:val="000000"/>
              </w:rPr>
              <w:t>11.86</w:t>
            </w:r>
            <w:r>
              <w:rPr>
                <w:rFonts w:cstheme="majorHAnsi"/>
                <w:color w:val="000000"/>
              </w:rPr>
              <w:t>%</w:t>
            </w:r>
          </w:p>
        </w:tc>
      </w:tr>
      <w:tr w:rsidR="00FD289D" w:rsidTr="00085539">
        <w:tc>
          <w:tcPr>
            <w:tcW w:w="960" w:type="pct"/>
          </w:tcPr>
          <w:p w:rsidR="00FD289D" w:rsidRPr="00B1210F" w:rsidRDefault="00FD289D" w:rsidP="00FD289D">
            <w:pPr>
              <w:pStyle w:val="TableText"/>
              <w:jc w:val="center"/>
              <w:rPr>
                <w:szCs w:val="24"/>
              </w:rPr>
            </w:pPr>
            <w:r w:rsidRPr="00807FB9">
              <w:t>202</w:t>
            </w:r>
            <w:r>
              <w:t>3</w:t>
            </w:r>
            <w:r w:rsidRPr="00BA5BB1">
              <w:t>–</w:t>
            </w:r>
            <w:r>
              <w:t>2</w:t>
            </w:r>
            <w:r w:rsidRPr="00807FB9">
              <w:t>4</w:t>
            </w:r>
          </w:p>
        </w:tc>
        <w:tc>
          <w:tcPr>
            <w:tcW w:w="1011" w:type="pct"/>
            <w:vAlign w:val="bottom"/>
          </w:tcPr>
          <w:p w:rsidR="00FD289D" w:rsidRPr="00A5516F" w:rsidRDefault="00FD289D" w:rsidP="00FD289D">
            <w:pPr>
              <w:pStyle w:val="TableTextCentered"/>
              <w:rPr>
                <w:rFonts w:cstheme="majorHAnsi"/>
              </w:rPr>
            </w:pPr>
            <w:r w:rsidRPr="00085539">
              <w:rPr>
                <w:rFonts w:cstheme="majorHAnsi"/>
                <w:color w:val="000000"/>
              </w:rPr>
              <w:t>19</w:t>
            </w:r>
            <w:r>
              <w:rPr>
                <w:rFonts w:cstheme="majorHAnsi"/>
                <w:color w:val="000000"/>
              </w:rPr>
              <w:t>,</w:t>
            </w:r>
            <w:r w:rsidRPr="00085539">
              <w:rPr>
                <w:rFonts w:cstheme="majorHAnsi"/>
                <w:color w:val="000000"/>
              </w:rPr>
              <w:t>710</w:t>
            </w:r>
          </w:p>
        </w:tc>
        <w:tc>
          <w:tcPr>
            <w:tcW w:w="1107" w:type="pct"/>
          </w:tcPr>
          <w:p w:rsidR="00FD289D" w:rsidRPr="00B1210F" w:rsidRDefault="00FD289D" w:rsidP="00FD289D">
            <w:pPr>
              <w:pStyle w:val="TableTextCentered"/>
            </w:pPr>
            <w:r w:rsidRPr="00B1210F">
              <w:t>17,199</w:t>
            </w:r>
          </w:p>
        </w:tc>
        <w:tc>
          <w:tcPr>
            <w:tcW w:w="964" w:type="pct"/>
            <w:vAlign w:val="bottom"/>
          </w:tcPr>
          <w:p w:rsidR="00FD289D" w:rsidRPr="00A5516F" w:rsidRDefault="00FD289D" w:rsidP="00FD289D">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512</w:t>
            </w:r>
          </w:p>
        </w:tc>
        <w:tc>
          <w:tcPr>
            <w:tcW w:w="958" w:type="pct"/>
            <w:vAlign w:val="bottom"/>
          </w:tcPr>
          <w:p w:rsidR="00FD289D" w:rsidRPr="00A5516F" w:rsidRDefault="00FD289D" w:rsidP="00FD289D">
            <w:pPr>
              <w:pStyle w:val="TableTextCentered"/>
              <w:rPr>
                <w:rFonts w:cstheme="majorHAnsi"/>
              </w:rPr>
            </w:pPr>
            <w:r w:rsidRPr="00085539">
              <w:rPr>
                <w:rFonts w:cstheme="majorHAnsi"/>
                <w:color w:val="000000"/>
              </w:rPr>
              <w:t>14.6</w:t>
            </w:r>
            <w:r>
              <w:rPr>
                <w:rFonts w:cstheme="majorHAnsi"/>
                <w:color w:val="000000"/>
              </w:rPr>
              <w:t>0%</w:t>
            </w:r>
          </w:p>
        </w:tc>
      </w:tr>
    </w:tbl>
    <w:p w:rsidR="00C157EC" w:rsidRDefault="00FC31F1" w:rsidP="007B4A8E">
      <w:pPr>
        <w:pStyle w:val="ExhibitTitle"/>
      </w:pPr>
      <w:r>
        <w:t>Figure</w:t>
      </w:r>
      <w:r w:rsidR="00C157EC">
        <w:t xml:space="preserve"> B</w:t>
      </w:r>
      <w:r>
        <w:t>5</w:t>
      </w:r>
      <w:r w:rsidR="00C157EC">
        <w:t>. Historical and Projected Statewide Supply and Demand for Teachers Ages 41 to 48 in Terms of FTEs</w:t>
      </w:r>
      <w:r w:rsidR="00D41F40">
        <w:t>,</w:t>
      </w:r>
      <w:r w:rsidR="00C157EC">
        <w:t xml:space="preserve"> 2008</w:t>
      </w:r>
      <w:r w:rsidR="00C157EC" w:rsidRPr="00BA5BB1">
        <w:t>–</w:t>
      </w:r>
      <w:r w:rsidR="00C157EC">
        <w:t>09 to 2023</w:t>
      </w:r>
      <w:r w:rsidR="00C157EC" w:rsidRPr="00BA5BB1">
        <w:t>–</w:t>
      </w:r>
      <w:r w:rsidR="00D41F40">
        <w:t>24</w:t>
      </w:r>
    </w:p>
    <w:p w:rsidR="00C157EC" w:rsidRDefault="0061670B" w:rsidP="004B5EC0">
      <w:pPr>
        <w:pStyle w:val="FigurePlacement"/>
      </w:pPr>
      <w:r w:rsidRPr="0061670B">
        <w:t xml:space="preserve"> </w:t>
      </w:r>
      <w:r w:rsidRPr="0061670B">
        <w:rPr>
          <w:noProof/>
          <w:lang w:eastAsia="zh-CN" w:bidi="km-KH"/>
        </w:rPr>
        <w:drawing>
          <wp:inline distT="0" distB="0" distL="0" distR="0">
            <wp:extent cx="5629275" cy="3656965"/>
            <wp:effectExtent l="19050" t="0" r="9525" b="0"/>
            <wp:docPr id="29" name="Picture 29" descr="Figure B5. Historical and Projected Statewide Supply and Demand for Teachers Ages 41 to 48 in Terms of FTEs, 2008–09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61" r="2393" b="37792"/>
                    <a:stretch/>
                  </pic:blipFill>
                  <pic:spPr bwMode="auto">
                    <a:xfrm>
                      <a:off x="0" y="0"/>
                      <a:ext cx="5633550" cy="365974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FC31F1" w:rsidP="004B5EC0">
      <w:pPr>
        <w:pStyle w:val="ExhibitTitle"/>
      </w:pPr>
      <w:r>
        <w:t>Table</w:t>
      </w:r>
      <w:r w:rsidR="00C157EC" w:rsidRPr="00CC4696">
        <w:t xml:space="preserve"> </w:t>
      </w:r>
      <w:r w:rsidR="00C157EC">
        <w:t>B1</w:t>
      </w:r>
      <w:r>
        <w:t>0</w:t>
      </w:r>
      <w:r w:rsidR="00C157EC" w:rsidRPr="00CC4696">
        <w:t xml:space="preserve">. </w:t>
      </w:r>
      <w:r w:rsidR="002D6597">
        <w:t xml:space="preserve">Projected Statewide Demand and </w:t>
      </w:r>
      <w:r w:rsidR="00C157EC" w:rsidRPr="00CC4696">
        <w:t xml:space="preserve">Supply </w:t>
      </w:r>
      <w:r w:rsidR="00C157EC">
        <w:t>of Teachers</w:t>
      </w:r>
      <w:r w:rsidR="001D2E77">
        <w:t xml:space="preserve"> Ages 49 to 56 in Terms of FTEs</w:t>
      </w:r>
      <w:r w:rsidR="00C157EC">
        <w:t xml:space="preserve"> </w:t>
      </w:r>
      <w:r w:rsidR="00C157EC" w:rsidRPr="00CC4696">
        <w:t xml:space="preserve">and Absolute </w:t>
      </w:r>
      <w:r w:rsidR="00C157EC">
        <w:t xml:space="preserve">and </w:t>
      </w:r>
      <w:r w:rsidR="00C157EC" w:rsidRPr="00CC4696">
        <w:t>Relative Differences</w:t>
      </w:r>
      <w:r w:rsidR="00D41F40">
        <w:t>,</w:t>
      </w:r>
      <w:r w:rsidR="00C157EC" w:rsidRPr="00CC4696">
        <w:t xml:space="preserve"> </w:t>
      </w:r>
      <w:r w:rsidR="00C157EC">
        <w:t>2014</w:t>
      </w:r>
      <w:r w:rsidR="00C157EC" w:rsidRPr="00BA5BB1">
        <w:t>–</w:t>
      </w:r>
      <w:r w:rsidR="00C157EC">
        <w:t>15</w:t>
      </w:r>
      <w:r w:rsidR="00C157EC" w:rsidRPr="00CC4696">
        <w:t xml:space="preserve"> </w:t>
      </w:r>
      <w:proofErr w:type="gramStart"/>
      <w:r w:rsidR="002D6597">
        <w:t>Through</w:t>
      </w:r>
      <w:proofErr w:type="gramEnd"/>
      <w:r w:rsidR="002D6597">
        <w:t xml:space="preserve"> </w:t>
      </w:r>
      <w:r w:rsidR="00C157EC" w:rsidRPr="00CC4696">
        <w:t>2023</w:t>
      </w:r>
      <w:r w:rsidR="00C157EC" w:rsidRPr="00BA5BB1">
        <w:t>–</w:t>
      </w:r>
      <w:r w:rsidR="00C157EC"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2"/>
        <w:gridCol w:w="1939"/>
        <w:gridCol w:w="2121"/>
        <w:gridCol w:w="1847"/>
        <w:gridCol w:w="1841"/>
      </w:tblGrid>
      <w:tr w:rsidR="004B5EC0" w:rsidTr="001D2E77">
        <w:trPr>
          <w:cnfStyle w:val="100000000000"/>
        </w:trPr>
        <w:tc>
          <w:tcPr>
            <w:tcW w:w="960" w:type="pct"/>
            <w:tcBorders>
              <w:bottom w:val="single" w:sz="4" w:space="0" w:color="auto"/>
            </w:tcBorders>
          </w:tcPr>
          <w:p w:rsidR="00C157EC" w:rsidRDefault="00C157EC" w:rsidP="001D2E77">
            <w:pPr>
              <w:pStyle w:val="TableText"/>
              <w:jc w:val="center"/>
              <w:rPr>
                <w:rFonts w:ascii="Times New Roman" w:hAnsi="Times New Roman"/>
                <w:sz w:val="24"/>
                <w:szCs w:val="24"/>
              </w:rPr>
            </w:pPr>
            <w:r>
              <w:t>Year</w:t>
            </w:r>
          </w:p>
        </w:tc>
        <w:tc>
          <w:tcPr>
            <w:tcW w:w="1011" w:type="pct"/>
            <w:tcBorders>
              <w:bottom w:val="single" w:sz="4" w:space="0" w:color="auto"/>
            </w:tcBorders>
          </w:tcPr>
          <w:p w:rsidR="00C157EC" w:rsidRDefault="00C157EC" w:rsidP="004B5EC0">
            <w:pPr>
              <w:pStyle w:val="TableTextCentered"/>
              <w:rPr>
                <w:rFonts w:ascii="Times New Roman" w:hAnsi="Times New Roman"/>
                <w:sz w:val="24"/>
                <w:szCs w:val="24"/>
              </w:rPr>
            </w:pPr>
            <w:r w:rsidRPr="00807FB9">
              <w:t>Projected Supply</w:t>
            </w:r>
          </w:p>
        </w:tc>
        <w:tc>
          <w:tcPr>
            <w:tcW w:w="1106" w:type="pct"/>
            <w:tcBorders>
              <w:bottom w:val="single" w:sz="4" w:space="0" w:color="auto"/>
            </w:tcBorders>
          </w:tcPr>
          <w:p w:rsidR="00C157EC" w:rsidRDefault="00C157EC" w:rsidP="004B5EC0">
            <w:pPr>
              <w:pStyle w:val="TableTextCentered"/>
              <w:rPr>
                <w:rFonts w:ascii="Times New Roman" w:hAnsi="Times New Roman"/>
                <w:sz w:val="24"/>
                <w:szCs w:val="24"/>
              </w:rPr>
            </w:pPr>
            <w:r w:rsidRPr="00807FB9">
              <w:t>Projected Demand</w:t>
            </w:r>
          </w:p>
        </w:tc>
        <w:tc>
          <w:tcPr>
            <w:tcW w:w="963" w:type="pct"/>
            <w:tcBorders>
              <w:bottom w:val="single" w:sz="4" w:space="0" w:color="auto"/>
            </w:tcBorders>
          </w:tcPr>
          <w:p w:rsidR="00C157EC" w:rsidRDefault="00C157EC" w:rsidP="004B5EC0">
            <w:pPr>
              <w:pStyle w:val="TableTextCentered"/>
              <w:rPr>
                <w:rFonts w:ascii="Times New Roman" w:hAnsi="Times New Roman"/>
                <w:sz w:val="24"/>
                <w:szCs w:val="24"/>
              </w:rPr>
            </w:pPr>
            <w:r w:rsidRPr="00807FB9">
              <w:t xml:space="preserve">Absolute Difference </w:t>
            </w:r>
            <w:r>
              <w:t>B</w:t>
            </w:r>
            <w:r w:rsidRPr="00807FB9">
              <w:t>etween Supply and Demand</w:t>
            </w:r>
          </w:p>
        </w:tc>
        <w:tc>
          <w:tcPr>
            <w:tcW w:w="960" w:type="pct"/>
            <w:tcBorders>
              <w:bottom w:val="single" w:sz="4" w:space="0" w:color="auto"/>
            </w:tcBorders>
          </w:tcPr>
          <w:p w:rsidR="00C157EC" w:rsidRDefault="00C157EC" w:rsidP="004B5EC0">
            <w:pPr>
              <w:pStyle w:val="TableTextCentered"/>
              <w:rPr>
                <w:rFonts w:ascii="Times New Roman" w:hAnsi="Times New Roman"/>
                <w:sz w:val="24"/>
                <w:szCs w:val="24"/>
              </w:rPr>
            </w:pPr>
            <w:r w:rsidRPr="00807FB9">
              <w:t xml:space="preserve">Relative Difference </w:t>
            </w:r>
            <w:r>
              <w:t>B</w:t>
            </w:r>
            <w:r w:rsidRPr="00807FB9">
              <w:t>etween Supply and Demand</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201</w:t>
            </w:r>
            <w:r>
              <w:t>4</w:t>
            </w:r>
            <w:r w:rsidRPr="00BA5BB1">
              <w:t>–</w:t>
            </w:r>
            <w:r>
              <w:t>1</w:t>
            </w:r>
            <w:r w:rsidRPr="00807FB9">
              <w:t>5</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11</w:t>
            </w:r>
            <w:r>
              <w:rPr>
                <w:rFonts w:cstheme="majorHAnsi"/>
                <w:color w:val="000000"/>
              </w:rPr>
              <w:t>,</w:t>
            </w:r>
            <w:r w:rsidRPr="00085539">
              <w:rPr>
                <w:rFonts w:cstheme="majorHAnsi"/>
                <w:color w:val="000000"/>
              </w:rPr>
              <w:t>445</w:t>
            </w:r>
          </w:p>
        </w:tc>
        <w:tc>
          <w:tcPr>
            <w:tcW w:w="1106" w:type="pct"/>
            <w:tcBorders>
              <w:bottom w:val="single" w:sz="4" w:space="0" w:color="auto"/>
            </w:tcBorders>
          </w:tcPr>
          <w:p w:rsidR="000C1EED" w:rsidRPr="0010068D" w:rsidRDefault="000C1EED" w:rsidP="000C1EED">
            <w:pPr>
              <w:pStyle w:val="TableTextCentered"/>
            </w:pPr>
            <w:r w:rsidRPr="0010068D">
              <w:t>11,618</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-173</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-1.49</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201</w:t>
            </w:r>
            <w:r>
              <w:t>5</w:t>
            </w:r>
            <w:r w:rsidRPr="00BA5BB1">
              <w:t>–</w:t>
            </w:r>
            <w:r>
              <w:t>1</w:t>
            </w:r>
            <w:r w:rsidRPr="00807FB9">
              <w:t>6</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10</w:t>
            </w:r>
            <w:r>
              <w:rPr>
                <w:rFonts w:cstheme="majorHAnsi"/>
                <w:color w:val="000000"/>
              </w:rPr>
              <w:t>,</w:t>
            </w:r>
            <w:r w:rsidRPr="00085539">
              <w:rPr>
                <w:rFonts w:cstheme="majorHAnsi"/>
                <w:color w:val="000000"/>
              </w:rPr>
              <w:t>877</w:t>
            </w:r>
          </w:p>
        </w:tc>
        <w:tc>
          <w:tcPr>
            <w:tcW w:w="1106" w:type="pct"/>
            <w:tcBorders>
              <w:bottom w:val="single" w:sz="4" w:space="0" w:color="auto"/>
            </w:tcBorders>
          </w:tcPr>
          <w:p w:rsidR="000C1EED" w:rsidRPr="0010068D" w:rsidRDefault="000C1EED" w:rsidP="000C1EED">
            <w:pPr>
              <w:pStyle w:val="TableTextCentered"/>
            </w:pPr>
            <w:r w:rsidRPr="0010068D">
              <w:t>11,007</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-130</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-1.18</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201</w:t>
            </w:r>
            <w:r>
              <w:t>6</w:t>
            </w:r>
            <w:r w:rsidRPr="00BA5BB1">
              <w:t>–</w:t>
            </w:r>
            <w:r>
              <w:t>1</w:t>
            </w:r>
            <w:r w:rsidRPr="00807FB9">
              <w:t>7</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10</w:t>
            </w:r>
            <w:r>
              <w:rPr>
                <w:rFonts w:cstheme="majorHAnsi"/>
                <w:color w:val="000000"/>
              </w:rPr>
              <w:t>,</w:t>
            </w:r>
            <w:r w:rsidRPr="00085539">
              <w:rPr>
                <w:rFonts w:cstheme="majorHAnsi"/>
                <w:color w:val="000000"/>
              </w:rPr>
              <w:t>338</w:t>
            </w:r>
          </w:p>
        </w:tc>
        <w:tc>
          <w:tcPr>
            <w:tcW w:w="1106" w:type="pct"/>
            <w:tcBorders>
              <w:bottom w:val="single" w:sz="4" w:space="0" w:color="auto"/>
            </w:tcBorders>
          </w:tcPr>
          <w:p w:rsidR="000C1EED" w:rsidRPr="0010068D" w:rsidRDefault="000C1EED" w:rsidP="000C1EED">
            <w:pPr>
              <w:pStyle w:val="TableTextCentered"/>
            </w:pPr>
            <w:r w:rsidRPr="0010068D">
              <w:t>10,406</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-67</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-0.65</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201</w:t>
            </w:r>
            <w:r>
              <w:t>7</w:t>
            </w:r>
            <w:r w:rsidRPr="00BA5BB1">
              <w:t>–</w:t>
            </w:r>
            <w:r>
              <w:t>1</w:t>
            </w:r>
            <w:r w:rsidRPr="00807FB9">
              <w:t>8</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827</w:t>
            </w:r>
          </w:p>
        </w:tc>
        <w:tc>
          <w:tcPr>
            <w:tcW w:w="1106" w:type="pct"/>
            <w:tcBorders>
              <w:bottom w:val="single" w:sz="4" w:space="0" w:color="auto"/>
            </w:tcBorders>
          </w:tcPr>
          <w:p w:rsidR="000C1EED" w:rsidRPr="0010068D" w:rsidRDefault="000C1EED" w:rsidP="000C1EED">
            <w:pPr>
              <w:pStyle w:val="TableTextCentered"/>
            </w:pPr>
            <w:r w:rsidRPr="0010068D">
              <w:t>9,834</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-7</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-0.07</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201</w:t>
            </w:r>
            <w:r>
              <w:t>8</w:t>
            </w:r>
            <w:r w:rsidRPr="00BA5BB1">
              <w:t>–</w:t>
            </w:r>
            <w:r>
              <w:t>1</w:t>
            </w:r>
            <w:r w:rsidRPr="00807FB9">
              <w:t>9</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342</w:t>
            </w:r>
          </w:p>
        </w:tc>
        <w:tc>
          <w:tcPr>
            <w:tcW w:w="1106" w:type="pct"/>
            <w:tcBorders>
              <w:bottom w:val="single" w:sz="4" w:space="0" w:color="auto"/>
            </w:tcBorders>
          </w:tcPr>
          <w:p w:rsidR="000C1EED" w:rsidRPr="0010068D" w:rsidRDefault="000C1EED" w:rsidP="000C1EED">
            <w:pPr>
              <w:pStyle w:val="TableTextCentered"/>
            </w:pPr>
            <w:r w:rsidRPr="0010068D">
              <w:t>9,268</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74</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0.8</w:t>
            </w:r>
            <w:r>
              <w:rPr>
                <w:rFonts w:cstheme="majorHAnsi"/>
                <w:color w:val="000000"/>
              </w:rPr>
              <w:t>0%</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w:t>
            </w:r>
            <w:r>
              <w:t>19</w:t>
            </w:r>
            <w:r w:rsidRPr="00BA5BB1">
              <w:t>–</w:t>
            </w:r>
            <w:r w:rsidRPr="00807FB9">
              <w:t>20</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8</w:t>
            </w:r>
            <w:r>
              <w:rPr>
                <w:rFonts w:cstheme="majorHAnsi"/>
                <w:color w:val="000000"/>
              </w:rPr>
              <w:t>,</w:t>
            </w:r>
            <w:r w:rsidRPr="00085539">
              <w:rPr>
                <w:rFonts w:cstheme="majorHAnsi"/>
                <w:color w:val="000000"/>
              </w:rPr>
              <w:t>882</w:t>
            </w:r>
          </w:p>
        </w:tc>
        <w:tc>
          <w:tcPr>
            <w:tcW w:w="1106" w:type="pct"/>
            <w:tcBorders>
              <w:bottom w:val="single" w:sz="4" w:space="0" w:color="auto"/>
            </w:tcBorders>
          </w:tcPr>
          <w:p w:rsidR="000C1EED" w:rsidRPr="0010068D" w:rsidRDefault="000C1EED" w:rsidP="000C1EED">
            <w:pPr>
              <w:pStyle w:val="TableTextCentered"/>
            </w:pPr>
            <w:r w:rsidRPr="0010068D">
              <w:t>8,730</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153</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1.75</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202</w:t>
            </w:r>
            <w:r>
              <w:t>0</w:t>
            </w:r>
            <w:r w:rsidRPr="00BA5BB1">
              <w:t>–</w:t>
            </w:r>
            <w:r>
              <w:t>2</w:t>
            </w:r>
            <w:r w:rsidRPr="00807FB9">
              <w:t>1</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8</w:t>
            </w:r>
            <w:r>
              <w:rPr>
                <w:rFonts w:cstheme="majorHAnsi"/>
                <w:color w:val="000000"/>
              </w:rPr>
              <w:t>,</w:t>
            </w:r>
            <w:r w:rsidRPr="00085539">
              <w:rPr>
                <w:rFonts w:cstheme="majorHAnsi"/>
                <w:color w:val="000000"/>
              </w:rPr>
              <w:t>446</w:t>
            </w:r>
          </w:p>
        </w:tc>
        <w:tc>
          <w:tcPr>
            <w:tcW w:w="1106" w:type="pct"/>
            <w:tcBorders>
              <w:bottom w:val="single" w:sz="4" w:space="0" w:color="auto"/>
            </w:tcBorders>
          </w:tcPr>
          <w:p w:rsidR="000C1EED" w:rsidRPr="0010068D" w:rsidRDefault="000C1EED" w:rsidP="000C1EED">
            <w:pPr>
              <w:pStyle w:val="TableTextCentered"/>
            </w:pPr>
            <w:r w:rsidRPr="0010068D">
              <w:t>8,215</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231</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2.81</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202</w:t>
            </w:r>
            <w:r>
              <w:t>1</w:t>
            </w:r>
            <w:r w:rsidRPr="00BA5BB1">
              <w:t>–</w:t>
            </w:r>
            <w:r>
              <w:t>2</w:t>
            </w:r>
            <w:r w:rsidRPr="00807FB9">
              <w:t>2</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8</w:t>
            </w:r>
            <w:r>
              <w:rPr>
                <w:rFonts w:cstheme="majorHAnsi"/>
                <w:color w:val="000000"/>
              </w:rPr>
              <w:t>,</w:t>
            </w:r>
            <w:r w:rsidRPr="00085539">
              <w:rPr>
                <w:rFonts w:cstheme="majorHAnsi"/>
                <w:color w:val="000000"/>
              </w:rPr>
              <w:t>032</w:t>
            </w:r>
          </w:p>
        </w:tc>
        <w:tc>
          <w:tcPr>
            <w:tcW w:w="1106" w:type="pct"/>
            <w:tcBorders>
              <w:bottom w:val="single" w:sz="4" w:space="0" w:color="auto"/>
            </w:tcBorders>
          </w:tcPr>
          <w:p w:rsidR="000C1EED" w:rsidRPr="0010068D" w:rsidRDefault="000C1EED" w:rsidP="000C1EED">
            <w:pPr>
              <w:pStyle w:val="TableTextCentered"/>
            </w:pPr>
            <w:r w:rsidRPr="0010068D">
              <w:t>7,714</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318</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4.12</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202</w:t>
            </w:r>
            <w:r>
              <w:t>2</w:t>
            </w:r>
            <w:r w:rsidRPr="00BA5BB1">
              <w:t>–</w:t>
            </w:r>
            <w:r>
              <w:t>2</w:t>
            </w:r>
            <w:r w:rsidRPr="00807FB9">
              <w:t>3</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7</w:t>
            </w:r>
            <w:r>
              <w:rPr>
                <w:rFonts w:cstheme="majorHAnsi"/>
                <w:color w:val="000000"/>
              </w:rPr>
              <w:t>,</w:t>
            </w:r>
            <w:r w:rsidRPr="00085539">
              <w:rPr>
                <w:rFonts w:cstheme="majorHAnsi"/>
                <w:color w:val="000000"/>
              </w:rPr>
              <w:t>639</w:t>
            </w:r>
          </w:p>
        </w:tc>
        <w:tc>
          <w:tcPr>
            <w:tcW w:w="1106" w:type="pct"/>
            <w:tcBorders>
              <w:bottom w:val="single" w:sz="4" w:space="0" w:color="auto"/>
            </w:tcBorders>
          </w:tcPr>
          <w:p w:rsidR="000C1EED" w:rsidRPr="0010068D" w:rsidRDefault="000C1EED" w:rsidP="000C1EED">
            <w:pPr>
              <w:pStyle w:val="TableTextCentered"/>
            </w:pPr>
            <w:r w:rsidRPr="0010068D">
              <w:t>7,234</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405</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5.6</w:t>
            </w:r>
            <w:r>
              <w:rPr>
                <w:rFonts w:cstheme="majorHAnsi"/>
                <w:color w:val="000000"/>
              </w:rPr>
              <w:t>0%</w:t>
            </w:r>
          </w:p>
        </w:tc>
      </w:tr>
      <w:tr w:rsidR="000C1EED" w:rsidTr="00085539">
        <w:tc>
          <w:tcPr>
            <w:tcW w:w="960" w:type="pct"/>
          </w:tcPr>
          <w:p w:rsidR="000C1EED" w:rsidRDefault="000C1EED" w:rsidP="000C1EED">
            <w:pPr>
              <w:pStyle w:val="TableText"/>
              <w:jc w:val="center"/>
              <w:rPr>
                <w:rFonts w:ascii="Times New Roman" w:hAnsi="Times New Roman"/>
                <w:sz w:val="24"/>
                <w:szCs w:val="24"/>
              </w:rPr>
            </w:pPr>
            <w:r w:rsidRPr="00807FB9">
              <w:t>202</w:t>
            </w:r>
            <w:r>
              <w:t>3</w:t>
            </w:r>
            <w:r w:rsidRPr="00BA5BB1">
              <w:t>–</w:t>
            </w:r>
            <w:r>
              <w:t>2</w:t>
            </w:r>
            <w:r w:rsidRPr="00807FB9">
              <w:t>4</w:t>
            </w:r>
          </w:p>
        </w:tc>
        <w:tc>
          <w:tcPr>
            <w:tcW w:w="1011" w:type="pct"/>
            <w:vAlign w:val="bottom"/>
          </w:tcPr>
          <w:p w:rsidR="000C1EED" w:rsidRPr="00A5516F" w:rsidRDefault="000C1EED" w:rsidP="000C1EED">
            <w:pPr>
              <w:pStyle w:val="TableTextCentered"/>
              <w:rPr>
                <w:rFonts w:cstheme="majorHAnsi"/>
              </w:rPr>
            </w:pPr>
            <w:r w:rsidRPr="00085539">
              <w:rPr>
                <w:rFonts w:cstheme="majorHAnsi"/>
                <w:color w:val="000000"/>
              </w:rPr>
              <w:t>7</w:t>
            </w:r>
            <w:r>
              <w:rPr>
                <w:rFonts w:cstheme="majorHAnsi"/>
                <w:color w:val="000000"/>
              </w:rPr>
              <w:t>,</w:t>
            </w:r>
            <w:r w:rsidRPr="00085539">
              <w:rPr>
                <w:rFonts w:cstheme="majorHAnsi"/>
                <w:color w:val="000000"/>
              </w:rPr>
              <w:t>266</w:t>
            </w:r>
          </w:p>
        </w:tc>
        <w:tc>
          <w:tcPr>
            <w:tcW w:w="1106" w:type="pct"/>
          </w:tcPr>
          <w:p w:rsidR="000C1EED" w:rsidRPr="0010068D" w:rsidRDefault="000C1EED" w:rsidP="000C1EED">
            <w:pPr>
              <w:pStyle w:val="TableTextCentered"/>
            </w:pPr>
            <w:r w:rsidRPr="0010068D">
              <w:t>6,775</w:t>
            </w:r>
          </w:p>
        </w:tc>
        <w:tc>
          <w:tcPr>
            <w:tcW w:w="963" w:type="pct"/>
            <w:vAlign w:val="bottom"/>
          </w:tcPr>
          <w:p w:rsidR="000C1EED" w:rsidRPr="00A5516F" w:rsidRDefault="000C1EED" w:rsidP="000C1EED">
            <w:pPr>
              <w:pStyle w:val="TableTextCentered"/>
              <w:rPr>
                <w:rFonts w:cstheme="majorHAnsi"/>
              </w:rPr>
            </w:pPr>
            <w:r w:rsidRPr="00085539">
              <w:rPr>
                <w:rFonts w:cstheme="majorHAnsi"/>
                <w:color w:val="000000"/>
              </w:rPr>
              <w:t>490</w:t>
            </w:r>
          </w:p>
        </w:tc>
        <w:tc>
          <w:tcPr>
            <w:tcW w:w="960" w:type="pct"/>
            <w:vAlign w:val="bottom"/>
          </w:tcPr>
          <w:p w:rsidR="000C1EED" w:rsidRPr="00A5516F" w:rsidRDefault="000C1EED" w:rsidP="000C1EED">
            <w:pPr>
              <w:pStyle w:val="TableTextCentered"/>
              <w:rPr>
                <w:rFonts w:cstheme="majorHAnsi"/>
              </w:rPr>
            </w:pPr>
            <w:r w:rsidRPr="00085539">
              <w:rPr>
                <w:rFonts w:cstheme="majorHAnsi"/>
                <w:color w:val="000000"/>
              </w:rPr>
              <w:t>7.24</w:t>
            </w:r>
            <w:r>
              <w:rPr>
                <w:rFonts w:cstheme="majorHAnsi"/>
                <w:color w:val="000000"/>
              </w:rPr>
              <w:t>%</w:t>
            </w:r>
          </w:p>
        </w:tc>
      </w:tr>
    </w:tbl>
    <w:p w:rsidR="00C157EC" w:rsidRDefault="00FC31F1" w:rsidP="004B5EC0">
      <w:pPr>
        <w:pStyle w:val="ExhibitTitle"/>
      </w:pPr>
      <w:r>
        <w:t>Figure</w:t>
      </w:r>
      <w:r w:rsidR="00C157EC">
        <w:t xml:space="preserve"> B6. Historical and Projected Statewide Supply and Demand for Teachers </w:t>
      </w:r>
      <w:r w:rsidR="00D41F40">
        <w:t xml:space="preserve">Ages 49 to 56 in Terms of FTEs, </w:t>
      </w:r>
      <w:r w:rsidR="00C157EC">
        <w:t>2008</w:t>
      </w:r>
      <w:r w:rsidR="00C157EC" w:rsidRPr="00A22052">
        <w:t>–</w:t>
      </w:r>
      <w:r w:rsidR="00C157EC">
        <w:t>09 to 2023</w:t>
      </w:r>
      <w:r w:rsidR="00C157EC" w:rsidRPr="00A22052">
        <w:t>–</w:t>
      </w:r>
      <w:r w:rsidR="00D41F40">
        <w:t>24</w:t>
      </w:r>
    </w:p>
    <w:p w:rsidR="00C157EC" w:rsidRDefault="0061670B" w:rsidP="00421188">
      <w:pPr>
        <w:pStyle w:val="FigurePlacement"/>
      </w:pPr>
      <w:r w:rsidRPr="0061670B">
        <w:t xml:space="preserve"> </w:t>
      </w:r>
      <w:r w:rsidRPr="0061670B">
        <w:rPr>
          <w:noProof/>
          <w:lang w:eastAsia="zh-CN" w:bidi="km-KH"/>
        </w:rPr>
        <w:drawing>
          <wp:inline distT="0" distB="0" distL="0" distR="0">
            <wp:extent cx="5600700" cy="3656965"/>
            <wp:effectExtent l="19050" t="0" r="0" b="0"/>
            <wp:docPr id="31" name="Picture 31" descr="Figure B6. Historical and Projected Statewide Supply and Demand for Teachers Ages 49 to 56 in Terms of FTEs, 2008–09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03" r="2393" b="5330"/>
                    <a:stretch/>
                  </pic:blipFill>
                  <pic:spPr bwMode="auto">
                    <a:xfrm>
                      <a:off x="0" y="0"/>
                      <a:ext cx="5603319" cy="36586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FC31F1" w:rsidP="00421188">
      <w:pPr>
        <w:pStyle w:val="ExhibitTitle"/>
      </w:pPr>
      <w:r>
        <w:t>Table</w:t>
      </w:r>
      <w:r w:rsidR="00C157EC" w:rsidRPr="00CC4696">
        <w:t xml:space="preserve"> </w:t>
      </w:r>
      <w:r w:rsidR="00C157EC">
        <w:t>B1</w:t>
      </w:r>
      <w:r>
        <w:t>1</w:t>
      </w:r>
      <w:r w:rsidR="00C157EC" w:rsidRPr="00CC4696">
        <w:t xml:space="preserve">. </w:t>
      </w:r>
      <w:r w:rsidR="002D6597">
        <w:t xml:space="preserve">Projected Statewide Demand and </w:t>
      </w:r>
      <w:r w:rsidR="00C157EC" w:rsidRPr="00CC4696">
        <w:t xml:space="preserve">Supply </w:t>
      </w:r>
      <w:r w:rsidR="00C157EC">
        <w:t>of Teachers</w:t>
      </w:r>
      <w:r w:rsidR="002D6597">
        <w:t xml:space="preserve"> Ages 57 to 64 in Terms of FTEs</w:t>
      </w:r>
      <w:r w:rsidR="00C157EC">
        <w:t xml:space="preserve"> </w:t>
      </w:r>
      <w:r w:rsidR="00C157EC" w:rsidRPr="00CC4696">
        <w:t xml:space="preserve">and Absolute </w:t>
      </w:r>
      <w:r w:rsidR="00C157EC">
        <w:t xml:space="preserve">and </w:t>
      </w:r>
      <w:r w:rsidR="00C157EC" w:rsidRPr="00CC4696">
        <w:t>Relative Differences</w:t>
      </w:r>
      <w:r w:rsidR="00D41F40">
        <w:t>,</w:t>
      </w:r>
      <w:r w:rsidR="00C157EC" w:rsidRPr="00CC4696">
        <w:t xml:space="preserve"> </w:t>
      </w:r>
      <w:r w:rsidR="00C157EC">
        <w:t>2014</w:t>
      </w:r>
      <w:r w:rsidR="00C157EC" w:rsidRPr="00A22052">
        <w:t>–</w:t>
      </w:r>
      <w:r w:rsidR="00C157EC">
        <w:t>15</w:t>
      </w:r>
      <w:r w:rsidR="00C157EC" w:rsidRPr="00CC4696">
        <w:t xml:space="preserve"> </w:t>
      </w:r>
      <w:proofErr w:type="gramStart"/>
      <w:r w:rsidR="002D6597">
        <w:t>Through</w:t>
      </w:r>
      <w:proofErr w:type="gramEnd"/>
      <w:r w:rsidR="002D6597">
        <w:t xml:space="preserve"> </w:t>
      </w:r>
      <w:r w:rsidR="00C157EC" w:rsidRPr="00CC4696">
        <w:t>2023</w:t>
      </w:r>
      <w:r w:rsidR="00C157EC" w:rsidRPr="00A22052">
        <w:t>–</w:t>
      </w:r>
      <w:r w:rsidR="00C157EC"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2"/>
        <w:gridCol w:w="1939"/>
        <w:gridCol w:w="2121"/>
        <w:gridCol w:w="1847"/>
        <w:gridCol w:w="1841"/>
      </w:tblGrid>
      <w:tr w:rsidR="00421188" w:rsidTr="002D6597">
        <w:trPr>
          <w:cnfStyle w:val="100000000000"/>
        </w:trPr>
        <w:tc>
          <w:tcPr>
            <w:tcW w:w="960" w:type="pct"/>
            <w:tcBorders>
              <w:bottom w:val="single" w:sz="4" w:space="0" w:color="auto"/>
            </w:tcBorders>
          </w:tcPr>
          <w:p w:rsidR="00C157EC" w:rsidRDefault="00C157EC" w:rsidP="002D6597">
            <w:pPr>
              <w:pStyle w:val="TableText"/>
              <w:jc w:val="center"/>
              <w:rPr>
                <w:rFonts w:ascii="Times New Roman" w:hAnsi="Times New Roman"/>
                <w:sz w:val="24"/>
                <w:szCs w:val="24"/>
              </w:rPr>
            </w:pPr>
            <w:r>
              <w:t>Year</w:t>
            </w:r>
          </w:p>
        </w:tc>
        <w:tc>
          <w:tcPr>
            <w:tcW w:w="1011" w:type="pct"/>
            <w:tcBorders>
              <w:bottom w:val="single" w:sz="4" w:space="0" w:color="auto"/>
            </w:tcBorders>
          </w:tcPr>
          <w:p w:rsidR="00C157EC" w:rsidRDefault="00C157EC" w:rsidP="00421188">
            <w:pPr>
              <w:pStyle w:val="TableTextCentered"/>
              <w:rPr>
                <w:rFonts w:ascii="Times New Roman" w:hAnsi="Times New Roman"/>
                <w:sz w:val="24"/>
                <w:szCs w:val="24"/>
              </w:rPr>
            </w:pPr>
            <w:r w:rsidRPr="00807FB9">
              <w:t>Projected Supply</w:t>
            </w:r>
          </w:p>
        </w:tc>
        <w:tc>
          <w:tcPr>
            <w:tcW w:w="1106" w:type="pct"/>
            <w:tcBorders>
              <w:bottom w:val="single" w:sz="4" w:space="0" w:color="auto"/>
            </w:tcBorders>
          </w:tcPr>
          <w:p w:rsidR="00C157EC" w:rsidRDefault="00C157EC" w:rsidP="00421188">
            <w:pPr>
              <w:pStyle w:val="TableTextCentered"/>
              <w:rPr>
                <w:rFonts w:ascii="Times New Roman" w:hAnsi="Times New Roman"/>
                <w:sz w:val="24"/>
                <w:szCs w:val="24"/>
              </w:rPr>
            </w:pPr>
            <w:r w:rsidRPr="00807FB9">
              <w:t>Projected Demand</w:t>
            </w:r>
          </w:p>
        </w:tc>
        <w:tc>
          <w:tcPr>
            <w:tcW w:w="963" w:type="pct"/>
            <w:tcBorders>
              <w:bottom w:val="single" w:sz="4" w:space="0" w:color="auto"/>
            </w:tcBorders>
          </w:tcPr>
          <w:p w:rsidR="00C157EC" w:rsidRDefault="00C157EC" w:rsidP="00421188">
            <w:pPr>
              <w:pStyle w:val="TableTextCentered"/>
              <w:rPr>
                <w:rFonts w:ascii="Times New Roman" w:hAnsi="Times New Roman"/>
                <w:sz w:val="24"/>
                <w:szCs w:val="24"/>
              </w:rPr>
            </w:pPr>
            <w:r w:rsidRPr="00807FB9">
              <w:t xml:space="preserve">Absolute Difference </w:t>
            </w:r>
            <w:r>
              <w:t>B</w:t>
            </w:r>
            <w:r w:rsidRPr="00807FB9">
              <w:t>etween Supply and Demand</w:t>
            </w:r>
          </w:p>
        </w:tc>
        <w:tc>
          <w:tcPr>
            <w:tcW w:w="960" w:type="pct"/>
            <w:tcBorders>
              <w:bottom w:val="single" w:sz="4" w:space="0" w:color="auto"/>
            </w:tcBorders>
          </w:tcPr>
          <w:p w:rsidR="00C157EC" w:rsidRDefault="00C157EC" w:rsidP="00421188">
            <w:pPr>
              <w:pStyle w:val="TableTextCentered"/>
              <w:rPr>
                <w:rFonts w:ascii="Times New Roman" w:hAnsi="Times New Roman"/>
                <w:sz w:val="24"/>
                <w:szCs w:val="24"/>
              </w:rPr>
            </w:pPr>
            <w:r w:rsidRPr="00807FB9">
              <w:t xml:space="preserve">Relative Difference </w:t>
            </w:r>
            <w:r>
              <w:t>B</w:t>
            </w:r>
            <w:r w:rsidRPr="00807FB9">
              <w:t>etween Supply and Demand</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201</w:t>
            </w:r>
            <w:r>
              <w:t>4</w:t>
            </w:r>
            <w:r w:rsidRPr="00A22052">
              <w:t>–</w:t>
            </w:r>
            <w:r>
              <w:t>1</w:t>
            </w:r>
            <w:r w:rsidRPr="00807FB9">
              <w:t>5</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412</w:t>
            </w:r>
          </w:p>
        </w:tc>
        <w:tc>
          <w:tcPr>
            <w:tcW w:w="1106" w:type="pct"/>
            <w:tcBorders>
              <w:bottom w:val="single" w:sz="4" w:space="0" w:color="auto"/>
            </w:tcBorders>
          </w:tcPr>
          <w:p w:rsidR="000C1EED" w:rsidRPr="0010068D" w:rsidRDefault="000C1EED" w:rsidP="000C1EED">
            <w:pPr>
              <w:pStyle w:val="TableTextCentered"/>
            </w:pPr>
            <w:r w:rsidRPr="0010068D">
              <w:t>9,573</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-161</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-1.68</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201</w:t>
            </w:r>
            <w:r>
              <w:t>5</w:t>
            </w:r>
            <w:r w:rsidRPr="00A22052">
              <w:t>–</w:t>
            </w:r>
            <w:r>
              <w:t>1</w:t>
            </w:r>
            <w:r w:rsidRPr="00807FB9">
              <w:t>6</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385</w:t>
            </w:r>
          </w:p>
        </w:tc>
        <w:tc>
          <w:tcPr>
            <w:tcW w:w="1106" w:type="pct"/>
            <w:tcBorders>
              <w:bottom w:val="single" w:sz="4" w:space="0" w:color="auto"/>
            </w:tcBorders>
          </w:tcPr>
          <w:p w:rsidR="000C1EED" w:rsidRPr="0010068D" w:rsidRDefault="000C1EED" w:rsidP="000C1EED">
            <w:pPr>
              <w:pStyle w:val="TableTextCentered"/>
            </w:pPr>
            <w:r w:rsidRPr="0010068D">
              <w:t>9,553</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-168</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-1.76</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201</w:t>
            </w:r>
            <w:r>
              <w:t>6</w:t>
            </w:r>
            <w:r w:rsidRPr="00A22052">
              <w:t>–</w:t>
            </w:r>
            <w:r>
              <w:t>1</w:t>
            </w:r>
            <w:r w:rsidRPr="00807FB9">
              <w:t>7</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359</w:t>
            </w:r>
          </w:p>
        </w:tc>
        <w:tc>
          <w:tcPr>
            <w:tcW w:w="1106" w:type="pct"/>
            <w:tcBorders>
              <w:bottom w:val="single" w:sz="4" w:space="0" w:color="auto"/>
            </w:tcBorders>
          </w:tcPr>
          <w:p w:rsidR="000C1EED" w:rsidRPr="0010068D" w:rsidRDefault="000C1EED" w:rsidP="000C1EED">
            <w:pPr>
              <w:pStyle w:val="TableTextCentered"/>
            </w:pPr>
            <w:r w:rsidRPr="0010068D">
              <w:t>9,515</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-156</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-1.64</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201</w:t>
            </w:r>
            <w:r>
              <w:t>7</w:t>
            </w:r>
            <w:r w:rsidRPr="00A22052">
              <w:t>–</w:t>
            </w:r>
            <w:r>
              <w:t>1</w:t>
            </w:r>
            <w:r w:rsidRPr="00807FB9">
              <w:t>8</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334</w:t>
            </w:r>
          </w:p>
        </w:tc>
        <w:tc>
          <w:tcPr>
            <w:tcW w:w="1106" w:type="pct"/>
            <w:tcBorders>
              <w:bottom w:val="single" w:sz="4" w:space="0" w:color="auto"/>
            </w:tcBorders>
          </w:tcPr>
          <w:p w:rsidR="000C1EED" w:rsidRPr="0010068D" w:rsidRDefault="000C1EED" w:rsidP="000C1EED">
            <w:pPr>
              <w:pStyle w:val="TableTextCentered"/>
            </w:pPr>
            <w:r w:rsidRPr="0010068D">
              <w:t>9,477</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-143</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-1.51</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201</w:t>
            </w:r>
            <w:r>
              <w:t>8</w:t>
            </w:r>
            <w:r w:rsidRPr="00A22052">
              <w:t>–</w:t>
            </w:r>
            <w:r>
              <w:t>1</w:t>
            </w:r>
            <w:r w:rsidRPr="00807FB9">
              <w:t>9</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310</w:t>
            </w:r>
          </w:p>
        </w:tc>
        <w:tc>
          <w:tcPr>
            <w:tcW w:w="1106" w:type="pct"/>
            <w:tcBorders>
              <w:bottom w:val="single" w:sz="4" w:space="0" w:color="auto"/>
            </w:tcBorders>
          </w:tcPr>
          <w:p w:rsidR="000C1EED" w:rsidRPr="0010068D" w:rsidRDefault="000C1EED" w:rsidP="000C1EED">
            <w:pPr>
              <w:pStyle w:val="TableTextCentered"/>
            </w:pPr>
            <w:r w:rsidRPr="0010068D">
              <w:t>9,415</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-106</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-1.12</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w:t>
            </w:r>
            <w:r>
              <w:t>19</w:t>
            </w:r>
            <w:r w:rsidRPr="00A22052">
              <w:t>–</w:t>
            </w:r>
            <w:r w:rsidRPr="00807FB9">
              <w:t>20</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286</w:t>
            </w:r>
          </w:p>
        </w:tc>
        <w:tc>
          <w:tcPr>
            <w:tcW w:w="1106" w:type="pct"/>
            <w:tcBorders>
              <w:bottom w:val="single" w:sz="4" w:space="0" w:color="auto"/>
            </w:tcBorders>
          </w:tcPr>
          <w:p w:rsidR="000C1EED" w:rsidRPr="0010068D" w:rsidRDefault="000C1EED" w:rsidP="000C1EED">
            <w:pPr>
              <w:pStyle w:val="TableTextCentered"/>
            </w:pPr>
            <w:r w:rsidRPr="0010068D">
              <w:t>9,350</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-64</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-0.68</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202</w:t>
            </w:r>
            <w:r>
              <w:t>0</w:t>
            </w:r>
            <w:r w:rsidRPr="00A22052">
              <w:t>–</w:t>
            </w:r>
            <w:r>
              <w:t>2</w:t>
            </w:r>
            <w:r w:rsidRPr="00807FB9">
              <w:t>1</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264</w:t>
            </w:r>
          </w:p>
        </w:tc>
        <w:tc>
          <w:tcPr>
            <w:tcW w:w="1106" w:type="pct"/>
            <w:tcBorders>
              <w:bottom w:val="single" w:sz="4" w:space="0" w:color="auto"/>
            </w:tcBorders>
          </w:tcPr>
          <w:p w:rsidR="000C1EED" w:rsidRPr="0010068D" w:rsidRDefault="000C1EED" w:rsidP="000C1EED">
            <w:pPr>
              <w:pStyle w:val="TableTextCentered"/>
            </w:pPr>
            <w:r w:rsidRPr="0010068D">
              <w:t>9,278</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-14</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-0.15</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202</w:t>
            </w:r>
            <w:r>
              <w:t>1</w:t>
            </w:r>
            <w:r w:rsidRPr="00A22052">
              <w:t>–</w:t>
            </w:r>
            <w:r>
              <w:t>2</w:t>
            </w:r>
            <w:r w:rsidRPr="00807FB9">
              <w:t>2</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242</w:t>
            </w:r>
          </w:p>
        </w:tc>
        <w:tc>
          <w:tcPr>
            <w:tcW w:w="1106" w:type="pct"/>
            <w:tcBorders>
              <w:bottom w:val="single" w:sz="4" w:space="0" w:color="auto"/>
            </w:tcBorders>
          </w:tcPr>
          <w:p w:rsidR="000C1EED" w:rsidRPr="0010068D" w:rsidRDefault="000C1EED" w:rsidP="000C1EED">
            <w:pPr>
              <w:pStyle w:val="TableTextCentered"/>
            </w:pPr>
            <w:r w:rsidRPr="0010068D">
              <w:t>9,189</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54</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0.59</w:t>
            </w:r>
            <w:r>
              <w:rPr>
                <w:rFonts w:cstheme="majorHAnsi"/>
                <w:color w:val="000000"/>
              </w:rPr>
              <w:t>%</w:t>
            </w:r>
          </w:p>
        </w:tc>
      </w:tr>
      <w:tr w:rsidR="000C1EED" w:rsidTr="00085539">
        <w:tc>
          <w:tcPr>
            <w:tcW w:w="960" w:type="pct"/>
            <w:tcBorders>
              <w:bottom w:val="single" w:sz="4" w:space="0" w:color="auto"/>
            </w:tcBorders>
          </w:tcPr>
          <w:p w:rsidR="000C1EED" w:rsidRDefault="000C1EED" w:rsidP="000C1EED">
            <w:pPr>
              <w:pStyle w:val="TableText"/>
              <w:jc w:val="center"/>
              <w:rPr>
                <w:rFonts w:ascii="Times New Roman" w:hAnsi="Times New Roman"/>
                <w:sz w:val="24"/>
                <w:szCs w:val="24"/>
              </w:rPr>
            </w:pPr>
            <w:r w:rsidRPr="00807FB9">
              <w:t>202</w:t>
            </w:r>
            <w:r>
              <w:t>2</w:t>
            </w:r>
            <w:r w:rsidRPr="00A22052">
              <w:t>–</w:t>
            </w:r>
            <w:r>
              <w:t>2</w:t>
            </w:r>
            <w:r w:rsidRPr="00807FB9">
              <w:t>3</w:t>
            </w:r>
          </w:p>
        </w:tc>
        <w:tc>
          <w:tcPr>
            <w:tcW w:w="1011"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222</w:t>
            </w:r>
          </w:p>
        </w:tc>
        <w:tc>
          <w:tcPr>
            <w:tcW w:w="1106" w:type="pct"/>
            <w:tcBorders>
              <w:bottom w:val="single" w:sz="4" w:space="0" w:color="auto"/>
            </w:tcBorders>
          </w:tcPr>
          <w:p w:rsidR="000C1EED" w:rsidRPr="0010068D" w:rsidRDefault="000C1EED" w:rsidP="000C1EED">
            <w:pPr>
              <w:pStyle w:val="TableTextCentered"/>
            </w:pPr>
            <w:r w:rsidRPr="0010068D">
              <w:t>9,088</w:t>
            </w:r>
          </w:p>
        </w:tc>
        <w:tc>
          <w:tcPr>
            <w:tcW w:w="963"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134</w:t>
            </w:r>
          </w:p>
        </w:tc>
        <w:tc>
          <w:tcPr>
            <w:tcW w:w="960" w:type="pct"/>
            <w:tcBorders>
              <w:bottom w:val="single" w:sz="4" w:space="0" w:color="auto"/>
            </w:tcBorders>
            <w:vAlign w:val="bottom"/>
          </w:tcPr>
          <w:p w:rsidR="000C1EED" w:rsidRPr="00A5516F" w:rsidRDefault="000C1EED" w:rsidP="000C1EED">
            <w:pPr>
              <w:pStyle w:val="TableTextCentered"/>
              <w:rPr>
                <w:rFonts w:cstheme="majorHAnsi"/>
              </w:rPr>
            </w:pPr>
            <w:r w:rsidRPr="00085539">
              <w:rPr>
                <w:rFonts w:cstheme="majorHAnsi"/>
                <w:color w:val="000000"/>
              </w:rPr>
              <w:t>1.47</w:t>
            </w:r>
            <w:r>
              <w:rPr>
                <w:rFonts w:cstheme="majorHAnsi"/>
                <w:color w:val="000000"/>
              </w:rPr>
              <w:t>%</w:t>
            </w:r>
          </w:p>
        </w:tc>
      </w:tr>
      <w:tr w:rsidR="000C1EED" w:rsidTr="00085539">
        <w:tc>
          <w:tcPr>
            <w:tcW w:w="960" w:type="pct"/>
          </w:tcPr>
          <w:p w:rsidR="000C1EED" w:rsidRDefault="000C1EED" w:rsidP="000C1EED">
            <w:pPr>
              <w:pStyle w:val="TableText"/>
              <w:jc w:val="center"/>
              <w:rPr>
                <w:rFonts w:ascii="Times New Roman" w:hAnsi="Times New Roman"/>
                <w:sz w:val="24"/>
                <w:szCs w:val="24"/>
              </w:rPr>
            </w:pPr>
            <w:r w:rsidRPr="00807FB9">
              <w:t>202</w:t>
            </w:r>
            <w:r>
              <w:t>3</w:t>
            </w:r>
            <w:r w:rsidRPr="00A22052">
              <w:t>–</w:t>
            </w:r>
            <w:r>
              <w:t>2</w:t>
            </w:r>
            <w:r w:rsidRPr="00807FB9">
              <w:t>4</w:t>
            </w:r>
          </w:p>
        </w:tc>
        <w:tc>
          <w:tcPr>
            <w:tcW w:w="1011" w:type="pct"/>
            <w:vAlign w:val="bottom"/>
          </w:tcPr>
          <w:p w:rsidR="000C1EED" w:rsidRPr="00A5516F" w:rsidRDefault="000C1EED" w:rsidP="000C1EED">
            <w:pPr>
              <w:pStyle w:val="TableTextCentered"/>
              <w:rPr>
                <w:rFonts w:cstheme="majorHAnsi"/>
              </w:rPr>
            </w:pPr>
            <w:r w:rsidRPr="00085539">
              <w:rPr>
                <w:rFonts w:cstheme="majorHAnsi"/>
                <w:color w:val="000000"/>
              </w:rPr>
              <w:t>9</w:t>
            </w:r>
            <w:r>
              <w:rPr>
                <w:rFonts w:cstheme="majorHAnsi"/>
                <w:color w:val="000000"/>
              </w:rPr>
              <w:t>,</w:t>
            </w:r>
            <w:r w:rsidRPr="00085539">
              <w:rPr>
                <w:rFonts w:cstheme="majorHAnsi"/>
                <w:color w:val="000000"/>
              </w:rPr>
              <w:t>202</w:t>
            </w:r>
          </w:p>
        </w:tc>
        <w:tc>
          <w:tcPr>
            <w:tcW w:w="1106" w:type="pct"/>
          </w:tcPr>
          <w:p w:rsidR="000C1EED" w:rsidRPr="0010068D" w:rsidRDefault="000C1EED" w:rsidP="000C1EED">
            <w:pPr>
              <w:pStyle w:val="TableTextCentered"/>
            </w:pPr>
            <w:r w:rsidRPr="0010068D">
              <w:t>8,977</w:t>
            </w:r>
          </w:p>
        </w:tc>
        <w:tc>
          <w:tcPr>
            <w:tcW w:w="963" w:type="pct"/>
            <w:vAlign w:val="bottom"/>
          </w:tcPr>
          <w:p w:rsidR="000C1EED" w:rsidRPr="00A5516F" w:rsidRDefault="000C1EED" w:rsidP="000C1EED">
            <w:pPr>
              <w:pStyle w:val="TableTextCentered"/>
              <w:rPr>
                <w:rFonts w:cstheme="majorHAnsi"/>
              </w:rPr>
            </w:pPr>
            <w:r w:rsidRPr="00085539">
              <w:rPr>
                <w:rFonts w:cstheme="majorHAnsi"/>
                <w:color w:val="000000"/>
              </w:rPr>
              <w:t>225</w:t>
            </w:r>
          </w:p>
        </w:tc>
        <w:tc>
          <w:tcPr>
            <w:tcW w:w="960" w:type="pct"/>
            <w:vAlign w:val="bottom"/>
          </w:tcPr>
          <w:p w:rsidR="000C1EED" w:rsidRPr="00A5516F" w:rsidRDefault="000C1EED" w:rsidP="000C1EED">
            <w:pPr>
              <w:pStyle w:val="TableTextCentered"/>
              <w:rPr>
                <w:rFonts w:cstheme="majorHAnsi"/>
              </w:rPr>
            </w:pPr>
            <w:r w:rsidRPr="00085539">
              <w:rPr>
                <w:rFonts w:cstheme="majorHAnsi"/>
                <w:color w:val="000000"/>
              </w:rPr>
              <w:t>2.5</w:t>
            </w:r>
            <w:r>
              <w:rPr>
                <w:rFonts w:cstheme="majorHAnsi"/>
                <w:color w:val="000000"/>
              </w:rPr>
              <w:t>0%</w:t>
            </w:r>
          </w:p>
        </w:tc>
      </w:tr>
    </w:tbl>
    <w:p w:rsidR="00C157EC" w:rsidRDefault="00FC31F1" w:rsidP="00A46F58">
      <w:pPr>
        <w:pStyle w:val="ExhibitTitle"/>
      </w:pPr>
      <w:r>
        <w:t>Figure</w:t>
      </w:r>
      <w:r w:rsidR="00C157EC">
        <w:t xml:space="preserve"> B</w:t>
      </w:r>
      <w:r>
        <w:t>7</w:t>
      </w:r>
      <w:r w:rsidR="00C157EC">
        <w:t>. Historical and Projected Statewide Supply and Demand for Teachers Ages 57 to 64 in Terms of FTEs</w:t>
      </w:r>
      <w:r w:rsidR="00D41F40">
        <w:t>,</w:t>
      </w:r>
      <w:r w:rsidR="00C157EC">
        <w:t xml:space="preserve"> 2008</w:t>
      </w:r>
      <w:r w:rsidR="00C157EC" w:rsidRPr="00A22052">
        <w:t>–</w:t>
      </w:r>
      <w:r w:rsidR="00C157EC">
        <w:t>09 to 2023</w:t>
      </w:r>
      <w:r w:rsidR="00C157EC" w:rsidRPr="00A22052">
        <w:t>–</w:t>
      </w:r>
      <w:r w:rsidR="00D41F40">
        <w:t>24</w:t>
      </w:r>
    </w:p>
    <w:p w:rsidR="00C157EC" w:rsidRDefault="0061670B" w:rsidP="00421188">
      <w:pPr>
        <w:pStyle w:val="ExhibitTitle"/>
      </w:pPr>
      <w:r w:rsidRPr="0061670B">
        <w:rPr>
          <w:b w:val="0"/>
        </w:rPr>
        <w:t xml:space="preserve"> </w:t>
      </w:r>
      <w:r w:rsidRPr="0061670B">
        <w:rPr>
          <w:noProof/>
          <w:lang w:eastAsia="zh-CN" w:bidi="km-KH"/>
        </w:rPr>
        <w:drawing>
          <wp:inline distT="0" distB="0" distL="0" distR="0">
            <wp:extent cx="5610225" cy="3657531"/>
            <wp:effectExtent l="19050" t="0" r="9525" b="0"/>
            <wp:docPr id="226" name="Picture 226" descr="Figure B7. Historical and Projected Statewide Supply and Demand for Teachers Ages 57 to 64 in Terms of FTEs, 2008–09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7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932" r="2393" b="20513"/>
                    <a:stretch/>
                  </pic:blipFill>
                  <pic:spPr bwMode="auto">
                    <a:xfrm>
                      <a:off x="0" y="0"/>
                      <a:ext cx="5621630" cy="366496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FC31F1" w:rsidP="00421188">
      <w:pPr>
        <w:pStyle w:val="ExhibitTitle"/>
      </w:pPr>
      <w:r>
        <w:t>Table</w:t>
      </w:r>
      <w:r w:rsidR="00C157EC" w:rsidRPr="00CC4696">
        <w:t xml:space="preserve"> </w:t>
      </w:r>
      <w:r w:rsidR="00C157EC">
        <w:t>B1</w:t>
      </w:r>
      <w:r>
        <w:t>2</w:t>
      </w:r>
      <w:r w:rsidR="00C157EC" w:rsidRPr="00CC4696">
        <w:t xml:space="preserve">. </w:t>
      </w:r>
      <w:r w:rsidR="00C157EC">
        <w:t xml:space="preserve">Projected </w:t>
      </w:r>
      <w:r w:rsidR="002D6597">
        <w:t xml:space="preserve">Statewide Demand and </w:t>
      </w:r>
      <w:r w:rsidR="00C157EC" w:rsidRPr="00CC4696">
        <w:t xml:space="preserve">Supply </w:t>
      </w:r>
      <w:r w:rsidR="00C157EC">
        <w:t>of Teachers Over</w:t>
      </w:r>
      <w:r w:rsidR="00BD7B11">
        <w:t xml:space="preserve"> 64 Years of Age</w:t>
      </w:r>
      <w:r w:rsidR="00C157EC">
        <w:t xml:space="preserve"> in Terms of FTEs </w:t>
      </w:r>
      <w:r w:rsidR="00C157EC" w:rsidRPr="00CC4696">
        <w:t xml:space="preserve">and Absolute </w:t>
      </w:r>
      <w:r w:rsidR="00C157EC">
        <w:t xml:space="preserve">and </w:t>
      </w:r>
      <w:r w:rsidR="00C157EC" w:rsidRPr="00CC4696">
        <w:t>Relative Differences</w:t>
      </w:r>
      <w:r w:rsidR="00D41F40">
        <w:t>,</w:t>
      </w:r>
      <w:r w:rsidR="00C157EC" w:rsidRPr="00CC4696">
        <w:t xml:space="preserve"> </w:t>
      </w:r>
      <w:r w:rsidR="00C157EC">
        <w:t>2014</w:t>
      </w:r>
      <w:r w:rsidR="00C157EC" w:rsidRPr="00A22052">
        <w:t>–</w:t>
      </w:r>
      <w:r w:rsidR="00C157EC">
        <w:t>15</w:t>
      </w:r>
      <w:r w:rsidR="00C157EC" w:rsidRPr="00CC4696">
        <w:t xml:space="preserve"> </w:t>
      </w:r>
      <w:proofErr w:type="gramStart"/>
      <w:r w:rsidR="002D6597">
        <w:t>Through</w:t>
      </w:r>
      <w:proofErr w:type="gramEnd"/>
      <w:r w:rsidR="002D6597">
        <w:t xml:space="preserve"> </w:t>
      </w:r>
      <w:r w:rsidR="00C157EC" w:rsidRPr="00CC4696">
        <w:t>2023</w:t>
      </w:r>
      <w:r w:rsidR="00C157EC" w:rsidRPr="00A22052">
        <w:t>–</w:t>
      </w:r>
      <w:r w:rsidR="00C157EC" w:rsidRPr="00CC4696">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1842"/>
        <w:gridCol w:w="1939"/>
        <w:gridCol w:w="2121"/>
        <w:gridCol w:w="1847"/>
        <w:gridCol w:w="1841"/>
      </w:tblGrid>
      <w:tr w:rsidR="00421188" w:rsidTr="002D6597">
        <w:trPr>
          <w:cnfStyle w:val="100000000000"/>
        </w:trPr>
        <w:tc>
          <w:tcPr>
            <w:tcW w:w="960" w:type="pct"/>
            <w:tcBorders>
              <w:bottom w:val="single" w:sz="4" w:space="0" w:color="auto"/>
            </w:tcBorders>
          </w:tcPr>
          <w:p w:rsidR="00C157EC" w:rsidRDefault="00C157EC" w:rsidP="002D6597">
            <w:pPr>
              <w:pStyle w:val="TableText"/>
              <w:jc w:val="center"/>
              <w:rPr>
                <w:rFonts w:ascii="Times New Roman" w:hAnsi="Times New Roman"/>
                <w:sz w:val="24"/>
                <w:szCs w:val="24"/>
              </w:rPr>
            </w:pPr>
            <w:r>
              <w:t>Year</w:t>
            </w:r>
          </w:p>
        </w:tc>
        <w:tc>
          <w:tcPr>
            <w:tcW w:w="1011" w:type="pct"/>
            <w:tcBorders>
              <w:bottom w:val="single" w:sz="4" w:space="0" w:color="auto"/>
            </w:tcBorders>
          </w:tcPr>
          <w:p w:rsidR="00C157EC" w:rsidRDefault="00C157EC" w:rsidP="00421188">
            <w:pPr>
              <w:pStyle w:val="TableTextCentered"/>
              <w:rPr>
                <w:rFonts w:ascii="Times New Roman" w:hAnsi="Times New Roman"/>
                <w:sz w:val="24"/>
                <w:szCs w:val="24"/>
              </w:rPr>
            </w:pPr>
            <w:r w:rsidRPr="00807FB9">
              <w:t>Projected Supply</w:t>
            </w:r>
          </w:p>
        </w:tc>
        <w:tc>
          <w:tcPr>
            <w:tcW w:w="1106" w:type="pct"/>
            <w:tcBorders>
              <w:bottom w:val="single" w:sz="4" w:space="0" w:color="auto"/>
            </w:tcBorders>
          </w:tcPr>
          <w:p w:rsidR="00C157EC" w:rsidRDefault="00C157EC" w:rsidP="00421188">
            <w:pPr>
              <w:pStyle w:val="TableTextCentered"/>
              <w:rPr>
                <w:rFonts w:ascii="Times New Roman" w:hAnsi="Times New Roman"/>
                <w:sz w:val="24"/>
                <w:szCs w:val="24"/>
              </w:rPr>
            </w:pPr>
            <w:r w:rsidRPr="00807FB9">
              <w:t>Projected Demand</w:t>
            </w:r>
          </w:p>
        </w:tc>
        <w:tc>
          <w:tcPr>
            <w:tcW w:w="963" w:type="pct"/>
            <w:tcBorders>
              <w:bottom w:val="single" w:sz="4" w:space="0" w:color="auto"/>
            </w:tcBorders>
          </w:tcPr>
          <w:p w:rsidR="00C157EC" w:rsidRDefault="00C157EC" w:rsidP="00421188">
            <w:pPr>
              <w:pStyle w:val="TableTextCentered"/>
              <w:rPr>
                <w:rFonts w:ascii="Times New Roman" w:hAnsi="Times New Roman"/>
                <w:sz w:val="24"/>
                <w:szCs w:val="24"/>
              </w:rPr>
            </w:pPr>
            <w:r w:rsidRPr="00807FB9">
              <w:t xml:space="preserve">Absolute Difference </w:t>
            </w:r>
            <w:r>
              <w:t>B</w:t>
            </w:r>
            <w:r w:rsidRPr="00807FB9">
              <w:t>etween Supply and Demand</w:t>
            </w:r>
          </w:p>
        </w:tc>
        <w:tc>
          <w:tcPr>
            <w:tcW w:w="960" w:type="pct"/>
            <w:tcBorders>
              <w:bottom w:val="single" w:sz="4" w:space="0" w:color="auto"/>
            </w:tcBorders>
          </w:tcPr>
          <w:p w:rsidR="00C157EC" w:rsidRDefault="00C157EC" w:rsidP="00421188">
            <w:pPr>
              <w:pStyle w:val="TableTextCentered"/>
              <w:rPr>
                <w:rFonts w:ascii="Times New Roman" w:hAnsi="Times New Roman"/>
                <w:sz w:val="24"/>
                <w:szCs w:val="24"/>
              </w:rPr>
            </w:pPr>
            <w:r w:rsidRPr="00807FB9">
              <w:t xml:space="preserve">Relative Difference </w:t>
            </w:r>
            <w:r>
              <w:t>B</w:t>
            </w:r>
            <w:r w:rsidRPr="00807FB9">
              <w:t>etween Supply and Demand</w:t>
            </w:r>
          </w:p>
        </w:tc>
      </w:tr>
      <w:tr w:rsidR="000268BC" w:rsidRPr="0010068D" w:rsidTr="00085539">
        <w:tc>
          <w:tcPr>
            <w:tcW w:w="960" w:type="pct"/>
            <w:tcBorders>
              <w:bottom w:val="single" w:sz="4" w:space="0" w:color="auto"/>
            </w:tcBorders>
          </w:tcPr>
          <w:p w:rsidR="000268BC" w:rsidRDefault="000268BC" w:rsidP="000268BC">
            <w:pPr>
              <w:pStyle w:val="TableText"/>
              <w:jc w:val="center"/>
              <w:rPr>
                <w:rFonts w:ascii="Times New Roman" w:hAnsi="Times New Roman"/>
                <w:sz w:val="24"/>
                <w:szCs w:val="24"/>
              </w:rPr>
            </w:pPr>
            <w:r w:rsidRPr="00807FB9">
              <w:t>201</w:t>
            </w:r>
            <w:r>
              <w:t>4</w:t>
            </w:r>
            <w:r w:rsidRPr="00A22052">
              <w:t>–</w:t>
            </w:r>
            <w:r>
              <w:t>1</w:t>
            </w:r>
            <w:r w:rsidRPr="00807FB9">
              <w:t>5</w:t>
            </w:r>
          </w:p>
        </w:tc>
        <w:tc>
          <w:tcPr>
            <w:tcW w:w="1011"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1</w:t>
            </w:r>
            <w:r>
              <w:rPr>
                <w:rFonts w:cstheme="majorHAnsi"/>
                <w:color w:val="000000"/>
              </w:rPr>
              <w:t>,</w:t>
            </w:r>
            <w:r w:rsidRPr="00085539">
              <w:rPr>
                <w:rFonts w:cstheme="majorHAnsi"/>
                <w:color w:val="000000"/>
              </w:rPr>
              <w:t>205</w:t>
            </w:r>
          </w:p>
        </w:tc>
        <w:tc>
          <w:tcPr>
            <w:tcW w:w="1106" w:type="pct"/>
            <w:tcBorders>
              <w:bottom w:val="single" w:sz="4" w:space="0" w:color="auto"/>
            </w:tcBorders>
          </w:tcPr>
          <w:p w:rsidR="000268BC" w:rsidRPr="0010068D" w:rsidRDefault="000268BC" w:rsidP="000268BC">
            <w:pPr>
              <w:pStyle w:val="TableTextCentered"/>
            </w:pPr>
            <w:r w:rsidRPr="0010068D">
              <w:t>1,167</w:t>
            </w:r>
          </w:p>
        </w:tc>
        <w:tc>
          <w:tcPr>
            <w:tcW w:w="963"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38</w:t>
            </w:r>
          </w:p>
        </w:tc>
        <w:tc>
          <w:tcPr>
            <w:tcW w:w="960"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3.25</w:t>
            </w:r>
            <w:r>
              <w:rPr>
                <w:rFonts w:cstheme="majorHAnsi"/>
                <w:color w:val="000000"/>
              </w:rPr>
              <w:t>%</w:t>
            </w:r>
          </w:p>
        </w:tc>
      </w:tr>
      <w:tr w:rsidR="000268BC" w:rsidRPr="0010068D" w:rsidTr="00085539">
        <w:tc>
          <w:tcPr>
            <w:tcW w:w="960" w:type="pct"/>
            <w:tcBorders>
              <w:bottom w:val="single" w:sz="4" w:space="0" w:color="auto"/>
            </w:tcBorders>
          </w:tcPr>
          <w:p w:rsidR="000268BC" w:rsidRDefault="000268BC" w:rsidP="000268BC">
            <w:pPr>
              <w:pStyle w:val="TableText"/>
              <w:jc w:val="center"/>
              <w:rPr>
                <w:rFonts w:ascii="Times New Roman" w:hAnsi="Times New Roman"/>
                <w:sz w:val="24"/>
                <w:szCs w:val="24"/>
              </w:rPr>
            </w:pPr>
            <w:r w:rsidRPr="00807FB9">
              <w:t>201</w:t>
            </w:r>
            <w:r>
              <w:t>5</w:t>
            </w:r>
            <w:r w:rsidRPr="00A22052">
              <w:t>–</w:t>
            </w:r>
            <w:r>
              <w:t>1</w:t>
            </w:r>
            <w:r w:rsidRPr="00807FB9">
              <w:t>6</w:t>
            </w:r>
          </w:p>
        </w:tc>
        <w:tc>
          <w:tcPr>
            <w:tcW w:w="1011"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1</w:t>
            </w:r>
            <w:r>
              <w:rPr>
                <w:rFonts w:cstheme="majorHAnsi"/>
                <w:color w:val="000000"/>
              </w:rPr>
              <w:t>,</w:t>
            </w:r>
            <w:r w:rsidRPr="00085539">
              <w:rPr>
                <w:rFonts w:cstheme="majorHAnsi"/>
                <w:color w:val="000000"/>
              </w:rPr>
              <w:t>344</w:t>
            </w:r>
          </w:p>
        </w:tc>
        <w:tc>
          <w:tcPr>
            <w:tcW w:w="1106" w:type="pct"/>
            <w:tcBorders>
              <w:bottom w:val="single" w:sz="4" w:space="0" w:color="auto"/>
            </w:tcBorders>
          </w:tcPr>
          <w:p w:rsidR="000268BC" w:rsidRPr="0010068D" w:rsidRDefault="000268BC" w:rsidP="000268BC">
            <w:pPr>
              <w:pStyle w:val="TableTextCentered"/>
            </w:pPr>
            <w:r w:rsidRPr="0010068D">
              <w:t>1,295</w:t>
            </w:r>
          </w:p>
        </w:tc>
        <w:tc>
          <w:tcPr>
            <w:tcW w:w="963"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48</w:t>
            </w:r>
          </w:p>
        </w:tc>
        <w:tc>
          <w:tcPr>
            <w:tcW w:w="960"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3.73</w:t>
            </w:r>
            <w:r>
              <w:rPr>
                <w:rFonts w:cstheme="majorHAnsi"/>
                <w:color w:val="000000"/>
              </w:rPr>
              <w:t>%</w:t>
            </w:r>
          </w:p>
        </w:tc>
      </w:tr>
      <w:tr w:rsidR="000268BC" w:rsidRPr="0010068D" w:rsidTr="00085539">
        <w:tc>
          <w:tcPr>
            <w:tcW w:w="960" w:type="pct"/>
            <w:tcBorders>
              <w:bottom w:val="single" w:sz="4" w:space="0" w:color="auto"/>
            </w:tcBorders>
          </w:tcPr>
          <w:p w:rsidR="000268BC" w:rsidRDefault="000268BC" w:rsidP="000268BC">
            <w:pPr>
              <w:pStyle w:val="TableText"/>
              <w:jc w:val="center"/>
              <w:rPr>
                <w:rFonts w:ascii="Times New Roman" w:hAnsi="Times New Roman"/>
                <w:sz w:val="24"/>
                <w:szCs w:val="24"/>
              </w:rPr>
            </w:pPr>
            <w:r w:rsidRPr="00807FB9">
              <w:t>201</w:t>
            </w:r>
            <w:r>
              <w:t>6</w:t>
            </w:r>
            <w:r w:rsidRPr="00A22052">
              <w:t>–</w:t>
            </w:r>
            <w:r>
              <w:t>1</w:t>
            </w:r>
            <w:r w:rsidRPr="00807FB9">
              <w:t>7</w:t>
            </w:r>
          </w:p>
        </w:tc>
        <w:tc>
          <w:tcPr>
            <w:tcW w:w="1011"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1</w:t>
            </w:r>
            <w:r>
              <w:rPr>
                <w:rFonts w:cstheme="majorHAnsi"/>
                <w:color w:val="000000"/>
              </w:rPr>
              <w:t>,</w:t>
            </w:r>
            <w:r w:rsidRPr="00085539">
              <w:rPr>
                <w:rFonts w:cstheme="majorHAnsi"/>
                <w:color w:val="000000"/>
              </w:rPr>
              <w:t>500</w:t>
            </w:r>
          </w:p>
        </w:tc>
        <w:tc>
          <w:tcPr>
            <w:tcW w:w="1106" w:type="pct"/>
            <w:tcBorders>
              <w:bottom w:val="single" w:sz="4" w:space="0" w:color="auto"/>
            </w:tcBorders>
          </w:tcPr>
          <w:p w:rsidR="000268BC" w:rsidRPr="0010068D" w:rsidRDefault="000268BC" w:rsidP="000268BC">
            <w:pPr>
              <w:pStyle w:val="TableTextCentered"/>
            </w:pPr>
            <w:r w:rsidRPr="0010068D">
              <w:t>1,437</w:t>
            </w:r>
          </w:p>
        </w:tc>
        <w:tc>
          <w:tcPr>
            <w:tcW w:w="963"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63</w:t>
            </w:r>
          </w:p>
        </w:tc>
        <w:tc>
          <w:tcPr>
            <w:tcW w:w="960"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4.41</w:t>
            </w:r>
            <w:r>
              <w:rPr>
                <w:rFonts w:cstheme="majorHAnsi"/>
                <w:color w:val="000000"/>
              </w:rPr>
              <w:t>%</w:t>
            </w:r>
          </w:p>
        </w:tc>
      </w:tr>
      <w:tr w:rsidR="000268BC" w:rsidRPr="0010068D" w:rsidTr="00085539">
        <w:tc>
          <w:tcPr>
            <w:tcW w:w="960" w:type="pct"/>
            <w:tcBorders>
              <w:bottom w:val="single" w:sz="4" w:space="0" w:color="auto"/>
            </w:tcBorders>
          </w:tcPr>
          <w:p w:rsidR="000268BC" w:rsidRDefault="000268BC" w:rsidP="000268BC">
            <w:pPr>
              <w:pStyle w:val="TableText"/>
              <w:jc w:val="center"/>
              <w:rPr>
                <w:rFonts w:ascii="Times New Roman" w:hAnsi="Times New Roman"/>
                <w:sz w:val="24"/>
                <w:szCs w:val="24"/>
              </w:rPr>
            </w:pPr>
            <w:r w:rsidRPr="00807FB9">
              <w:t>201</w:t>
            </w:r>
            <w:r>
              <w:t>7</w:t>
            </w:r>
            <w:r w:rsidRPr="00A22052">
              <w:t>–</w:t>
            </w:r>
            <w:r>
              <w:t>1</w:t>
            </w:r>
            <w:r w:rsidRPr="00807FB9">
              <w:t>8</w:t>
            </w:r>
          </w:p>
        </w:tc>
        <w:tc>
          <w:tcPr>
            <w:tcW w:w="1011"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1</w:t>
            </w:r>
            <w:r>
              <w:rPr>
                <w:rFonts w:cstheme="majorHAnsi"/>
                <w:color w:val="000000"/>
              </w:rPr>
              <w:t>,</w:t>
            </w:r>
            <w:r w:rsidRPr="00085539">
              <w:rPr>
                <w:rFonts w:cstheme="majorHAnsi"/>
                <w:color w:val="000000"/>
              </w:rPr>
              <w:t>676</w:t>
            </w:r>
          </w:p>
        </w:tc>
        <w:tc>
          <w:tcPr>
            <w:tcW w:w="1106" w:type="pct"/>
            <w:tcBorders>
              <w:bottom w:val="single" w:sz="4" w:space="0" w:color="auto"/>
            </w:tcBorders>
          </w:tcPr>
          <w:p w:rsidR="000268BC" w:rsidRPr="0010068D" w:rsidRDefault="000268BC" w:rsidP="000268BC">
            <w:pPr>
              <w:pStyle w:val="TableTextCentered"/>
            </w:pPr>
            <w:r w:rsidRPr="0010068D">
              <w:t>1,595</w:t>
            </w:r>
          </w:p>
        </w:tc>
        <w:tc>
          <w:tcPr>
            <w:tcW w:w="963"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81</w:t>
            </w:r>
          </w:p>
        </w:tc>
        <w:tc>
          <w:tcPr>
            <w:tcW w:w="960"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5.09</w:t>
            </w:r>
            <w:r>
              <w:rPr>
                <w:rFonts w:cstheme="majorHAnsi"/>
                <w:color w:val="000000"/>
              </w:rPr>
              <w:t>%</w:t>
            </w:r>
          </w:p>
        </w:tc>
      </w:tr>
      <w:tr w:rsidR="000268BC" w:rsidRPr="0010068D" w:rsidTr="00085539">
        <w:tc>
          <w:tcPr>
            <w:tcW w:w="960" w:type="pct"/>
            <w:tcBorders>
              <w:bottom w:val="single" w:sz="4" w:space="0" w:color="auto"/>
            </w:tcBorders>
          </w:tcPr>
          <w:p w:rsidR="000268BC" w:rsidRDefault="000268BC" w:rsidP="000268BC">
            <w:pPr>
              <w:pStyle w:val="TableText"/>
              <w:jc w:val="center"/>
              <w:rPr>
                <w:rFonts w:ascii="Times New Roman" w:hAnsi="Times New Roman"/>
                <w:sz w:val="24"/>
                <w:szCs w:val="24"/>
              </w:rPr>
            </w:pPr>
            <w:r w:rsidRPr="00807FB9">
              <w:t>201</w:t>
            </w:r>
            <w:r>
              <w:t>8</w:t>
            </w:r>
            <w:r w:rsidRPr="00A22052">
              <w:t>–</w:t>
            </w:r>
            <w:r>
              <w:t>1</w:t>
            </w:r>
            <w:r w:rsidRPr="00807FB9">
              <w:t>9</w:t>
            </w:r>
          </w:p>
        </w:tc>
        <w:tc>
          <w:tcPr>
            <w:tcW w:w="1011"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1</w:t>
            </w:r>
            <w:r>
              <w:rPr>
                <w:rFonts w:cstheme="majorHAnsi"/>
                <w:color w:val="000000"/>
              </w:rPr>
              <w:t>,</w:t>
            </w:r>
            <w:r w:rsidRPr="00085539">
              <w:rPr>
                <w:rFonts w:cstheme="majorHAnsi"/>
                <w:color w:val="000000"/>
              </w:rPr>
              <w:t>874</w:t>
            </w:r>
          </w:p>
        </w:tc>
        <w:tc>
          <w:tcPr>
            <w:tcW w:w="1106" w:type="pct"/>
            <w:tcBorders>
              <w:bottom w:val="single" w:sz="4" w:space="0" w:color="auto"/>
            </w:tcBorders>
          </w:tcPr>
          <w:p w:rsidR="000268BC" w:rsidRPr="0010068D" w:rsidRDefault="000268BC" w:rsidP="000268BC">
            <w:pPr>
              <w:pStyle w:val="TableTextCentered"/>
            </w:pPr>
            <w:r w:rsidRPr="0010068D">
              <w:t>1,767</w:t>
            </w:r>
          </w:p>
        </w:tc>
        <w:tc>
          <w:tcPr>
            <w:tcW w:w="963"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107</w:t>
            </w:r>
          </w:p>
        </w:tc>
        <w:tc>
          <w:tcPr>
            <w:tcW w:w="960"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6.03</w:t>
            </w:r>
            <w:r>
              <w:rPr>
                <w:rFonts w:cstheme="majorHAnsi"/>
                <w:color w:val="000000"/>
              </w:rPr>
              <w:t>%</w:t>
            </w:r>
          </w:p>
        </w:tc>
      </w:tr>
      <w:tr w:rsidR="000268BC" w:rsidRPr="0010068D" w:rsidTr="00085539">
        <w:tc>
          <w:tcPr>
            <w:tcW w:w="960" w:type="pct"/>
            <w:tcBorders>
              <w:bottom w:val="single" w:sz="4" w:space="0" w:color="auto"/>
            </w:tcBorders>
          </w:tcPr>
          <w:p w:rsidR="000268BC" w:rsidRDefault="000268BC" w:rsidP="000268BC">
            <w:pPr>
              <w:pStyle w:val="TableText"/>
              <w:jc w:val="center"/>
              <w:rPr>
                <w:rFonts w:ascii="Times New Roman" w:hAnsi="Times New Roman"/>
                <w:sz w:val="24"/>
                <w:szCs w:val="24"/>
              </w:rPr>
            </w:pPr>
            <w:r w:rsidRPr="00807FB9">
              <w:t>20</w:t>
            </w:r>
            <w:r>
              <w:t>19</w:t>
            </w:r>
            <w:r w:rsidRPr="00A22052">
              <w:t>–</w:t>
            </w:r>
            <w:r w:rsidRPr="00807FB9">
              <w:t>20</w:t>
            </w:r>
          </w:p>
        </w:tc>
        <w:tc>
          <w:tcPr>
            <w:tcW w:w="1011"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098</w:t>
            </w:r>
          </w:p>
        </w:tc>
        <w:tc>
          <w:tcPr>
            <w:tcW w:w="1106" w:type="pct"/>
            <w:tcBorders>
              <w:bottom w:val="single" w:sz="4" w:space="0" w:color="auto"/>
            </w:tcBorders>
          </w:tcPr>
          <w:p w:rsidR="000268BC" w:rsidRPr="0010068D" w:rsidRDefault="000268BC" w:rsidP="000268BC">
            <w:pPr>
              <w:pStyle w:val="TableTextCentered"/>
            </w:pPr>
            <w:r w:rsidRPr="0010068D">
              <w:t>1,959</w:t>
            </w:r>
          </w:p>
        </w:tc>
        <w:tc>
          <w:tcPr>
            <w:tcW w:w="963"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138</w:t>
            </w:r>
          </w:p>
        </w:tc>
        <w:tc>
          <w:tcPr>
            <w:tcW w:w="960"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7.05</w:t>
            </w:r>
            <w:r>
              <w:rPr>
                <w:rFonts w:cstheme="majorHAnsi"/>
                <w:color w:val="000000"/>
              </w:rPr>
              <w:t>%</w:t>
            </w:r>
          </w:p>
        </w:tc>
      </w:tr>
      <w:tr w:rsidR="000268BC" w:rsidRPr="0010068D" w:rsidTr="00085539">
        <w:tc>
          <w:tcPr>
            <w:tcW w:w="960" w:type="pct"/>
            <w:tcBorders>
              <w:bottom w:val="single" w:sz="4" w:space="0" w:color="auto"/>
            </w:tcBorders>
          </w:tcPr>
          <w:p w:rsidR="000268BC" w:rsidRDefault="000268BC" w:rsidP="000268BC">
            <w:pPr>
              <w:pStyle w:val="TableText"/>
              <w:jc w:val="center"/>
              <w:rPr>
                <w:rFonts w:ascii="Times New Roman" w:hAnsi="Times New Roman"/>
                <w:sz w:val="24"/>
                <w:szCs w:val="24"/>
              </w:rPr>
            </w:pPr>
            <w:r w:rsidRPr="00807FB9">
              <w:t>202</w:t>
            </w:r>
            <w:r>
              <w:t>0</w:t>
            </w:r>
            <w:r w:rsidRPr="00A22052">
              <w:t>–</w:t>
            </w:r>
            <w:r>
              <w:t>2</w:t>
            </w:r>
            <w:r w:rsidRPr="00807FB9">
              <w:t>1</w:t>
            </w:r>
          </w:p>
        </w:tc>
        <w:tc>
          <w:tcPr>
            <w:tcW w:w="1011"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350</w:t>
            </w:r>
          </w:p>
        </w:tc>
        <w:tc>
          <w:tcPr>
            <w:tcW w:w="1106" w:type="pct"/>
            <w:tcBorders>
              <w:bottom w:val="single" w:sz="4" w:space="0" w:color="auto"/>
            </w:tcBorders>
          </w:tcPr>
          <w:p w:rsidR="000268BC" w:rsidRPr="0010068D" w:rsidRDefault="000268BC" w:rsidP="000268BC">
            <w:pPr>
              <w:pStyle w:val="TableTextCentered"/>
            </w:pPr>
            <w:r w:rsidRPr="0010068D">
              <w:t>2,172</w:t>
            </w:r>
          </w:p>
        </w:tc>
        <w:tc>
          <w:tcPr>
            <w:tcW w:w="963"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178</w:t>
            </w:r>
          </w:p>
        </w:tc>
        <w:tc>
          <w:tcPr>
            <w:tcW w:w="960"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8.19</w:t>
            </w:r>
            <w:r>
              <w:rPr>
                <w:rFonts w:cstheme="majorHAnsi"/>
                <w:color w:val="000000"/>
              </w:rPr>
              <w:t>%</w:t>
            </w:r>
          </w:p>
        </w:tc>
      </w:tr>
      <w:tr w:rsidR="000268BC" w:rsidRPr="0010068D" w:rsidTr="00085539">
        <w:tc>
          <w:tcPr>
            <w:tcW w:w="960" w:type="pct"/>
            <w:tcBorders>
              <w:bottom w:val="single" w:sz="4" w:space="0" w:color="auto"/>
            </w:tcBorders>
          </w:tcPr>
          <w:p w:rsidR="000268BC" w:rsidRDefault="000268BC" w:rsidP="000268BC">
            <w:pPr>
              <w:pStyle w:val="TableText"/>
              <w:jc w:val="center"/>
              <w:rPr>
                <w:rFonts w:ascii="Times New Roman" w:hAnsi="Times New Roman"/>
                <w:sz w:val="24"/>
                <w:szCs w:val="24"/>
              </w:rPr>
            </w:pPr>
            <w:r w:rsidRPr="00807FB9">
              <w:t>202</w:t>
            </w:r>
            <w:r>
              <w:t>1</w:t>
            </w:r>
            <w:r w:rsidRPr="00A22052">
              <w:t>–</w:t>
            </w:r>
            <w:r>
              <w:t>2</w:t>
            </w:r>
            <w:r w:rsidRPr="00807FB9">
              <w:t>2</w:t>
            </w:r>
          </w:p>
        </w:tc>
        <w:tc>
          <w:tcPr>
            <w:tcW w:w="1011"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634</w:t>
            </w:r>
          </w:p>
        </w:tc>
        <w:tc>
          <w:tcPr>
            <w:tcW w:w="1106" w:type="pct"/>
            <w:tcBorders>
              <w:bottom w:val="single" w:sz="4" w:space="0" w:color="auto"/>
            </w:tcBorders>
          </w:tcPr>
          <w:p w:rsidR="000268BC" w:rsidRPr="0010068D" w:rsidRDefault="000268BC" w:rsidP="000268BC">
            <w:pPr>
              <w:pStyle w:val="TableTextCentered"/>
            </w:pPr>
            <w:r w:rsidRPr="0010068D">
              <w:t>2,404</w:t>
            </w:r>
          </w:p>
        </w:tc>
        <w:tc>
          <w:tcPr>
            <w:tcW w:w="963"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230</w:t>
            </w:r>
          </w:p>
        </w:tc>
        <w:tc>
          <w:tcPr>
            <w:tcW w:w="960"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9.58</w:t>
            </w:r>
            <w:r>
              <w:rPr>
                <w:rFonts w:cstheme="majorHAnsi"/>
                <w:color w:val="000000"/>
              </w:rPr>
              <w:t>%</w:t>
            </w:r>
          </w:p>
        </w:tc>
      </w:tr>
      <w:tr w:rsidR="000268BC" w:rsidRPr="0010068D" w:rsidTr="00085539">
        <w:tc>
          <w:tcPr>
            <w:tcW w:w="960" w:type="pct"/>
            <w:tcBorders>
              <w:bottom w:val="single" w:sz="4" w:space="0" w:color="auto"/>
            </w:tcBorders>
          </w:tcPr>
          <w:p w:rsidR="000268BC" w:rsidRDefault="000268BC" w:rsidP="000268BC">
            <w:pPr>
              <w:pStyle w:val="TableText"/>
              <w:jc w:val="center"/>
              <w:rPr>
                <w:rFonts w:ascii="Times New Roman" w:hAnsi="Times New Roman"/>
                <w:sz w:val="24"/>
                <w:szCs w:val="24"/>
              </w:rPr>
            </w:pPr>
            <w:r w:rsidRPr="00807FB9">
              <w:t>202</w:t>
            </w:r>
            <w:r>
              <w:t>2</w:t>
            </w:r>
            <w:r w:rsidRPr="00A22052">
              <w:t>–</w:t>
            </w:r>
            <w:r>
              <w:t>2</w:t>
            </w:r>
            <w:r w:rsidRPr="00807FB9">
              <w:t>3</w:t>
            </w:r>
          </w:p>
        </w:tc>
        <w:tc>
          <w:tcPr>
            <w:tcW w:w="1011"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2</w:t>
            </w:r>
            <w:r>
              <w:rPr>
                <w:rFonts w:cstheme="majorHAnsi"/>
                <w:color w:val="000000"/>
              </w:rPr>
              <w:t>,</w:t>
            </w:r>
            <w:r w:rsidRPr="00085539">
              <w:rPr>
                <w:rFonts w:cstheme="majorHAnsi"/>
                <w:color w:val="000000"/>
              </w:rPr>
              <w:t>955</w:t>
            </w:r>
          </w:p>
        </w:tc>
        <w:tc>
          <w:tcPr>
            <w:tcW w:w="1106" w:type="pct"/>
            <w:tcBorders>
              <w:bottom w:val="single" w:sz="4" w:space="0" w:color="auto"/>
            </w:tcBorders>
          </w:tcPr>
          <w:p w:rsidR="000268BC" w:rsidRPr="0010068D" w:rsidRDefault="000268BC" w:rsidP="000268BC">
            <w:pPr>
              <w:pStyle w:val="TableTextCentered"/>
            </w:pPr>
            <w:r w:rsidRPr="0010068D">
              <w:t>2,657</w:t>
            </w:r>
          </w:p>
        </w:tc>
        <w:tc>
          <w:tcPr>
            <w:tcW w:w="963"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298</w:t>
            </w:r>
          </w:p>
        </w:tc>
        <w:tc>
          <w:tcPr>
            <w:tcW w:w="960" w:type="pct"/>
            <w:tcBorders>
              <w:bottom w:val="single" w:sz="4" w:space="0" w:color="auto"/>
            </w:tcBorders>
            <w:vAlign w:val="bottom"/>
          </w:tcPr>
          <w:p w:rsidR="000268BC" w:rsidRPr="00A5516F" w:rsidRDefault="000268BC" w:rsidP="000268BC">
            <w:pPr>
              <w:pStyle w:val="TableTextCentered"/>
              <w:rPr>
                <w:rFonts w:cstheme="majorHAnsi"/>
              </w:rPr>
            </w:pPr>
            <w:r w:rsidRPr="00085539">
              <w:rPr>
                <w:rFonts w:cstheme="majorHAnsi"/>
                <w:color w:val="000000"/>
              </w:rPr>
              <w:t>11.21</w:t>
            </w:r>
            <w:r>
              <w:rPr>
                <w:rFonts w:cstheme="majorHAnsi"/>
                <w:color w:val="000000"/>
              </w:rPr>
              <w:t>%</w:t>
            </w:r>
          </w:p>
        </w:tc>
      </w:tr>
      <w:tr w:rsidR="000268BC" w:rsidRPr="0010068D" w:rsidTr="00085539">
        <w:tc>
          <w:tcPr>
            <w:tcW w:w="960" w:type="pct"/>
          </w:tcPr>
          <w:p w:rsidR="000268BC" w:rsidRDefault="000268BC" w:rsidP="000268BC">
            <w:pPr>
              <w:pStyle w:val="TableText"/>
              <w:jc w:val="center"/>
              <w:rPr>
                <w:rFonts w:ascii="Times New Roman" w:hAnsi="Times New Roman"/>
                <w:sz w:val="24"/>
                <w:szCs w:val="24"/>
              </w:rPr>
            </w:pPr>
            <w:r w:rsidRPr="00807FB9">
              <w:t>202</w:t>
            </w:r>
            <w:r>
              <w:t>3</w:t>
            </w:r>
            <w:r w:rsidRPr="00A22052">
              <w:t>–</w:t>
            </w:r>
            <w:r>
              <w:t>2</w:t>
            </w:r>
            <w:r w:rsidRPr="00807FB9">
              <w:t>4</w:t>
            </w:r>
          </w:p>
        </w:tc>
        <w:tc>
          <w:tcPr>
            <w:tcW w:w="1011" w:type="pct"/>
            <w:vAlign w:val="bottom"/>
          </w:tcPr>
          <w:p w:rsidR="000268BC" w:rsidRPr="00A5516F" w:rsidRDefault="000268BC" w:rsidP="000268BC">
            <w:pPr>
              <w:pStyle w:val="TableTextCentered"/>
              <w:rPr>
                <w:rFonts w:cstheme="majorHAnsi"/>
              </w:rPr>
            </w:pPr>
            <w:r w:rsidRPr="00085539">
              <w:rPr>
                <w:rFonts w:cstheme="majorHAnsi"/>
                <w:color w:val="000000"/>
              </w:rPr>
              <w:t>3</w:t>
            </w:r>
            <w:r>
              <w:rPr>
                <w:rFonts w:cstheme="majorHAnsi"/>
                <w:color w:val="000000"/>
              </w:rPr>
              <w:t>,</w:t>
            </w:r>
            <w:r w:rsidRPr="00085539">
              <w:rPr>
                <w:rFonts w:cstheme="majorHAnsi"/>
                <w:color w:val="000000"/>
              </w:rPr>
              <w:t>317</w:t>
            </w:r>
          </w:p>
        </w:tc>
        <w:tc>
          <w:tcPr>
            <w:tcW w:w="1106" w:type="pct"/>
          </w:tcPr>
          <w:p w:rsidR="000268BC" w:rsidRPr="0010068D" w:rsidRDefault="000268BC" w:rsidP="000268BC">
            <w:pPr>
              <w:pStyle w:val="TableTextCentered"/>
            </w:pPr>
            <w:r w:rsidRPr="0010068D">
              <w:t>2,933</w:t>
            </w:r>
          </w:p>
        </w:tc>
        <w:tc>
          <w:tcPr>
            <w:tcW w:w="963" w:type="pct"/>
            <w:vAlign w:val="bottom"/>
          </w:tcPr>
          <w:p w:rsidR="000268BC" w:rsidRPr="00A5516F" w:rsidRDefault="000268BC" w:rsidP="000268BC">
            <w:pPr>
              <w:pStyle w:val="TableTextCentered"/>
              <w:rPr>
                <w:rFonts w:cstheme="majorHAnsi"/>
              </w:rPr>
            </w:pPr>
            <w:r w:rsidRPr="00085539">
              <w:rPr>
                <w:rFonts w:cstheme="majorHAnsi"/>
                <w:color w:val="000000"/>
              </w:rPr>
              <w:t>384</w:t>
            </w:r>
          </w:p>
        </w:tc>
        <w:tc>
          <w:tcPr>
            <w:tcW w:w="960" w:type="pct"/>
            <w:vAlign w:val="bottom"/>
          </w:tcPr>
          <w:p w:rsidR="000268BC" w:rsidRPr="00A5516F" w:rsidRDefault="000268BC" w:rsidP="000268BC">
            <w:pPr>
              <w:pStyle w:val="TableTextCentered"/>
              <w:rPr>
                <w:rFonts w:cstheme="majorHAnsi"/>
              </w:rPr>
            </w:pPr>
            <w:r w:rsidRPr="00085539">
              <w:rPr>
                <w:rFonts w:cstheme="majorHAnsi"/>
                <w:color w:val="000000"/>
              </w:rPr>
              <w:t>13.1</w:t>
            </w:r>
            <w:r>
              <w:rPr>
                <w:rFonts w:cstheme="majorHAnsi"/>
                <w:color w:val="000000"/>
              </w:rPr>
              <w:t>0%</w:t>
            </w:r>
          </w:p>
        </w:tc>
      </w:tr>
    </w:tbl>
    <w:p w:rsidR="00C157EC" w:rsidRDefault="00FC31F1" w:rsidP="00421188">
      <w:pPr>
        <w:pStyle w:val="ExhibitTitle"/>
      </w:pPr>
      <w:r>
        <w:t>Figure</w:t>
      </w:r>
      <w:r w:rsidR="00C157EC">
        <w:t xml:space="preserve"> B</w:t>
      </w:r>
      <w:r>
        <w:t>8</w:t>
      </w:r>
      <w:r w:rsidR="00C157EC">
        <w:t xml:space="preserve">. Historical and Projected Statewide Supply and Demand </w:t>
      </w:r>
      <w:r w:rsidR="00BD7B11">
        <w:t xml:space="preserve">for </w:t>
      </w:r>
      <w:r w:rsidR="00C157EC">
        <w:t xml:space="preserve">Teachers </w:t>
      </w:r>
      <w:r w:rsidR="00BD7B11">
        <w:t xml:space="preserve">Over </w:t>
      </w:r>
      <w:r w:rsidR="00C157EC">
        <w:t>6</w:t>
      </w:r>
      <w:r w:rsidR="00BD7B11">
        <w:t>4 Years of Age</w:t>
      </w:r>
      <w:r w:rsidR="00C157EC">
        <w:t xml:space="preserve"> in Terms of FTEs</w:t>
      </w:r>
      <w:r w:rsidR="00D41F40">
        <w:t>,</w:t>
      </w:r>
      <w:r w:rsidR="00C157EC">
        <w:t xml:space="preserve"> 2008</w:t>
      </w:r>
      <w:r w:rsidR="00C157EC" w:rsidRPr="00A22052">
        <w:t>–</w:t>
      </w:r>
      <w:r w:rsidR="00C157EC">
        <w:t>09 to 2023</w:t>
      </w:r>
      <w:r w:rsidR="00C157EC" w:rsidRPr="00A22052">
        <w:t>–</w:t>
      </w:r>
      <w:r w:rsidR="00D41F40">
        <w:t>24</w:t>
      </w:r>
    </w:p>
    <w:p w:rsidR="00C157EC" w:rsidRDefault="0061670B" w:rsidP="00421188">
      <w:pPr>
        <w:pStyle w:val="FigurePlacement"/>
      </w:pPr>
      <w:r w:rsidRPr="0061670B">
        <w:t xml:space="preserve"> </w:t>
      </w:r>
      <w:r w:rsidRPr="0061670B">
        <w:rPr>
          <w:noProof/>
          <w:lang w:eastAsia="zh-CN" w:bidi="km-KH"/>
        </w:rPr>
        <w:drawing>
          <wp:inline distT="0" distB="0" distL="0" distR="0">
            <wp:extent cx="5638800" cy="3656965"/>
            <wp:effectExtent l="19050" t="0" r="0" b="0"/>
            <wp:docPr id="229" name="Picture 229" descr="Figure B8. Historical and Projected Statewide Supply and Demand for Teachers Over 64 Years of Age in Terms of FTEs, 2008–09 to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7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03" r="2565" b="5598"/>
                    <a:stretch/>
                  </pic:blipFill>
                  <pic:spPr bwMode="auto">
                    <a:xfrm>
                      <a:off x="0" y="0"/>
                      <a:ext cx="5641741" cy="365887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C157EC" w:rsidP="00421188">
      <w:pPr>
        <w:pStyle w:val="Heading3NoTOC"/>
      </w:pPr>
      <w:bookmarkStart w:id="167" w:name="_Toc435461220"/>
      <w:bookmarkStart w:id="168" w:name="_Toc435784286"/>
      <w:bookmarkStart w:id="169" w:name="_Toc436724317"/>
      <w:r>
        <w:t>Research Question 5</w:t>
      </w:r>
      <w:bookmarkEnd w:id="167"/>
      <w:r>
        <w:t>: Demand and Supply Projections by Region</w:t>
      </w:r>
      <w:bookmarkEnd w:id="168"/>
      <w:bookmarkEnd w:id="169"/>
    </w:p>
    <w:p w:rsidR="00C157EC" w:rsidRDefault="00C157EC" w:rsidP="00421188">
      <w:pPr>
        <w:pStyle w:val="BodyText"/>
      </w:pPr>
      <w:r>
        <w:t>The demand and supply projections underlying the surpluses and shortages reported in the Results section are presented and discussed below.</w:t>
      </w:r>
    </w:p>
    <w:p w:rsidR="00C157EC" w:rsidRDefault="00C157EC" w:rsidP="00421188">
      <w:pPr>
        <w:pStyle w:val="Heading4NoTOC"/>
      </w:pPr>
      <w:bookmarkStart w:id="170" w:name="_Toc434832156"/>
      <w:bookmarkStart w:id="171" w:name="_Toc435784261"/>
      <w:r>
        <w:t>Demand Projections</w:t>
      </w:r>
      <w:bookmarkEnd w:id="170"/>
      <w:bookmarkEnd w:id="171"/>
    </w:p>
    <w:p w:rsidR="00C157EC" w:rsidRDefault="00C157EC" w:rsidP="00421188">
      <w:pPr>
        <w:pStyle w:val="BodyText"/>
      </w:pPr>
      <w:r>
        <w:t>The resulting disaggregated demand trend projections for specific regions of the state and locales are very much in line with the aggregate trend in demand in the results</w:t>
      </w:r>
      <w:r w:rsidR="00461E17">
        <w:t xml:space="preserve"> found for Research Q</w:t>
      </w:r>
      <w:r>
        <w:t>uestion 1. With few exceptions, demand is projected to decline over the next 10 years in these disaggregated categories. Moreover, as with the aggregate projected decline in demand, these trends are relatively modest. The largest total relative changes in projected demand are seen in the analysis by DSAC region—particularly in the Berkshires+, Central, and Southeast regions where projected demand is expected to fall by more than 10 percent from 2013</w:t>
      </w:r>
      <w:r w:rsidRPr="003D3F86">
        <w:t>–</w:t>
      </w:r>
      <w:r>
        <w:t>14 to 2023</w:t>
      </w:r>
      <w:r w:rsidRPr="003D3F86">
        <w:t>–</w:t>
      </w:r>
      <w:r>
        <w:t>24. However, the general consistency of findings suggests that, at least with respect to demand, there is relatively little variation across the state.</w:t>
      </w:r>
    </w:p>
    <w:p w:rsidR="00C157EC" w:rsidRPr="00EB58A1" w:rsidRDefault="00C157EC" w:rsidP="00A46F58">
      <w:pPr>
        <w:pStyle w:val="BodyText"/>
        <w:rPr>
          <w:rFonts w:cstheme="majorHAnsi"/>
        </w:rPr>
      </w:pPr>
      <w:r w:rsidRPr="00A46F58">
        <w:rPr>
          <w:rFonts w:asciiTheme="majorHAnsi" w:hAnsiTheme="majorHAnsi" w:cstheme="majorHAnsi"/>
          <w:b/>
        </w:rPr>
        <w:t>DSAC Region</w:t>
      </w:r>
    </w:p>
    <w:p w:rsidR="00C157EC" w:rsidRDefault="00FC31F1" w:rsidP="00421188">
      <w:pPr>
        <w:pStyle w:val="BodyText"/>
      </w:pPr>
      <w:r>
        <w:t>Table</w:t>
      </w:r>
      <w:r w:rsidR="00C157EC">
        <w:t xml:space="preserve"> </w:t>
      </w:r>
      <w:r>
        <w:t>B13</w:t>
      </w:r>
      <w:r w:rsidR="00C157EC">
        <w:t xml:space="preserve"> contains the results of the projected demand trends by DSAC region. Of </w:t>
      </w:r>
      <w:r w:rsidR="00461E17">
        <w:t>all of the analyses addressing R</w:t>
      </w:r>
      <w:r w:rsidR="00C157EC">
        <w:t>esear</w:t>
      </w:r>
      <w:r w:rsidR="00461E17">
        <w:t>ch Q</w:t>
      </w:r>
      <w:r w:rsidR="00C157EC">
        <w:t>uestion 5, the demand projections by DSAC region tend to be the most divergent from the aggregate statewide trend. Although a decline in demand from 2013</w:t>
      </w:r>
      <w:r w:rsidR="00C157EC" w:rsidRPr="003D3F86">
        <w:t>–</w:t>
      </w:r>
      <w:r w:rsidR="00C157EC">
        <w:t>14 to 2023</w:t>
      </w:r>
      <w:r w:rsidR="00C157EC" w:rsidRPr="003D3F86">
        <w:t>–</w:t>
      </w:r>
      <w:r w:rsidR="00C157EC">
        <w:t>24 is projected for most regions, in some cases this decline is almost twice as large in relative terms as the statewide projection. Specifically, over this period we project an absolute decline in demand of 346 FTEs (equal to 12.26 percent) in the Berkshires+ region, which marks the largest projected drop among the DSAC regions. The declines are similarly large for the Central and Southeast regions over the same time period, at 668 FTEs (10.72 percent) and 1,213 FTEs (11.17 percent), respectively.</w:t>
      </w:r>
    </w:p>
    <w:p w:rsidR="00C157EC" w:rsidRPr="008461FF" w:rsidRDefault="00C157EC" w:rsidP="00421188">
      <w:pPr>
        <w:pStyle w:val="BodyText"/>
      </w:pPr>
      <w:r>
        <w:t>In addition, this i</w:t>
      </w:r>
      <w:r w:rsidR="00461E17">
        <w:t>s the only analysis related to Research Q</w:t>
      </w:r>
      <w:r>
        <w:t>uestion 5 for which a projected future trend in demand differs somewhat from the aggregate trend. Specifically, we project that demand in the Commissioner’s Districts will increase an average of 0.04 per year between 2013</w:t>
      </w:r>
      <w:r w:rsidRPr="00673C53">
        <w:t>–</w:t>
      </w:r>
      <w:r>
        <w:t>14 and 2023</w:t>
      </w:r>
      <w:r w:rsidRPr="00673C53">
        <w:t>–</w:t>
      </w:r>
      <w:r>
        <w:t xml:space="preserve">24, resulting in an absolute increase of 46 FTEs (0.34 percent) over the period. As can be seen in </w:t>
      </w:r>
      <w:r w:rsidR="00FC31F1">
        <w:t>Figure</w:t>
      </w:r>
      <w:r>
        <w:t xml:space="preserve"> </w:t>
      </w:r>
      <w:r w:rsidR="00FC31F1">
        <w:t>B9</w:t>
      </w:r>
      <w:r>
        <w:t>, this rise is likely due to the fact that, in the two most recent years, this region experienced some volatility in staffing (i.e., there was a marked decrease in the number of FTEs from 2012</w:t>
      </w:r>
      <w:r w:rsidRPr="00673C53">
        <w:t>–</w:t>
      </w:r>
      <w:r>
        <w:t>13 to 2013</w:t>
      </w:r>
      <w:r w:rsidRPr="00673C53">
        <w:t>–</w:t>
      </w:r>
      <w:r>
        <w:t>14). As a result of this drop, the first projected year of demand is generally in line with the historical average number of teachers, but somewhat larger than the last historical year (2013</w:t>
      </w:r>
      <w:r w:rsidRPr="00673C53">
        <w:t>–</w:t>
      </w:r>
      <w:r>
        <w:t>14). Therefore, although the first projected year represents an increase over the last, each subsequent projected year shows a slight decline over the previous projected year.</w:t>
      </w:r>
    </w:p>
    <w:p w:rsidR="00C157EC" w:rsidRPr="00421188" w:rsidRDefault="00FC31F1" w:rsidP="00421188">
      <w:pPr>
        <w:pStyle w:val="ExhibitTitle"/>
      </w:pPr>
      <w:r>
        <w:t>Table</w:t>
      </w:r>
      <w:r w:rsidR="00C157EC">
        <w:t xml:space="preserve"> B</w:t>
      </w:r>
      <w:r>
        <w:t>13</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Demand by DSAC Region</w:t>
      </w:r>
      <w:r w:rsidR="00D41F40">
        <w:t>,</w:t>
      </w:r>
      <w:r w:rsidR="00C157EC">
        <w:t xml:space="preserve"> 2013</w:t>
      </w:r>
      <w:r w:rsidR="00C157EC" w:rsidRPr="00673C53">
        <w:t>–</w:t>
      </w:r>
      <w:r w:rsidR="00C157EC">
        <w:t>14</w:t>
      </w:r>
      <w:r w:rsidR="0092042A">
        <w:t xml:space="preserve"> </w:t>
      </w:r>
      <w:proofErr w:type="gramStart"/>
      <w:r w:rsidR="0092042A">
        <w:t>Through</w:t>
      </w:r>
      <w:proofErr w:type="gramEnd"/>
      <w:r w:rsidR="0092042A">
        <w:t xml:space="preserve"> </w:t>
      </w:r>
      <w:r w:rsidR="00C157EC">
        <w:t>2023</w:t>
      </w:r>
      <w:r w:rsidR="00C157EC" w:rsidRPr="00673C53">
        <w:t>–</w:t>
      </w:r>
      <w:r w:rsidR="00D41F40">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2"/>
        <w:gridCol w:w="2678"/>
        <w:gridCol w:w="1939"/>
        <w:gridCol w:w="1931"/>
      </w:tblGrid>
      <w:tr w:rsidR="00421188" w:rsidTr="00123319">
        <w:trPr>
          <w:cnfStyle w:val="100000000000"/>
        </w:trPr>
        <w:tc>
          <w:tcPr>
            <w:tcW w:w="1586" w:type="pct"/>
            <w:tcBorders>
              <w:bottom w:val="single" w:sz="4" w:space="0" w:color="auto"/>
            </w:tcBorders>
          </w:tcPr>
          <w:p w:rsidR="00C157EC" w:rsidRDefault="00C157EC" w:rsidP="00123319">
            <w:pPr>
              <w:pStyle w:val="TableText"/>
              <w:jc w:val="center"/>
              <w:rPr>
                <w:rFonts w:ascii="Times New Roman" w:hAnsi="Times New Roman"/>
                <w:sz w:val="24"/>
                <w:szCs w:val="24"/>
              </w:rPr>
            </w:pPr>
            <w:r>
              <w:t>DSAC Region</w:t>
            </w:r>
          </w:p>
        </w:tc>
        <w:tc>
          <w:tcPr>
            <w:tcW w:w="1396" w:type="pct"/>
            <w:tcBorders>
              <w:bottom w:val="single" w:sz="4" w:space="0" w:color="auto"/>
            </w:tcBorders>
          </w:tcPr>
          <w:p w:rsidR="00C157EC" w:rsidRDefault="00C157EC" w:rsidP="00421188">
            <w:pPr>
              <w:pStyle w:val="TableTextCentered"/>
              <w:rPr>
                <w:rFonts w:ascii="Times New Roman" w:hAnsi="Times New Roman"/>
                <w:sz w:val="24"/>
                <w:szCs w:val="24"/>
              </w:rPr>
            </w:pPr>
            <w:r>
              <w:t>A</w:t>
            </w:r>
            <w:r w:rsidRPr="00C20B19">
              <w:t xml:space="preserve">verage </w:t>
            </w:r>
            <w:r>
              <w:t>Annual Percent</w:t>
            </w:r>
            <w:r w:rsidRPr="00C20B19">
              <w:t xml:space="preserve"> </w:t>
            </w:r>
            <w:r>
              <w:t>C</w:t>
            </w:r>
            <w:r w:rsidRPr="00C20B19">
              <w:t>hange</w:t>
            </w:r>
            <w:r>
              <w:t>:</w:t>
            </w:r>
            <w:r w:rsidRPr="00C20B19">
              <w:t xml:space="preserve"> 201</w:t>
            </w:r>
            <w:r>
              <w:t>3</w:t>
            </w:r>
            <w:r w:rsidRPr="00673C53">
              <w:t>–</w:t>
            </w:r>
            <w:r w:rsidRPr="00C20B19">
              <w:t>1</w:t>
            </w:r>
            <w:r>
              <w:t>4</w:t>
            </w:r>
            <w:r w:rsidRPr="00C20B19">
              <w:t xml:space="preserve"> </w:t>
            </w:r>
            <w:r w:rsidR="00123319">
              <w:t>Through</w:t>
            </w:r>
            <w:r w:rsidR="00123319" w:rsidRPr="00C20B19">
              <w:t xml:space="preserve"> </w:t>
            </w:r>
            <w:r w:rsidRPr="00C20B19">
              <w:t>2023</w:t>
            </w:r>
            <w:r w:rsidRPr="00673C53">
              <w:t>–</w:t>
            </w:r>
            <w:r w:rsidRPr="00C20B19">
              <w:t>24</w:t>
            </w:r>
          </w:p>
        </w:tc>
        <w:tc>
          <w:tcPr>
            <w:tcW w:w="1011" w:type="pct"/>
            <w:tcBorders>
              <w:bottom w:val="single" w:sz="4" w:space="0" w:color="auto"/>
            </w:tcBorders>
          </w:tcPr>
          <w:p w:rsidR="00C157EC" w:rsidRDefault="00C157EC" w:rsidP="00421188">
            <w:pPr>
              <w:pStyle w:val="TableTextCentered"/>
              <w:rPr>
                <w:rFonts w:ascii="Times New Roman" w:hAnsi="Times New Roman"/>
                <w:sz w:val="24"/>
                <w:szCs w:val="24"/>
              </w:rPr>
            </w:pPr>
            <w:r>
              <w:t>O</w:t>
            </w:r>
            <w:r w:rsidRPr="00C20B19">
              <w:t xml:space="preserve">verall </w:t>
            </w:r>
            <w:r>
              <w:t>Percent</w:t>
            </w:r>
            <w:r w:rsidRPr="00C20B19">
              <w:t xml:space="preserve"> </w:t>
            </w:r>
            <w:r>
              <w:t>C</w:t>
            </w:r>
            <w:r w:rsidRPr="00C20B19">
              <w:t>hange</w:t>
            </w:r>
            <w:r>
              <w:t>:</w:t>
            </w:r>
            <w:r w:rsidRPr="00C20B19">
              <w:t xml:space="preserve"> 201</w:t>
            </w:r>
            <w:r>
              <w:t>3</w:t>
            </w:r>
            <w:r w:rsidRPr="00673C53">
              <w:t>–</w:t>
            </w:r>
            <w:r w:rsidRPr="00C20B19">
              <w:t>1</w:t>
            </w:r>
            <w:r>
              <w:t>4</w:t>
            </w:r>
            <w:r w:rsidRPr="00C20B19">
              <w:t xml:space="preserve"> </w:t>
            </w:r>
            <w:r w:rsidR="00123319">
              <w:t>Through</w:t>
            </w:r>
            <w:r w:rsidR="00123319" w:rsidRPr="00C20B19">
              <w:t xml:space="preserve"> </w:t>
            </w:r>
            <w:r w:rsidRPr="00C20B19">
              <w:t>2023</w:t>
            </w:r>
            <w:r w:rsidRPr="00673C53">
              <w:t>–</w:t>
            </w:r>
            <w:r w:rsidRPr="00C20B19">
              <w:t>24</w:t>
            </w:r>
          </w:p>
        </w:tc>
        <w:tc>
          <w:tcPr>
            <w:tcW w:w="1008" w:type="pct"/>
            <w:tcBorders>
              <w:bottom w:val="single" w:sz="4" w:space="0" w:color="auto"/>
            </w:tcBorders>
          </w:tcPr>
          <w:p w:rsidR="00C157EC" w:rsidRDefault="00C157EC" w:rsidP="00421188">
            <w:pPr>
              <w:pStyle w:val="TableTextCentered"/>
              <w:rPr>
                <w:rFonts w:ascii="Times New Roman" w:hAnsi="Times New Roman"/>
                <w:sz w:val="24"/>
                <w:szCs w:val="24"/>
              </w:rPr>
            </w:pPr>
            <w:r>
              <w:t>O</w:t>
            </w:r>
            <w:r w:rsidRPr="00C20B19">
              <w:t xml:space="preserve">verall </w:t>
            </w:r>
            <w:r>
              <w:t>A</w:t>
            </w:r>
            <w:r w:rsidRPr="00C20B19">
              <w:t xml:space="preserve">bsolute </w:t>
            </w:r>
            <w:r>
              <w:t>C</w:t>
            </w:r>
            <w:r w:rsidRPr="00C20B19">
              <w:t>hange</w:t>
            </w:r>
            <w:r>
              <w:t xml:space="preserve">: </w:t>
            </w:r>
            <w:r w:rsidRPr="00C20B19">
              <w:t>201</w:t>
            </w:r>
            <w:r>
              <w:t>3</w:t>
            </w:r>
            <w:r w:rsidRPr="00673C53">
              <w:t>–</w:t>
            </w:r>
            <w:r w:rsidRPr="00C20B19">
              <w:t>1</w:t>
            </w:r>
            <w:r>
              <w:t>4</w:t>
            </w:r>
            <w:r w:rsidRPr="00C20B19">
              <w:t xml:space="preserve"> </w:t>
            </w:r>
            <w:r w:rsidR="00123319">
              <w:t>Through</w:t>
            </w:r>
            <w:r w:rsidR="00123319" w:rsidRPr="00C20B19">
              <w:t xml:space="preserve"> </w:t>
            </w:r>
            <w:r w:rsidRPr="00C20B19">
              <w:t>2023</w:t>
            </w:r>
            <w:r w:rsidRPr="00673C53">
              <w:t>–</w:t>
            </w:r>
            <w:r w:rsidRPr="00C20B19">
              <w:t>24</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Berkshires</w:t>
            </w:r>
            <w:r w:rsidR="003C50C4">
              <w:t xml:space="preserve"> </w:t>
            </w:r>
            <w:r w:rsidRPr="00A13C01">
              <w:t>+</w:t>
            </w:r>
          </w:p>
        </w:tc>
        <w:tc>
          <w:tcPr>
            <w:tcW w:w="1396" w:type="pct"/>
            <w:tcBorders>
              <w:bottom w:val="single" w:sz="4" w:space="0" w:color="auto"/>
            </w:tcBorders>
          </w:tcPr>
          <w:p w:rsidR="00C157EC" w:rsidRPr="00A13C01" w:rsidRDefault="00C157EC" w:rsidP="00421188">
            <w:pPr>
              <w:pStyle w:val="TableTextCentered"/>
            </w:pPr>
            <w:r w:rsidRPr="00A13C01">
              <w:t>-1.30%</w:t>
            </w:r>
          </w:p>
        </w:tc>
        <w:tc>
          <w:tcPr>
            <w:tcW w:w="1011" w:type="pct"/>
            <w:tcBorders>
              <w:bottom w:val="single" w:sz="4" w:space="0" w:color="auto"/>
            </w:tcBorders>
          </w:tcPr>
          <w:p w:rsidR="00C157EC" w:rsidRPr="00A13C01" w:rsidRDefault="00C157EC" w:rsidP="00421188">
            <w:pPr>
              <w:pStyle w:val="TableTextCentered"/>
            </w:pPr>
            <w:r w:rsidRPr="00A13C01">
              <w:t>-12.26%</w:t>
            </w:r>
          </w:p>
        </w:tc>
        <w:tc>
          <w:tcPr>
            <w:tcW w:w="1008" w:type="pct"/>
            <w:tcBorders>
              <w:bottom w:val="single" w:sz="4" w:space="0" w:color="auto"/>
            </w:tcBorders>
          </w:tcPr>
          <w:p w:rsidR="00C157EC" w:rsidRPr="00A13C01" w:rsidRDefault="00C157EC" w:rsidP="00421188">
            <w:pPr>
              <w:pStyle w:val="TableTextCentered"/>
            </w:pPr>
            <w:r w:rsidRPr="00A13C01">
              <w:t>-346</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Central</w:t>
            </w:r>
          </w:p>
        </w:tc>
        <w:tc>
          <w:tcPr>
            <w:tcW w:w="1396" w:type="pct"/>
            <w:tcBorders>
              <w:bottom w:val="single" w:sz="4" w:space="0" w:color="auto"/>
            </w:tcBorders>
          </w:tcPr>
          <w:p w:rsidR="00C157EC" w:rsidRPr="00A13C01" w:rsidRDefault="00C157EC" w:rsidP="00421188">
            <w:pPr>
              <w:pStyle w:val="TableTextCentered"/>
            </w:pPr>
            <w:r w:rsidRPr="00A13C01">
              <w:t>-1.13%</w:t>
            </w:r>
          </w:p>
        </w:tc>
        <w:tc>
          <w:tcPr>
            <w:tcW w:w="1011" w:type="pct"/>
            <w:tcBorders>
              <w:bottom w:val="single" w:sz="4" w:space="0" w:color="auto"/>
            </w:tcBorders>
          </w:tcPr>
          <w:p w:rsidR="00C157EC" w:rsidRPr="00A13C01" w:rsidRDefault="00C157EC" w:rsidP="00421188">
            <w:pPr>
              <w:pStyle w:val="TableTextCentered"/>
            </w:pPr>
            <w:r w:rsidRPr="00A13C01">
              <w:t>-10.72%</w:t>
            </w:r>
          </w:p>
        </w:tc>
        <w:tc>
          <w:tcPr>
            <w:tcW w:w="1008" w:type="pct"/>
            <w:tcBorders>
              <w:bottom w:val="single" w:sz="4" w:space="0" w:color="auto"/>
            </w:tcBorders>
          </w:tcPr>
          <w:p w:rsidR="00C157EC" w:rsidRPr="00A13C01" w:rsidRDefault="00C157EC" w:rsidP="00421188">
            <w:pPr>
              <w:pStyle w:val="TableTextCentered"/>
            </w:pPr>
            <w:r w:rsidRPr="00A13C01">
              <w:t>-878</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Commissioner's Districts</w:t>
            </w:r>
          </w:p>
        </w:tc>
        <w:tc>
          <w:tcPr>
            <w:tcW w:w="1396" w:type="pct"/>
            <w:tcBorders>
              <w:bottom w:val="single" w:sz="4" w:space="0" w:color="auto"/>
            </w:tcBorders>
          </w:tcPr>
          <w:p w:rsidR="00C157EC" w:rsidRPr="00A13C01" w:rsidRDefault="00C157EC" w:rsidP="00421188">
            <w:pPr>
              <w:pStyle w:val="TableTextCentered"/>
            </w:pPr>
            <w:r w:rsidRPr="00A13C01">
              <w:t>0.04%</w:t>
            </w:r>
          </w:p>
        </w:tc>
        <w:tc>
          <w:tcPr>
            <w:tcW w:w="1011" w:type="pct"/>
            <w:tcBorders>
              <w:bottom w:val="single" w:sz="4" w:space="0" w:color="auto"/>
            </w:tcBorders>
          </w:tcPr>
          <w:p w:rsidR="00C157EC" w:rsidRPr="00A13C01" w:rsidRDefault="00C157EC" w:rsidP="00421188">
            <w:pPr>
              <w:pStyle w:val="TableTextCentered"/>
            </w:pPr>
            <w:r w:rsidRPr="00A13C01">
              <w:t>0.34%</w:t>
            </w:r>
          </w:p>
        </w:tc>
        <w:tc>
          <w:tcPr>
            <w:tcW w:w="1008" w:type="pct"/>
            <w:tcBorders>
              <w:bottom w:val="single" w:sz="4" w:space="0" w:color="auto"/>
            </w:tcBorders>
          </w:tcPr>
          <w:p w:rsidR="00C157EC" w:rsidRPr="00A13C01" w:rsidRDefault="00C157EC" w:rsidP="00421188">
            <w:pPr>
              <w:pStyle w:val="TableTextCentered"/>
            </w:pPr>
            <w:r w:rsidRPr="00A13C01">
              <w:t>46</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Greater Boston</w:t>
            </w:r>
          </w:p>
        </w:tc>
        <w:tc>
          <w:tcPr>
            <w:tcW w:w="1396" w:type="pct"/>
            <w:tcBorders>
              <w:bottom w:val="single" w:sz="4" w:space="0" w:color="auto"/>
            </w:tcBorders>
          </w:tcPr>
          <w:p w:rsidR="00C157EC" w:rsidRPr="00A13C01" w:rsidRDefault="00C157EC" w:rsidP="00421188">
            <w:pPr>
              <w:pStyle w:val="TableTextCentered"/>
            </w:pPr>
            <w:r w:rsidRPr="00A13C01">
              <w:t>-0.15%</w:t>
            </w:r>
          </w:p>
        </w:tc>
        <w:tc>
          <w:tcPr>
            <w:tcW w:w="1011" w:type="pct"/>
            <w:tcBorders>
              <w:bottom w:val="single" w:sz="4" w:space="0" w:color="auto"/>
            </w:tcBorders>
          </w:tcPr>
          <w:p w:rsidR="00C157EC" w:rsidRPr="00A13C01" w:rsidRDefault="00C157EC" w:rsidP="00421188">
            <w:pPr>
              <w:pStyle w:val="TableTextCentered"/>
            </w:pPr>
            <w:r w:rsidRPr="00A13C01">
              <w:t>-1.52%</w:t>
            </w:r>
          </w:p>
        </w:tc>
        <w:tc>
          <w:tcPr>
            <w:tcW w:w="1008" w:type="pct"/>
            <w:tcBorders>
              <w:bottom w:val="single" w:sz="4" w:space="0" w:color="auto"/>
            </w:tcBorders>
          </w:tcPr>
          <w:p w:rsidR="00C157EC" w:rsidRPr="00A13C01" w:rsidRDefault="00C157EC" w:rsidP="00421188">
            <w:pPr>
              <w:pStyle w:val="TableTextCentered"/>
            </w:pPr>
            <w:r w:rsidRPr="00A13C01">
              <w:t>-222</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Northeast</w:t>
            </w:r>
          </w:p>
        </w:tc>
        <w:tc>
          <w:tcPr>
            <w:tcW w:w="1396" w:type="pct"/>
            <w:tcBorders>
              <w:bottom w:val="single" w:sz="4" w:space="0" w:color="auto"/>
            </w:tcBorders>
          </w:tcPr>
          <w:p w:rsidR="00C157EC" w:rsidRPr="00A13C01" w:rsidRDefault="00C157EC" w:rsidP="00421188">
            <w:pPr>
              <w:pStyle w:val="TableTextCentered"/>
            </w:pPr>
            <w:r w:rsidRPr="00A13C01">
              <w:t>-0.58%</w:t>
            </w:r>
          </w:p>
        </w:tc>
        <w:tc>
          <w:tcPr>
            <w:tcW w:w="1011" w:type="pct"/>
            <w:tcBorders>
              <w:bottom w:val="single" w:sz="4" w:space="0" w:color="auto"/>
            </w:tcBorders>
          </w:tcPr>
          <w:p w:rsidR="00C157EC" w:rsidRPr="00A13C01" w:rsidRDefault="00C157EC" w:rsidP="00421188">
            <w:pPr>
              <w:pStyle w:val="TableTextCentered"/>
            </w:pPr>
            <w:r w:rsidRPr="00A13C01">
              <w:t>-5.65%</w:t>
            </w:r>
          </w:p>
        </w:tc>
        <w:tc>
          <w:tcPr>
            <w:tcW w:w="1008" w:type="pct"/>
            <w:tcBorders>
              <w:bottom w:val="single" w:sz="4" w:space="0" w:color="auto"/>
            </w:tcBorders>
          </w:tcPr>
          <w:p w:rsidR="00C157EC" w:rsidRPr="00A13C01" w:rsidRDefault="00C157EC" w:rsidP="00421188">
            <w:pPr>
              <w:pStyle w:val="TableTextCentered"/>
            </w:pPr>
            <w:r w:rsidRPr="00A13C01">
              <w:t>-563</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Pioneer Valley</w:t>
            </w:r>
          </w:p>
        </w:tc>
        <w:tc>
          <w:tcPr>
            <w:tcW w:w="1396" w:type="pct"/>
            <w:tcBorders>
              <w:bottom w:val="single" w:sz="4" w:space="0" w:color="auto"/>
            </w:tcBorders>
          </w:tcPr>
          <w:p w:rsidR="00C157EC" w:rsidRPr="00A13C01" w:rsidRDefault="00C157EC" w:rsidP="00421188">
            <w:pPr>
              <w:pStyle w:val="TableTextCentered"/>
            </w:pPr>
            <w:r w:rsidRPr="00A13C01">
              <w:t>-0.97%</w:t>
            </w:r>
          </w:p>
        </w:tc>
        <w:tc>
          <w:tcPr>
            <w:tcW w:w="1011" w:type="pct"/>
            <w:tcBorders>
              <w:bottom w:val="single" w:sz="4" w:space="0" w:color="auto"/>
            </w:tcBorders>
          </w:tcPr>
          <w:p w:rsidR="00C157EC" w:rsidRPr="00A13C01" w:rsidRDefault="00C157EC" w:rsidP="00421188">
            <w:pPr>
              <w:pStyle w:val="TableTextCentered"/>
            </w:pPr>
            <w:r w:rsidRPr="00A13C01">
              <w:t>-9.30%</w:t>
            </w:r>
          </w:p>
        </w:tc>
        <w:tc>
          <w:tcPr>
            <w:tcW w:w="1008" w:type="pct"/>
            <w:tcBorders>
              <w:bottom w:val="single" w:sz="4" w:space="0" w:color="auto"/>
            </w:tcBorders>
          </w:tcPr>
          <w:p w:rsidR="00C157EC" w:rsidRPr="00A13C01" w:rsidRDefault="00C157EC" w:rsidP="00421188">
            <w:pPr>
              <w:pStyle w:val="TableTextCentered"/>
            </w:pPr>
            <w:r w:rsidRPr="00A13C01">
              <w:t>-350</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Southeast</w:t>
            </w:r>
          </w:p>
        </w:tc>
        <w:tc>
          <w:tcPr>
            <w:tcW w:w="1396" w:type="pct"/>
            <w:tcBorders>
              <w:bottom w:val="single" w:sz="4" w:space="0" w:color="auto"/>
            </w:tcBorders>
          </w:tcPr>
          <w:p w:rsidR="00C157EC" w:rsidRPr="00A13C01" w:rsidRDefault="00C157EC" w:rsidP="00421188">
            <w:pPr>
              <w:pStyle w:val="TableTextCentered"/>
            </w:pPr>
            <w:r w:rsidRPr="00A13C01">
              <w:t>-1.18%</w:t>
            </w:r>
          </w:p>
        </w:tc>
        <w:tc>
          <w:tcPr>
            <w:tcW w:w="1011" w:type="pct"/>
            <w:tcBorders>
              <w:bottom w:val="single" w:sz="4" w:space="0" w:color="auto"/>
            </w:tcBorders>
          </w:tcPr>
          <w:p w:rsidR="00C157EC" w:rsidRPr="00A13C01" w:rsidRDefault="00C157EC" w:rsidP="00421188">
            <w:pPr>
              <w:pStyle w:val="TableTextCentered"/>
            </w:pPr>
            <w:r w:rsidRPr="00A13C01">
              <w:t>-11.17%</w:t>
            </w:r>
          </w:p>
        </w:tc>
        <w:tc>
          <w:tcPr>
            <w:tcW w:w="1008" w:type="pct"/>
            <w:tcBorders>
              <w:bottom w:val="single" w:sz="4" w:space="0" w:color="auto"/>
            </w:tcBorders>
          </w:tcPr>
          <w:p w:rsidR="00C157EC" w:rsidRPr="00A13C01" w:rsidRDefault="00C157EC" w:rsidP="00421188">
            <w:pPr>
              <w:pStyle w:val="TableTextCentered"/>
            </w:pPr>
            <w:r w:rsidRPr="00A13C01">
              <w:t>-1,538</w:t>
            </w:r>
          </w:p>
        </w:tc>
      </w:tr>
      <w:tr w:rsidR="00421188" w:rsidTr="00123319">
        <w:tc>
          <w:tcPr>
            <w:tcW w:w="1586" w:type="pct"/>
          </w:tcPr>
          <w:p w:rsidR="00C157EC" w:rsidRPr="00A13C01" w:rsidRDefault="00C157EC" w:rsidP="00123319">
            <w:pPr>
              <w:pStyle w:val="TableText"/>
              <w:jc w:val="center"/>
            </w:pPr>
            <w:r w:rsidRPr="00A13C01">
              <w:t>Statewide</w:t>
            </w:r>
          </w:p>
        </w:tc>
        <w:tc>
          <w:tcPr>
            <w:tcW w:w="1396" w:type="pct"/>
          </w:tcPr>
          <w:p w:rsidR="00C157EC" w:rsidRPr="00A13C01" w:rsidRDefault="00C157EC" w:rsidP="00421188">
            <w:pPr>
              <w:pStyle w:val="TableTextCentered"/>
            </w:pPr>
            <w:r w:rsidRPr="00A13C01">
              <w:t>-0.59%</w:t>
            </w:r>
          </w:p>
        </w:tc>
        <w:tc>
          <w:tcPr>
            <w:tcW w:w="1011" w:type="pct"/>
          </w:tcPr>
          <w:p w:rsidR="00C157EC" w:rsidRPr="00A13C01" w:rsidRDefault="00C157EC" w:rsidP="00421188">
            <w:pPr>
              <w:pStyle w:val="TableTextCentered"/>
            </w:pPr>
            <w:r w:rsidRPr="00A13C01">
              <w:t>-5.77%</w:t>
            </w:r>
          </w:p>
        </w:tc>
        <w:tc>
          <w:tcPr>
            <w:tcW w:w="1008" w:type="pct"/>
          </w:tcPr>
          <w:p w:rsidR="00C157EC" w:rsidRPr="00A13C01" w:rsidRDefault="00C157EC" w:rsidP="00421188">
            <w:pPr>
              <w:pStyle w:val="TableTextCentered"/>
            </w:pPr>
            <w:r w:rsidRPr="00A13C01">
              <w:t>-3,851</w:t>
            </w:r>
          </w:p>
        </w:tc>
      </w:tr>
    </w:tbl>
    <w:p w:rsidR="00C157EC" w:rsidRDefault="00FC31F1" w:rsidP="00A46F58">
      <w:pPr>
        <w:pStyle w:val="ExhibitTitle"/>
      </w:pPr>
      <w:r>
        <w:t>Figure</w:t>
      </w:r>
      <w:r w:rsidR="00C157EC" w:rsidRPr="006D0A7C">
        <w:t xml:space="preserve"> </w:t>
      </w:r>
      <w:r w:rsidR="00C157EC">
        <w:t>B</w:t>
      </w:r>
      <w:r>
        <w:t>9</w:t>
      </w:r>
      <w:r w:rsidR="00C157EC" w:rsidRPr="006D0A7C">
        <w:t xml:space="preserve">. </w:t>
      </w:r>
      <w:r w:rsidR="00C157EC" w:rsidRPr="00F52938">
        <w:t xml:space="preserve">Historical and Projected </w:t>
      </w:r>
      <w:r w:rsidR="00C157EC">
        <w:t>Demand for the Commission</w:t>
      </w:r>
      <w:r w:rsidR="00D41F40">
        <w:t>er’s Districts in Terms of FTEs,</w:t>
      </w:r>
      <w:r w:rsidR="00C157EC">
        <w:t xml:space="preserve"> </w:t>
      </w:r>
      <w:r w:rsidR="00C157EC" w:rsidRPr="00F52938">
        <w:t>200</w:t>
      </w:r>
      <w:r w:rsidR="00C157EC">
        <w:t>8</w:t>
      </w:r>
      <w:r w:rsidR="00C157EC" w:rsidRPr="00673C53">
        <w:t>–</w:t>
      </w:r>
      <w:r w:rsidR="00C157EC">
        <w:t>0</w:t>
      </w:r>
      <w:r w:rsidR="00C157EC" w:rsidRPr="00F52938">
        <w:t xml:space="preserve">9 </w:t>
      </w:r>
      <w:proofErr w:type="gramStart"/>
      <w:r w:rsidR="00C157EC">
        <w:t>T</w:t>
      </w:r>
      <w:r w:rsidR="00C157EC" w:rsidRPr="00F52938">
        <w:t>hrough</w:t>
      </w:r>
      <w:proofErr w:type="gramEnd"/>
      <w:r w:rsidR="00C157EC" w:rsidRPr="00F52938">
        <w:t xml:space="preserve"> 20</w:t>
      </w:r>
      <w:r w:rsidR="00C157EC">
        <w:t>23</w:t>
      </w:r>
      <w:r w:rsidR="00C157EC" w:rsidRPr="00673C53">
        <w:t>–</w:t>
      </w:r>
      <w:r w:rsidR="00C157EC" w:rsidRPr="00F52938">
        <w:t>24</w:t>
      </w:r>
    </w:p>
    <w:p w:rsidR="00C157EC" w:rsidRDefault="00C157EC" w:rsidP="00421188">
      <w:pPr>
        <w:pStyle w:val="FigurePlacement"/>
      </w:pPr>
      <w:r w:rsidRPr="001253FD">
        <w:rPr>
          <w:noProof/>
          <w:lang w:eastAsia="zh-CN" w:bidi="km-KH"/>
        </w:rPr>
        <w:drawing>
          <wp:inline distT="0" distB="0" distL="0" distR="0">
            <wp:extent cx="5612684" cy="3657600"/>
            <wp:effectExtent l="19050" t="0" r="7066" b="0"/>
            <wp:docPr id="49" name="Picture 49" descr="Figure B9. Historical and Projected Demand for the Commissioner’s Districts in Terms of FTE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7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59" t="3871" r="4865" b="7118"/>
                    <a:stretch/>
                  </pic:blipFill>
                  <pic:spPr bwMode="auto">
                    <a:xfrm>
                      <a:off x="0" y="0"/>
                      <a:ext cx="5612684"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Pr="006D0A7C" w:rsidRDefault="00C157EC" w:rsidP="00421188">
      <w:pPr>
        <w:pStyle w:val="BodyText"/>
      </w:pPr>
      <w:r w:rsidRPr="003E7984">
        <w:t xml:space="preserve">In general, these results suggest that </w:t>
      </w:r>
      <w:r>
        <w:t>demand is declining</w:t>
      </w:r>
      <w:r w:rsidR="00A4614C">
        <w:t xml:space="preserve"> in regions as it is statewide.</w:t>
      </w:r>
      <w:r>
        <w:t xml:space="preserve"> This finding should not be surprising as we project that enrollment will decline for all regions, as it has statewide. The slight variation we see in the Commissioner’s Districts is more an indication of recent historical volatility than a different projected trend. However, this discrepancy is noteworthy because, to the extent that historical volatility is indicative of future volatility in staffing, there may be an error in our projections. This is because we are calculating demand based on three-year average pupil-teacher ratios, and thus smoothing out this volatility in projected years. For this reason, policymakers may want to monitor staffing trends in the Commissioner’s Districts to see if this volatility continues over the next few years. Moreover, they may want to investigate the root cause of this volatility to better understand the dynamics influencing the above findings. </w:t>
      </w:r>
    </w:p>
    <w:p w:rsidR="00C157EC" w:rsidRPr="00EB58A1" w:rsidRDefault="00C157EC" w:rsidP="00A46F58">
      <w:pPr>
        <w:pStyle w:val="BodyText"/>
        <w:rPr>
          <w:rFonts w:cstheme="majorHAnsi"/>
        </w:rPr>
      </w:pPr>
      <w:r w:rsidRPr="00A46F58">
        <w:rPr>
          <w:rFonts w:asciiTheme="majorHAnsi" w:hAnsiTheme="majorHAnsi" w:cstheme="majorHAnsi"/>
          <w:b/>
        </w:rPr>
        <w:t>NCES Locale</w:t>
      </w:r>
    </w:p>
    <w:p w:rsidR="00C157EC" w:rsidRPr="00421188" w:rsidRDefault="00C157EC" w:rsidP="00421188">
      <w:pPr>
        <w:pStyle w:val="BodyText"/>
      </w:pPr>
      <w:r>
        <w:t>When considering demand projections by NCES locale, we find the results to be generally very much in line with the aggregate demand projections (</w:t>
      </w:r>
      <w:r w:rsidR="00FC31F1">
        <w:t>Table</w:t>
      </w:r>
      <w:r>
        <w:t xml:space="preserve"> </w:t>
      </w:r>
      <w:r w:rsidR="00FC31F1">
        <w:t>B14</w:t>
      </w:r>
      <w:r>
        <w:t>). Specifically, teacher demand is projected to decline in most locales between 2013</w:t>
      </w:r>
      <w:r w:rsidRPr="001D4186">
        <w:t>–</w:t>
      </w:r>
      <w:r>
        <w:t>14 and 2023</w:t>
      </w:r>
      <w:r w:rsidRPr="001D4186">
        <w:t>–</w:t>
      </w:r>
      <w:r>
        <w:t xml:space="preserve">24. The largest projected relative change is for rural districts, which are projected to decline by 745 FTEs (10.54 percent) in total over the 10-year period. We also find that the largest absolute decline in demand will be for </w:t>
      </w:r>
      <w:r w:rsidR="00090E9F">
        <w:t>S</w:t>
      </w:r>
      <w:r>
        <w:t xml:space="preserve">uburb districts, which are expected to have a drop in demand of 3,120 FTEs (6.59 percent). Finally, a much smaller projected change in demand is calculated for </w:t>
      </w:r>
      <w:r w:rsidR="00090E9F">
        <w:t>C</w:t>
      </w:r>
      <w:r>
        <w:t xml:space="preserve">ity districts. Specifically, demand in these districts is expected to increase an average of 0.11 percent per year over the period, amounting to an overall increase of 122 FTEs (1.10 percent). Not surprisingly, this pattern is similar to the trend for Commissioner’s Districts (which consist entirely of urban districts). In addition, it is noteworthy that the projected decline in </w:t>
      </w:r>
      <w:r w:rsidR="00090E9F">
        <w:t>S</w:t>
      </w:r>
      <w:r>
        <w:t xml:space="preserve">uburb locales in absolute terms is nearly as large as projected declines statewide. This finding suggests that these districts are driving the statewide trend, which may not be surprising as they make up about 65 percent of all districts and, on average, about 70 percent of demand in historical years. Trends in historical and projected demand for districts in suburban locales can be seen in </w:t>
      </w:r>
      <w:r w:rsidR="00F11661">
        <w:t>Figure</w:t>
      </w:r>
      <w:r>
        <w:t xml:space="preserve"> </w:t>
      </w:r>
      <w:r w:rsidR="00FC31F1">
        <w:t>B10</w:t>
      </w:r>
      <w:r>
        <w:t>.</w:t>
      </w:r>
    </w:p>
    <w:p w:rsidR="00C157EC" w:rsidRPr="00421188" w:rsidRDefault="00FC31F1" w:rsidP="00421188">
      <w:pPr>
        <w:pStyle w:val="ExhibitTitle"/>
      </w:pPr>
      <w:r>
        <w:t>Table</w:t>
      </w:r>
      <w:r w:rsidR="00C157EC">
        <w:t xml:space="preserve"> B</w:t>
      </w:r>
      <w:r>
        <w:t>14</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Demand by NCES Locale</w:t>
      </w:r>
      <w:r w:rsidR="00D41F40">
        <w:t>,</w:t>
      </w:r>
      <w:r w:rsidR="00C157EC" w:rsidRPr="002B58FC">
        <w:t xml:space="preserve"> </w:t>
      </w:r>
      <w:r w:rsidR="00787BB7">
        <w:t xml:space="preserve">  </w:t>
      </w:r>
      <w:r w:rsidR="00C157EC">
        <w:t>2013</w:t>
      </w:r>
      <w:r w:rsidR="00C157EC" w:rsidRPr="001D4186">
        <w:t>–</w:t>
      </w:r>
      <w:r w:rsidR="00C157EC">
        <w:t>14</w:t>
      </w:r>
      <w:r w:rsidR="0092042A">
        <w:t xml:space="preserve"> </w:t>
      </w:r>
      <w:proofErr w:type="gramStart"/>
      <w:r w:rsidR="0092042A">
        <w:t>Through</w:t>
      </w:r>
      <w:proofErr w:type="gramEnd"/>
      <w:r w:rsidR="0092042A">
        <w:t xml:space="preserve"> </w:t>
      </w:r>
      <w:r w:rsidR="00C157EC">
        <w:t>2023</w:t>
      </w:r>
      <w:r w:rsidR="00C157EC" w:rsidRPr="001D4186">
        <w:t>–</w:t>
      </w:r>
      <w:r w:rsidR="00D41F40">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2"/>
        <w:gridCol w:w="2676"/>
        <w:gridCol w:w="1939"/>
        <w:gridCol w:w="1933"/>
      </w:tblGrid>
      <w:tr w:rsidR="00421188" w:rsidTr="00123319">
        <w:trPr>
          <w:cnfStyle w:val="100000000000"/>
        </w:trPr>
        <w:tc>
          <w:tcPr>
            <w:tcW w:w="1586" w:type="pct"/>
            <w:tcBorders>
              <w:bottom w:val="single" w:sz="4" w:space="0" w:color="auto"/>
            </w:tcBorders>
          </w:tcPr>
          <w:p w:rsidR="00C157EC" w:rsidRDefault="00C157EC" w:rsidP="00123319">
            <w:pPr>
              <w:pStyle w:val="TableText"/>
              <w:jc w:val="center"/>
              <w:rPr>
                <w:rFonts w:ascii="Times New Roman" w:hAnsi="Times New Roman"/>
                <w:sz w:val="24"/>
                <w:szCs w:val="24"/>
              </w:rPr>
            </w:pPr>
            <w:r>
              <w:t>NCES Locale</w:t>
            </w:r>
          </w:p>
        </w:tc>
        <w:tc>
          <w:tcPr>
            <w:tcW w:w="1395" w:type="pct"/>
            <w:tcBorders>
              <w:bottom w:val="single" w:sz="4" w:space="0" w:color="auto"/>
            </w:tcBorders>
          </w:tcPr>
          <w:p w:rsidR="00C157EC" w:rsidRDefault="00C157EC" w:rsidP="00421188">
            <w:pPr>
              <w:pStyle w:val="TableTextCentered"/>
              <w:rPr>
                <w:rFonts w:ascii="Times New Roman" w:hAnsi="Times New Roman"/>
                <w:sz w:val="24"/>
                <w:szCs w:val="24"/>
              </w:rPr>
            </w:pPr>
            <w:r>
              <w:t>A</w:t>
            </w:r>
            <w:r w:rsidRPr="00C20B19">
              <w:t xml:space="preserve">verage </w:t>
            </w:r>
            <w:r>
              <w:t>Annual Percent</w:t>
            </w:r>
            <w:r w:rsidRPr="00C20B19">
              <w:t xml:space="preserve"> </w:t>
            </w:r>
            <w:r>
              <w:t>C</w:t>
            </w:r>
            <w:r w:rsidRPr="00C20B19">
              <w:t>hange</w:t>
            </w:r>
            <w:r>
              <w:t>:</w:t>
            </w:r>
            <w:r w:rsidRPr="00C20B19">
              <w:t xml:space="preserve"> 201</w:t>
            </w:r>
            <w:r>
              <w:t>3</w:t>
            </w:r>
            <w:r w:rsidRPr="001D4186">
              <w:t>–</w:t>
            </w:r>
            <w:r w:rsidRPr="00C20B19">
              <w:t>1</w:t>
            </w:r>
            <w:r>
              <w:t>4</w:t>
            </w:r>
            <w:r w:rsidRPr="00C20B19">
              <w:t xml:space="preserve"> </w:t>
            </w:r>
            <w:r w:rsidR="00123319">
              <w:t>Through</w:t>
            </w:r>
            <w:r w:rsidR="00123319" w:rsidRPr="00C20B19">
              <w:t xml:space="preserve"> </w:t>
            </w:r>
            <w:r w:rsidRPr="00C20B19">
              <w:t>2023</w:t>
            </w:r>
            <w:r w:rsidRPr="001D4186">
              <w:t>–</w:t>
            </w:r>
            <w:r w:rsidRPr="00C20B19">
              <w:t>24</w:t>
            </w:r>
          </w:p>
        </w:tc>
        <w:tc>
          <w:tcPr>
            <w:tcW w:w="1011" w:type="pct"/>
            <w:tcBorders>
              <w:bottom w:val="single" w:sz="4" w:space="0" w:color="auto"/>
            </w:tcBorders>
          </w:tcPr>
          <w:p w:rsidR="00C157EC" w:rsidRDefault="00C157EC" w:rsidP="00421188">
            <w:pPr>
              <w:pStyle w:val="TableTextCentered"/>
              <w:rPr>
                <w:rFonts w:ascii="Times New Roman" w:hAnsi="Times New Roman"/>
                <w:sz w:val="24"/>
                <w:szCs w:val="24"/>
              </w:rPr>
            </w:pPr>
            <w:r>
              <w:t>O</w:t>
            </w:r>
            <w:r w:rsidRPr="00C20B19">
              <w:t xml:space="preserve">verall </w:t>
            </w:r>
            <w:r>
              <w:t>Percent</w:t>
            </w:r>
            <w:r w:rsidRPr="00C20B19">
              <w:t xml:space="preserve"> </w:t>
            </w:r>
            <w:r>
              <w:t>C</w:t>
            </w:r>
            <w:r w:rsidRPr="00C20B19">
              <w:t>hange</w:t>
            </w:r>
            <w:r>
              <w:t>:</w:t>
            </w:r>
            <w:r w:rsidRPr="00C20B19">
              <w:t xml:space="preserve"> 201</w:t>
            </w:r>
            <w:r>
              <w:t>3</w:t>
            </w:r>
            <w:r w:rsidRPr="001D4186">
              <w:t>–</w:t>
            </w:r>
            <w:r w:rsidRPr="00C20B19">
              <w:t>1</w:t>
            </w:r>
            <w:r>
              <w:t>4</w:t>
            </w:r>
            <w:r w:rsidRPr="00C20B19">
              <w:t xml:space="preserve"> </w:t>
            </w:r>
            <w:r w:rsidR="00123319">
              <w:t>Through</w:t>
            </w:r>
            <w:r w:rsidR="00123319" w:rsidRPr="00C20B19">
              <w:t xml:space="preserve"> </w:t>
            </w:r>
            <w:r w:rsidRPr="00C20B19">
              <w:t>2023</w:t>
            </w:r>
            <w:r w:rsidRPr="001D4186">
              <w:t>–</w:t>
            </w:r>
            <w:r w:rsidRPr="00C20B19">
              <w:t>24</w:t>
            </w:r>
          </w:p>
        </w:tc>
        <w:tc>
          <w:tcPr>
            <w:tcW w:w="1008" w:type="pct"/>
            <w:tcBorders>
              <w:bottom w:val="single" w:sz="4" w:space="0" w:color="auto"/>
            </w:tcBorders>
          </w:tcPr>
          <w:p w:rsidR="00C157EC" w:rsidRDefault="00C157EC" w:rsidP="00421188">
            <w:pPr>
              <w:pStyle w:val="TableTextCentered"/>
              <w:rPr>
                <w:rFonts w:ascii="Times New Roman" w:hAnsi="Times New Roman"/>
                <w:sz w:val="24"/>
                <w:szCs w:val="24"/>
              </w:rPr>
            </w:pPr>
            <w:r>
              <w:t>O</w:t>
            </w:r>
            <w:r w:rsidRPr="00C20B19">
              <w:t xml:space="preserve">verall </w:t>
            </w:r>
            <w:r>
              <w:t>A</w:t>
            </w:r>
            <w:r w:rsidRPr="00C20B19">
              <w:t xml:space="preserve">bsolute </w:t>
            </w:r>
            <w:r>
              <w:t>C</w:t>
            </w:r>
            <w:r w:rsidRPr="00C20B19">
              <w:t>hange</w:t>
            </w:r>
            <w:r>
              <w:t xml:space="preserve">: </w:t>
            </w:r>
            <w:r w:rsidRPr="00C20B19">
              <w:t>201</w:t>
            </w:r>
            <w:r>
              <w:t>3</w:t>
            </w:r>
            <w:r w:rsidRPr="001D4186">
              <w:t>–</w:t>
            </w:r>
            <w:r w:rsidRPr="00C20B19">
              <w:t>1</w:t>
            </w:r>
            <w:r>
              <w:t>4</w:t>
            </w:r>
            <w:r w:rsidRPr="00C20B19">
              <w:t xml:space="preserve"> </w:t>
            </w:r>
            <w:r w:rsidR="00123319">
              <w:t>Through</w:t>
            </w:r>
            <w:r w:rsidR="00123319" w:rsidRPr="00C20B19">
              <w:t xml:space="preserve"> </w:t>
            </w:r>
            <w:r w:rsidRPr="00C20B19">
              <w:t>2023</w:t>
            </w:r>
            <w:r w:rsidRPr="001D4186">
              <w:t>–</w:t>
            </w:r>
            <w:r w:rsidRPr="00C20B19">
              <w:t>24</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City</w:t>
            </w:r>
          </w:p>
        </w:tc>
        <w:tc>
          <w:tcPr>
            <w:tcW w:w="1395" w:type="pct"/>
            <w:tcBorders>
              <w:bottom w:val="single" w:sz="4" w:space="0" w:color="auto"/>
            </w:tcBorders>
          </w:tcPr>
          <w:p w:rsidR="00C157EC" w:rsidRPr="00A13C01" w:rsidRDefault="00C157EC" w:rsidP="00421188">
            <w:pPr>
              <w:pStyle w:val="TableTextCentered"/>
            </w:pPr>
            <w:r w:rsidRPr="00A13C01">
              <w:t>0.11%</w:t>
            </w:r>
          </w:p>
        </w:tc>
        <w:tc>
          <w:tcPr>
            <w:tcW w:w="1011" w:type="pct"/>
            <w:tcBorders>
              <w:bottom w:val="single" w:sz="4" w:space="0" w:color="auto"/>
            </w:tcBorders>
          </w:tcPr>
          <w:p w:rsidR="00C157EC" w:rsidRPr="00A13C01" w:rsidRDefault="00C157EC" w:rsidP="00421188">
            <w:pPr>
              <w:pStyle w:val="TableTextCentered"/>
            </w:pPr>
            <w:r w:rsidRPr="00A13C01">
              <w:t>1.10%</w:t>
            </w:r>
          </w:p>
        </w:tc>
        <w:tc>
          <w:tcPr>
            <w:tcW w:w="1008" w:type="pct"/>
            <w:tcBorders>
              <w:bottom w:val="single" w:sz="4" w:space="0" w:color="auto"/>
            </w:tcBorders>
          </w:tcPr>
          <w:p w:rsidR="00C157EC" w:rsidRPr="00A13C01" w:rsidRDefault="00C157EC" w:rsidP="00421188">
            <w:pPr>
              <w:pStyle w:val="TableTextCentered"/>
            </w:pPr>
            <w:r w:rsidRPr="00A13C01">
              <w:t>122</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Suburb</w:t>
            </w:r>
          </w:p>
        </w:tc>
        <w:tc>
          <w:tcPr>
            <w:tcW w:w="1395" w:type="pct"/>
            <w:tcBorders>
              <w:bottom w:val="single" w:sz="4" w:space="0" w:color="auto"/>
            </w:tcBorders>
          </w:tcPr>
          <w:p w:rsidR="00C157EC" w:rsidRPr="00A13C01" w:rsidRDefault="00C157EC" w:rsidP="00421188">
            <w:pPr>
              <w:pStyle w:val="TableTextCentered"/>
            </w:pPr>
            <w:r w:rsidRPr="00A13C01">
              <w:t>-0.68%</w:t>
            </w:r>
          </w:p>
        </w:tc>
        <w:tc>
          <w:tcPr>
            <w:tcW w:w="1011" w:type="pct"/>
            <w:tcBorders>
              <w:bottom w:val="single" w:sz="4" w:space="0" w:color="auto"/>
            </w:tcBorders>
          </w:tcPr>
          <w:p w:rsidR="00C157EC" w:rsidRPr="00A13C01" w:rsidRDefault="00C157EC" w:rsidP="00421188">
            <w:pPr>
              <w:pStyle w:val="TableTextCentered"/>
            </w:pPr>
            <w:r w:rsidRPr="00A13C01">
              <w:t>-6.59%</w:t>
            </w:r>
          </w:p>
        </w:tc>
        <w:tc>
          <w:tcPr>
            <w:tcW w:w="1008" w:type="pct"/>
            <w:tcBorders>
              <w:bottom w:val="single" w:sz="4" w:space="0" w:color="auto"/>
            </w:tcBorders>
          </w:tcPr>
          <w:p w:rsidR="00C157EC" w:rsidRPr="00A13C01" w:rsidRDefault="00C157EC" w:rsidP="00421188">
            <w:pPr>
              <w:pStyle w:val="TableTextCentered"/>
            </w:pPr>
            <w:r w:rsidRPr="00A13C01">
              <w:t>-3,120</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Town</w:t>
            </w:r>
          </w:p>
        </w:tc>
        <w:tc>
          <w:tcPr>
            <w:tcW w:w="1395" w:type="pct"/>
            <w:tcBorders>
              <w:bottom w:val="single" w:sz="4" w:space="0" w:color="auto"/>
            </w:tcBorders>
          </w:tcPr>
          <w:p w:rsidR="00C157EC" w:rsidRPr="00A13C01" w:rsidRDefault="00C157EC" w:rsidP="00421188">
            <w:pPr>
              <w:pStyle w:val="TableTextCentered"/>
            </w:pPr>
            <w:r w:rsidRPr="00A13C01">
              <w:t>-0.95%</w:t>
            </w:r>
          </w:p>
        </w:tc>
        <w:tc>
          <w:tcPr>
            <w:tcW w:w="1011" w:type="pct"/>
            <w:tcBorders>
              <w:bottom w:val="single" w:sz="4" w:space="0" w:color="auto"/>
            </w:tcBorders>
          </w:tcPr>
          <w:p w:rsidR="00C157EC" w:rsidRPr="00A13C01" w:rsidRDefault="00C157EC" w:rsidP="00421188">
            <w:pPr>
              <w:pStyle w:val="TableTextCentered"/>
            </w:pPr>
            <w:r w:rsidRPr="00A13C01">
              <w:t>-9.11%</w:t>
            </w:r>
          </w:p>
        </w:tc>
        <w:tc>
          <w:tcPr>
            <w:tcW w:w="1008" w:type="pct"/>
            <w:tcBorders>
              <w:bottom w:val="single" w:sz="4" w:space="0" w:color="auto"/>
            </w:tcBorders>
          </w:tcPr>
          <w:p w:rsidR="00C157EC" w:rsidRPr="00A13C01" w:rsidRDefault="00C157EC" w:rsidP="00421188">
            <w:pPr>
              <w:pStyle w:val="TableTextCentered"/>
            </w:pPr>
            <w:r w:rsidRPr="00A13C01">
              <w:t>-108</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Rural</w:t>
            </w:r>
          </w:p>
        </w:tc>
        <w:tc>
          <w:tcPr>
            <w:tcW w:w="1395" w:type="pct"/>
            <w:tcBorders>
              <w:bottom w:val="single" w:sz="4" w:space="0" w:color="auto"/>
            </w:tcBorders>
          </w:tcPr>
          <w:p w:rsidR="00C157EC" w:rsidRPr="00A13C01" w:rsidRDefault="00C157EC" w:rsidP="00421188">
            <w:pPr>
              <w:pStyle w:val="TableTextCentered"/>
            </w:pPr>
            <w:r w:rsidRPr="00A13C01">
              <w:t>-1.11%</w:t>
            </w:r>
          </w:p>
        </w:tc>
        <w:tc>
          <w:tcPr>
            <w:tcW w:w="1011" w:type="pct"/>
            <w:tcBorders>
              <w:bottom w:val="single" w:sz="4" w:space="0" w:color="auto"/>
            </w:tcBorders>
          </w:tcPr>
          <w:p w:rsidR="00C157EC" w:rsidRPr="00A13C01" w:rsidRDefault="00C157EC" w:rsidP="00421188">
            <w:pPr>
              <w:pStyle w:val="TableTextCentered"/>
            </w:pPr>
            <w:r w:rsidRPr="00A13C01">
              <w:t>-10.54%</w:t>
            </w:r>
          </w:p>
        </w:tc>
        <w:tc>
          <w:tcPr>
            <w:tcW w:w="1008" w:type="pct"/>
            <w:tcBorders>
              <w:bottom w:val="single" w:sz="4" w:space="0" w:color="auto"/>
            </w:tcBorders>
          </w:tcPr>
          <w:p w:rsidR="00C157EC" w:rsidRPr="00A13C01" w:rsidRDefault="00C157EC" w:rsidP="00421188">
            <w:pPr>
              <w:pStyle w:val="TableTextCentered"/>
            </w:pPr>
            <w:r w:rsidRPr="00A13C01">
              <w:t>-745</w:t>
            </w:r>
          </w:p>
        </w:tc>
      </w:tr>
      <w:tr w:rsidR="00421188" w:rsidTr="00123319">
        <w:tc>
          <w:tcPr>
            <w:tcW w:w="1586" w:type="pct"/>
          </w:tcPr>
          <w:p w:rsidR="00C157EC" w:rsidRPr="00A13C01" w:rsidRDefault="00C157EC" w:rsidP="00123319">
            <w:pPr>
              <w:pStyle w:val="TableText"/>
              <w:jc w:val="center"/>
            </w:pPr>
            <w:r w:rsidRPr="00A13C01">
              <w:t>Statewide</w:t>
            </w:r>
          </w:p>
        </w:tc>
        <w:tc>
          <w:tcPr>
            <w:tcW w:w="1395" w:type="pct"/>
          </w:tcPr>
          <w:p w:rsidR="00C157EC" w:rsidRPr="00A13C01" w:rsidRDefault="00C157EC" w:rsidP="00421188">
            <w:pPr>
              <w:pStyle w:val="TableTextCentered"/>
            </w:pPr>
            <w:r w:rsidRPr="00A13C01">
              <w:t>-0.59%</w:t>
            </w:r>
          </w:p>
        </w:tc>
        <w:tc>
          <w:tcPr>
            <w:tcW w:w="1011" w:type="pct"/>
          </w:tcPr>
          <w:p w:rsidR="00C157EC" w:rsidRPr="00A13C01" w:rsidRDefault="00C157EC" w:rsidP="00421188">
            <w:pPr>
              <w:pStyle w:val="TableTextCentered"/>
            </w:pPr>
            <w:r w:rsidRPr="00A13C01">
              <w:t>-5.77%</w:t>
            </w:r>
          </w:p>
        </w:tc>
        <w:tc>
          <w:tcPr>
            <w:tcW w:w="1008" w:type="pct"/>
          </w:tcPr>
          <w:p w:rsidR="00C157EC" w:rsidRPr="00A13C01" w:rsidRDefault="00C157EC" w:rsidP="00421188">
            <w:pPr>
              <w:pStyle w:val="TableTextCentered"/>
            </w:pPr>
            <w:r w:rsidRPr="00A13C01">
              <w:t>-3,851</w:t>
            </w:r>
          </w:p>
        </w:tc>
      </w:tr>
    </w:tbl>
    <w:p w:rsidR="00C157EC" w:rsidRDefault="00FC31F1" w:rsidP="00421188">
      <w:pPr>
        <w:pStyle w:val="ExhibitTitle"/>
      </w:pPr>
      <w:r>
        <w:t>Figure</w:t>
      </w:r>
      <w:r w:rsidR="00C157EC">
        <w:t xml:space="preserve"> B</w:t>
      </w:r>
      <w:r>
        <w:t>10</w:t>
      </w:r>
      <w:r w:rsidR="00C157EC" w:rsidRPr="006D0A7C">
        <w:t xml:space="preserve">. </w:t>
      </w:r>
      <w:r w:rsidR="00C157EC" w:rsidRPr="002B58FC">
        <w:t>Historical and Projected</w:t>
      </w:r>
      <w:r w:rsidR="00C157EC">
        <w:t xml:space="preserve"> Demand for Teachers in </w:t>
      </w:r>
      <w:r w:rsidR="00D41F40">
        <w:t>Suburb Locales in Terms of FTEs,</w:t>
      </w:r>
      <w:r w:rsidR="00C157EC" w:rsidRPr="002B58FC">
        <w:t xml:space="preserve"> 20</w:t>
      </w:r>
      <w:r w:rsidR="00C157EC">
        <w:t>08</w:t>
      </w:r>
      <w:r w:rsidR="00C157EC" w:rsidRPr="001D4186">
        <w:t>–</w:t>
      </w:r>
      <w:r w:rsidR="00C157EC" w:rsidRPr="002B58FC">
        <w:t xml:space="preserve">09 </w:t>
      </w:r>
      <w:proofErr w:type="gramStart"/>
      <w:r w:rsidR="00C157EC">
        <w:t>T</w:t>
      </w:r>
      <w:r w:rsidR="00C157EC" w:rsidRPr="002B58FC">
        <w:t>hrough</w:t>
      </w:r>
      <w:proofErr w:type="gramEnd"/>
      <w:r w:rsidR="00C157EC" w:rsidRPr="002B58FC">
        <w:t xml:space="preserve"> 20</w:t>
      </w:r>
      <w:r w:rsidR="00C157EC">
        <w:t>23</w:t>
      </w:r>
      <w:r w:rsidR="00C157EC" w:rsidRPr="001D4186">
        <w:t>–</w:t>
      </w:r>
      <w:r w:rsidR="00C157EC" w:rsidRPr="002B58FC">
        <w:t>24</w:t>
      </w:r>
    </w:p>
    <w:p w:rsidR="00C157EC" w:rsidRDefault="00C157EC" w:rsidP="00421188">
      <w:pPr>
        <w:pStyle w:val="FigurePlacement"/>
      </w:pPr>
      <w:r w:rsidRPr="004F06B8">
        <w:rPr>
          <w:noProof/>
          <w:lang w:eastAsia="zh-CN" w:bidi="km-KH"/>
        </w:rPr>
        <w:drawing>
          <wp:inline distT="0" distB="0" distL="0" distR="0">
            <wp:extent cx="5621867" cy="3657600"/>
            <wp:effectExtent l="19050" t="0" r="0" b="0"/>
            <wp:docPr id="54" name="Picture 54" descr="Figure B10. Historical and Projected Demand for Teachers in Suburb Locales in Terms of FTE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7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02" t="3539" r="5201" b="7282"/>
                    <a:stretch/>
                  </pic:blipFill>
                  <pic:spPr bwMode="auto">
                    <a:xfrm>
                      <a:off x="0" y="0"/>
                      <a:ext cx="5621867"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Pr="00421188" w:rsidRDefault="00C157EC" w:rsidP="00421188">
      <w:pPr>
        <w:pStyle w:val="BodyText"/>
      </w:pPr>
      <w:r w:rsidRPr="00B7130E">
        <w:t xml:space="preserve">As with the demand projections by region, these </w:t>
      </w:r>
      <w:r>
        <w:t>results</w:t>
      </w:r>
      <w:r w:rsidRPr="00B7130E">
        <w:t xml:space="preserve"> suggest that</w:t>
      </w:r>
      <w:r>
        <w:t xml:space="preserve"> expected demand by locale does not deviate from aggregate trends a great deal.</w:t>
      </w:r>
    </w:p>
    <w:p w:rsidR="007858C8" w:rsidRDefault="007858C8">
      <w:pPr>
        <w:spacing w:after="200" w:line="276" w:lineRule="auto"/>
        <w:rPr>
          <w:rFonts w:asciiTheme="majorHAnsi" w:hAnsiTheme="majorHAnsi" w:cstheme="majorHAnsi"/>
          <w:b/>
        </w:rPr>
      </w:pPr>
      <w:r>
        <w:rPr>
          <w:rFonts w:asciiTheme="majorHAnsi" w:hAnsiTheme="majorHAnsi" w:cstheme="majorHAnsi"/>
          <w:b/>
        </w:rPr>
        <w:br w:type="page"/>
      </w:r>
    </w:p>
    <w:p w:rsidR="00C157EC" w:rsidRPr="00EB58A1" w:rsidRDefault="00C157EC" w:rsidP="00A46F58">
      <w:pPr>
        <w:pStyle w:val="BodyText"/>
        <w:rPr>
          <w:rFonts w:cstheme="majorHAnsi"/>
        </w:rPr>
      </w:pPr>
      <w:r w:rsidRPr="00A46F58">
        <w:rPr>
          <w:rFonts w:asciiTheme="majorHAnsi" w:hAnsiTheme="majorHAnsi" w:cstheme="majorHAnsi"/>
          <w:b/>
        </w:rPr>
        <w:t xml:space="preserve">Top </w:t>
      </w:r>
      <w:r w:rsidR="003F4F9F">
        <w:rPr>
          <w:rFonts w:asciiTheme="majorHAnsi" w:hAnsiTheme="majorHAnsi" w:cstheme="majorHAnsi"/>
          <w:b/>
        </w:rPr>
        <w:t>SO</w:t>
      </w:r>
      <w:r w:rsidR="003F4F9F" w:rsidRPr="00A46F58">
        <w:rPr>
          <w:rFonts w:asciiTheme="majorHAnsi" w:hAnsiTheme="majorHAnsi" w:cstheme="majorHAnsi"/>
          <w:b/>
        </w:rPr>
        <w:t xml:space="preserve"> </w:t>
      </w:r>
      <w:r w:rsidRPr="00A46F58">
        <w:rPr>
          <w:rFonts w:asciiTheme="majorHAnsi" w:hAnsiTheme="majorHAnsi" w:cstheme="majorHAnsi"/>
          <w:b/>
        </w:rPr>
        <w:t>Areas</w:t>
      </w:r>
    </w:p>
    <w:p w:rsidR="00C157EC" w:rsidRDefault="00C157EC" w:rsidP="00421188">
      <w:pPr>
        <w:pStyle w:val="BodyText"/>
      </w:pPr>
      <w:r>
        <w:t xml:space="preserve">Results of the demand projections by </w:t>
      </w:r>
      <w:r w:rsidR="003F4F9F">
        <w:t xml:space="preserve">SO </w:t>
      </w:r>
      <w:r>
        <w:t xml:space="preserve">geographic area around key </w:t>
      </w:r>
      <w:r w:rsidR="003F4F9F">
        <w:t xml:space="preserve">SOs </w:t>
      </w:r>
      <w:r>
        <w:t>mirror the aggregate demand projections (</w:t>
      </w:r>
      <w:r w:rsidR="00FC31F1">
        <w:t>Table</w:t>
      </w:r>
      <w:r>
        <w:t xml:space="preserve"> </w:t>
      </w:r>
      <w:r w:rsidR="00FC31F1">
        <w:t>B1</w:t>
      </w:r>
      <w:r>
        <w:t xml:space="preserve">5). All </w:t>
      </w:r>
      <w:r w:rsidR="003F4F9F">
        <w:t xml:space="preserve">SO </w:t>
      </w:r>
      <w:r>
        <w:t>areas are projected to see a small decline in demand over the next 10 years. In particular, districts in the area near the American International College are expected to see the largest decline, 0.79 percent, on average, each year between 2013</w:t>
      </w:r>
      <w:r w:rsidRPr="001D4186">
        <w:t>–</w:t>
      </w:r>
      <w:r>
        <w:t>14 and 2023</w:t>
      </w:r>
      <w:r w:rsidRPr="001D4186">
        <w:t>–</w:t>
      </w:r>
      <w:r>
        <w:t>24, with a total decline of 424 FTEs (7.62 percent) over the same period. The smallest projected decline is for districts in the area around Salem State University, with a projected decline of 0.13 percent, on average, each year between 2013</w:t>
      </w:r>
      <w:r w:rsidRPr="001D4186">
        <w:t>–</w:t>
      </w:r>
      <w:r>
        <w:t>14 and 2023</w:t>
      </w:r>
      <w:r w:rsidRPr="001D4186">
        <w:t>–</w:t>
      </w:r>
      <w:r>
        <w:t>24, and a total decline of only 348 FTEs (1.33 percent) over the same time period.</w:t>
      </w:r>
    </w:p>
    <w:p w:rsidR="00C157EC" w:rsidRDefault="00FC31F1" w:rsidP="00A46F58">
      <w:pPr>
        <w:pStyle w:val="ExhibitTitle"/>
      </w:pPr>
      <w:r>
        <w:t>Table</w:t>
      </w:r>
      <w:r w:rsidR="00C157EC" w:rsidRPr="000331C5">
        <w:t xml:space="preserve"> </w:t>
      </w:r>
      <w:r w:rsidR="00C157EC">
        <w:t>B</w:t>
      </w:r>
      <w:r>
        <w:t>1</w:t>
      </w:r>
      <w:r w:rsidR="00C157EC">
        <w:t>5</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 xml:space="preserve">Demand by </w:t>
      </w:r>
      <w:r w:rsidR="003F4F9F">
        <w:t xml:space="preserve">SO </w:t>
      </w:r>
      <w:r w:rsidR="00C157EC">
        <w:t>Area</w:t>
      </w:r>
      <w:r w:rsidR="00D41F40">
        <w:t xml:space="preserve">, </w:t>
      </w:r>
      <w:r w:rsidR="00C157EC">
        <w:t>2013</w:t>
      </w:r>
      <w:r w:rsidR="00C157EC" w:rsidRPr="0046745B">
        <w:t>–</w:t>
      </w:r>
      <w:r w:rsidR="00C157EC">
        <w:t>14</w:t>
      </w:r>
      <w:r w:rsidR="0092042A">
        <w:t xml:space="preserve"> </w:t>
      </w:r>
      <w:proofErr w:type="gramStart"/>
      <w:r w:rsidR="0092042A">
        <w:t>Through</w:t>
      </w:r>
      <w:proofErr w:type="gramEnd"/>
      <w:r w:rsidR="0092042A">
        <w:t xml:space="preserve"> </w:t>
      </w:r>
      <w:r w:rsidR="00C157EC">
        <w:t>2023</w:t>
      </w:r>
      <w:r w:rsidR="00C157EC" w:rsidRPr="0046745B">
        <w:t>–</w:t>
      </w:r>
      <w:r w:rsidR="00D41F40">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1"/>
        <w:gridCol w:w="2677"/>
        <w:gridCol w:w="1939"/>
        <w:gridCol w:w="1933"/>
      </w:tblGrid>
      <w:tr w:rsidR="00C157EC" w:rsidTr="00123319">
        <w:trPr>
          <w:cnfStyle w:val="100000000000"/>
        </w:trPr>
        <w:tc>
          <w:tcPr>
            <w:tcW w:w="2965" w:type="dxa"/>
            <w:tcBorders>
              <w:bottom w:val="single" w:sz="4" w:space="0" w:color="auto"/>
            </w:tcBorders>
          </w:tcPr>
          <w:p w:rsidR="00C157EC" w:rsidRDefault="003F4F9F" w:rsidP="00123319">
            <w:pPr>
              <w:pStyle w:val="TableText"/>
              <w:jc w:val="center"/>
              <w:rPr>
                <w:rFonts w:ascii="Times New Roman" w:hAnsi="Times New Roman"/>
                <w:sz w:val="24"/>
                <w:szCs w:val="24"/>
              </w:rPr>
            </w:pPr>
            <w:r>
              <w:t xml:space="preserve">SO </w:t>
            </w:r>
            <w:r w:rsidR="00C157EC">
              <w:t>Area</w:t>
            </w:r>
          </w:p>
        </w:tc>
        <w:tc>
          <w:tcPr>
            <w:tcW w:w="2610" w:type="dxa"/>
            <w:tcBorders>
              <w:bottom w:val="single" w:sz="4" w:space="0" w:color="auto"/>
            </w:tcBorders>
          </w:tcPr>
          <w:p w:rsidR="00C157EC" w:rsidRDefault="00C157EC" w:rsidP="00421188">
            <w:pPr>
              <w:pStyle w:val="TableTextCentered"/>
              <w:rPr>
                <w:rFonts w:ascii="Times New Roman" w:hAnsi="Times New Roman"/>
                <w:sz w:val="24"/>
                <w:szCs w:val="24"/>
              </w:rPr>
            </w:pPr>
            <w:r>
              <w:t>A</w:t>
            </w:r>
            <w:r w:rsidRPr="00C20B19">
              <w:t xml:space="preserve">verage </w:t>
            </w:r>
            <w:r>
              <w:t>Annual Percent</w:t>
            </w:r>
            <w:r w:rsidRPr="00C20B19">
              <w:t xml:space="preserve"> </w:t>
            </w:r>
            <w:r>
              <w:t>C</w:t>
            </w:r>
            <w:r w:rsidRPr="00C20B19">
              <w:t>hange</w:t>
            </w:r>
            <w:r>
              <w:t>:</w:t>
            </w:r>
            <w:r w:rsidRPr="00C20B19">
              <w:t xml:space="preserve"> 201</w:t>
            </w:r>
            <w:r>
              <w:t>3</w:t>
            </w:r>
            <w:r w:rsidRPr="0046745B">
              <w:t>–</w:t>
            </w:r>
            <w:r w:rsidRPr="00C20B19">
              <w:t>1</w:t>
            </w:r>
            <w:r>
              <w:t>4</w:t>
            </w:r>
            <w:r w:rsidRPr="00C20B19">
              <w:t xml:space="preserve"> </w:t>
            </w:r>
            <w:r w:rsidR="00123319">
              <w:t>Through</w:t>
            </w:r>
            <w:r w:rsidR="00123319" w:rsidRPr="00C20B19">
              <w:t xml:space="preserve"> </w:t>
            </w:r>
            <w:r w:rsidRPr="00C20B19">
              <w:t>2023</w:t>
            </w:r>
            <w:r w:rsidRPr="0046745B">
              <w:t>–</w:t>
            </w:r>
            <w:r w:rsidRPr="00C20B19">
              <w:t>24</w:t>
            </w:r>
          </w:p>
        </w:tc>
        <w:tc>
          <w:tcPr>
            <w:tcW w:w="1890" w:type="dxa"/>
            <w:tcBorders>
              <w:bottom w:val="single" w:sz="4" w:space="0" w:color="auto"/>
            </w:tcBorders>
          </w:tcPr>
          <w:p w:rsidR="00C157EC" w:rsidRDefault="00C157EC" w:rsidP="00421188">
            <w:pPr>
              <w:pStyle w:val="TableTextCentered"/>
              <w:rPr>
                <w:rFonts w:ascii="Times New Roman" w:hAnsi="Times New Roman"/>
                <w:sz w:val="24"/>
                <w:szCs w:val="24"/>
              </w:rPr>
            </w:pPr>
            <w:r>
              <w:t>O</w:t>
            </w:r>
            <w:r w:rsidRPr="00C20B19">
              <w:t xml:space="preserve">verall </w:t>
            </w:r>
            <w:r>
              <w:t>Percent</w:t>
            </w:r>
            <w:r w:rsidRPr="00C20B19">
              <w:t xml:space="preserve"> </w:t>
            </w:r>
            <w:r>
              <w:t>C</w:t>
            </w:r>
            <w:r w:rsidRPr="00C20B19">
              <w:t>hange</w:t>
            </w:r>
            <w:r>
              <w:t>:</w:t>
            </w:r>
            <w:r w:rsidRPr="00C20B19">
              <w:t xml:space="preserve"> 201</w:t>
            </w:r>
            <w:r>
              <w:t>3</w:t>
            </w:r>
            <w:r w:rsidRPr="0046745B">
              <w:t>–</w:t>
            </w:r>
            <w:r w:rsidRPr="00C20B19">
              <w:t>1</w:t>
            </w:r>
            <w:r>
              <w:t>4</w:t>
            </w:r>
            <w:r w:rsidRPr="00C20B19">
              <w:t xml:space="preserve"> </w:t>
            </w:r>
            <w:r w:rsidR="00123319">
              <w:t>Through</w:t>
            </w:r>
            <w:r w:rsidR="00123319" w:rsidRPr="00C20B19">
              <w:t xml:space="preserve"> </w:t>
            </w:r>
            <w:r w:rsidRPr="00C20B19">
              <w:t>2023</w:t>
            </w:r>
            <w:r w:rsidRPr="0046745B">
              <w:t>–</w:t>
            </w:r>
            <w:r w:rsidRPr="00C20B19">
              <w:t>24</w:t>
            </w:r>
          </w:p>
        </w:tc>
        <w:tc>
          <w:tcPr>
            <w:tcW w:w="1885" w:type="dxa"/>
            <w:tcBorders>
              <w:bottom w:val="single" w:sz="4" w:space="0" w:color="auto"/>
            </w:tcBorders>
          </w:tcPr>
          <w:p w:rsidR="00C157EC" w:rsidRDefault="00C157EC" w:rsidP="00421188">
            <w:pPr>
              <w:pStyle w:val="TableTextCentered"/>
              <w:rPr>
                <w:rFonts w:ascii="Times New Roman" w:hAnsi="Times New Roman"/>
                <w:sz w:val="24"/>
                <w:szCs w:val="24"/>
              </w:rPr>
            </w:pPr>
            <w:r>
              <w:t>O</w:t>
            </w:r>
            <w:r w:rsidRPr="00C20B19">
              <w:t xml:space="preserve">verall </w:t>
            </w:r>
            <w:r>
              <w:t>A</w:t>
            </w:r>
            <w:r w:rsidRPr="00C20B19">
              <w:t xml:space="preserve">bsolute </w:t>
            </w:r>
            <w:r>
              <w:t>C</w:t>
            </w:r>
            <w:r w:rsidRPr="00C20B19">
              <w:t>hange</w:t>
            </w:r>
            <w:r>
              <w:t xml:space="preserve">: </w:t>
            </w:r>
            <w:r w:rsidRPr="00C20B19">
              <w:t>201</w:t>
            </w:r>
            <w:r>
              <w:t>3</w:t>
            </w:r>
            <w:r w:rsidRPr="0046745B">
              <w:t>–</w:t>
            </w:r>
            <w:r w:rsidRPr="00C20B19">
              <w:t>1</w:t>
            </w:r>
            <w:r>
              <w:t>4</w:t>
            </w:r>
            <w:r w:rsidRPr="00C20B19">
              <w:t xml:space="preserve"> </w:t>
            </w:r>
            <w:r w:rsidR="00123319">
              <w:t>Through</w:t>
            </w:r>
            <w:r w:rsidR="00123319" w:rsidRPr="00C20B19">
              <w:t xml:space="preserve"> </w:t>
            </w:r>
            <w:r w:rsidRPr="00C20B19">
              <w:t>2023</w:t>
            </w:r>
            <w:r w:rsidRPr="0046745B">
              <w:t>–</w:t>
            </w:r>
            <w:r w:rsidRPr="00C20B19">
              <w:t>24</w:t>
            </w:r>
          </w:p>
        </w:tc>
      </w:tr>
      <w:tr w:rsidR="00421188" w:rsidTr="00123319">
        <w:tc>
          <w:tcPr>
            <w:tcW w:w="2965" w:type="dxa"/>
            <w:tcBorders>
              <w:bottom w:val="single" w:sz="4" w:space="0" w:color="auto"/>
            </w:tcBorders>
          </w:tcPr>
          <w:p w:rsidR="00C157EC" w:rsidRPr="00A13C01" w:rsidRDefault="00C157EC" w:rsidP="00123319">
            <w:pPr>
              <w:pStyle w:val="TableText"/>
              <w:jc w:val="center"/>
            </w:pPr>
            <w:r w:rsidRPr="00A13C01">
              <w:t>American International College</w:t>
            </w:r>
          </w:p>
        </w:tc>
        <w:tc>
          <w:tcPr>
            <w:tcW w:w="2610" w:type="dxa"/>
            <w:tcBorders>
              <w:bottom w:val="single" w:sz="4" w:space="0" w:color="auto"/>
            </w:tcBorders>
          </w:tcPr>
          <w:p w:rsidR="00C157EC" w:rsidRPr="00A13C01" w:rsidRDefault="00C157EC" w:rsidP="00421188">
            <w:pPr>
              <w:pStyle w:val="TableTextCentered"/>
            </w:pPr>
            <w:r w:rsidRPr="00A13C01">
              <w:t>-0.79%</w:t>
            </w:r>
          </w:p>
        </w:tc>
        <w:tc>
          <w:tcPr>
            <w:tcW w:w="1890" w:type="dxa"/>
            <w:tcBorders>
              <w:bottom w:val="single" w:sz="4" w:space="0" w:color="auto"/>
            </w:tcBorders>
          </w:tcPr>
          <w:p w:rsidR="00C157EC" w:rsidRPr="00A13C01" w:rsidRDefault="00C157EC" w:rsidP="00421188">
            <w:pPr>
              <w:pStyle w:val="TableTextCentered"/>
            </w:pPr>
            <w:r w:rsidRPr="00A13C01">
              <w:t>-7.62%</w:t>
            </w:r>
          </w:p>
        </w:tc>
        <w:tc>
          <w:tcPr>
            <w:tcW w:w="1885" w:type="dxa"/>
            <w:tcBorders>
              <w:bottom w:val="single" w:sz="4" w:space="0" w:color="auto"/>
            </w:tcBorders>
          </w:tcPr>
          <w:p w:rsidR="00C157EC" w:rsidRPr="00A13C01" w:rsidRDefault="00C157EC" w:rsidP="00421188">
            <w:pPr>
              <w:pStyle w:val="TableTextCentered"/>
            </w:pPr>
            <w:r w:rsidRPr="00A13C01">
              <w:t>-424</w:t>
            </w:r>
          </w:p>
        </w:tc>
      </w:tr>
      <w:tr w:rsidR="00C157EC" w:rsidTr="00123319">
        <w:tc>
          <w:tcPr>
            <w:tcW w:w="2965" w:type="dxa"/>
            <w:tcBorders>
              <w:bottom w:val="single" w:sz="4" w:space="0" w:color="auto"/>
            </w:tcBorders>
          </w:tcPr>
          <w:p w:rsidR="00C157EC" w:rsidRPr="00A13C01" w:rsidRDefault="00C157EC" w:rsidP="00123319">
            <w:pPr>
              <w:pStyle w:val="TableText"/>
              <w:jc w:val="center"/>
            </w:pPr>
            <w:r w:rsidRPr="00A13C01">
              <w:t>Boston University</w:t>
            </w:r>
          </w:p>
        </w:tc>
        <w:tc>
          <w:tcPr>
            <w:tcW w:w="2610" w:type="dxa"/>
            <w:tcBorders>
              <w:bottom w:val="single" w:sz="4" w:space="0" w:color="auto"/>
            </w:tcBorders>
          </w:tcPr>
          <w:p w:rsidR="00C157EC" w:rsidRPr="00A13C01" w:rsidRDefault="00C157EC" w:rsidP="00421188">
            <w:pPr>
              <w:pStyle w:val="TableTextCentered"/>
            </w:pPr>
            <w:r w:rsidRPr="00A13C01">
              <w:t>-0.35%</w:t>
            </w:r>
          </w:p>
        </w:tc>
        <w:tc>
          <w:tcPr>
            <w:tcW w:w="1890" w:type="dxa"/>
            <w:tcBorders>
              <w:bottom w:val="single" w:sz="4" w:space="0" w:color="auto"/>
            </w:tcBorders>
          </w:tcPr>
          <w:p w:rsidR="00C157EC" w:rsidRPr="00A13C01" w:rsidRDefault="00C157EC" w:rsidP="00421188">
            <w:pPr>
              <w:pStyle w:val="TableTextCentered"/>
            </w:pPr>
            <w:r w:rsidRPr="00A13C01">
              <w:t>-3.41%</w:t>
            </w:r>
          </w:p>
        </w:tc>
        <w:tc>
          <w:tcPr>
            <w:tcW w:w="1885" w:type="dxa"/>
            <w:tcBorders>
              <w:bottom w:val="single" w:sz="4" w:space="0" w:color="auto"/>
            </w:tcBorders>
          </w:tcPr>
          <w:p w:rsidR="00C157EC" w:rsidRPr="00A13C01" w:rsidRDefault="00C157EC" w:rsidP="00421188">
            <w:pPr>
              <w:pStyle w:val="TableTextCentered"/>
            </w:pPr>
            <w:r w:rsidRPr="00A13C01">
              <w:t>-1,368</w:t>
            </w:r>
          </w:p>
        </w:tc>
      </w:tr>
      <w:tr w:rsidR="00421188" w:rsidTr="00123319">
        <w:tc>
          <w:tcPr>
            <w:tcW w:w="2965" w:type="dxa"/>
            <w:tcBorders>
              <w:bottom w:val="single" w:sz="4" w:space="0" w:color="auto"/>
            </w:tcBorders>
          </w:tcPr>
          <w:p w:rsidR="00C157EC" w:rsidRPr="00A13C01" w:rsidRDefault="00C157EC" w:rsidP="00123319">
            <w:pPr>
              <w:pStyle w:val="TableText"/>
              <w:jc w:val="center"/>
            </w:pPr>
            <w:r w:rsidRPr="00A13C01">
              <w:t>Bridgewater State University</w:t>
            </w:r>
          </w:p>
        </w:tc>
        <w:tc>
          <w:tcPr>
            <w:tcW w:w="2610" w:type="dxa"/>
            <w:tcBorders>
              <w:bottom w:val="single" w:sz="4" w:space="0" w:color="auto"/>
            </w:tcBorders>
          </w:tcPr>
          <w:p w:rsidR="00C157EC" w:rsidRPr="00A13C01" w:rsidRDefault="00C157EC" w:rsidP="00421188">
            <w:pPr>
              <w:pStyle w:val="TableTextCentered"/>
            </w:pPr>
            <w:r w:rsidRPr="00A13C01">
              <w:t>-0.57%</w:t>
            </w:r>
          </w:p>
        </w:tc>
        <w:tc>
          <w:tcPr>
            <w:tcW w:w="1890" w:type="dxa"/>
            <w:tcBorders>
              <w:bottom w:val="single" w:sz="4" w:space="0" w:color="auto"/>
            </w:tcBorders>
          </w:tcPr>
          <w:p w:rsidR="00C157EC" w:rsidRPr="00A13C01" w:rsidRDefault="00C157EC" w:rsidP="00421188">
            <w:pPr>
              <w:pStyle w:val="TableTextCentered"/>
            </w:pPr>
            <w:r w:rsidRPr="00A13C01">
              <w:t>-5.52%</w:t>
            </w:r>
          </w:p>
        </w:tc>
        <w:tc>
          <w:tcPr>
            <w:tcW w:w="1885" w:type="dxa"/>
            <w:tcBorders>
              <w:bottom w:val="single" w:sz="4" w:space="0" w:color="auto"/>
            </w:tcBorders>
          </w:tcPr>
          <w:p w:rsidR="00C157EC" w:rsidRPr="00A13C01" w:rsidRDefault="00C157EC" w:rsidP="00421188">
            <w:pPr>
              <w:pStyle w:val="TableTextCentered"/>
            </w:pPr>
            <w:r w:rsidRPr="00A13C01">
              <w:t>-1,422</w:t>
            </w:r>
          </w:p>
        </w:tc>
      </w:tr>
      <w:tr w:rsidR="00C157EC" w:rsidTr="00123319">
        <w:tc>
          <w:tcPr>
            <w:tcW w:w="2965" w:type="dxa"/>
            <w:tcBorders>
              <w:bottom w:val="single" w:sz="4" w:space="0" w:color="auto"/>
            </w:tcBorders>
          </w:tcPr>
          <w:p w:rsidR="00C157EC" w:rsidRPr="00A13C01" w:rsidRDefault="00C157EC" w:rsidP="00123319">
            <w:pPr>
              <w:pStyle w:val="TableText"/>
              <w:jc w:val="center"/>
            </w:pPr>
            <w:r w:rsidRPr="00A13C01">
              <w:t>Lesley University</w:t>
            </w:r>
          </w:p>
        </w:tc>
        <w:tc>
          <w:tcPr>
            <w:tcW w:w="2610" w:type="dxa"/>
            <w:tcBorders>
              <w:bottom w:val="single" w:sz="4" w:space="0" w:color="auto"/>
            </w:tcBorders>
          </w:tcPr>
          <w:p w:rsidR="00C157EC" w:rsidRPr="00A13C01" w:rsidRDefault="00C157EC" w:rsidP="00421188">
            <w:pPr>
              <w:pStyle w:val="TableTextCentered"/>
            </w:pPr>
            <w:r w:rsidRPr="00A13C01">
              <w:t>-0.62%</w:t>
            </w:r>
          </w:p>
        </w:tc>
        <w:tc>
          <w:tcPr>
            <w:tcW w:w="1890" w:type="dxa"/>
            <w:tcBorders>
              <w:bottom w:val="single" w:sz="4" w:space="0" w:color="auto"/>
            </w:tcBorders>
          </w:tcPr>
          <w:p w:rsidR="00C157EC" w:rsidRPr="00A13C01" w:rsidRDefault="00C157EC" w:rsidP="00421188">
            <w:pPr>
              <w:pStyle w:val="TableTextCentered"/>
            </w:pPr>
            <w:r w:rsidRPr="00A13C01">
              <w:t>-6.03%</w:t>
            </w:r>
          </w:p>
        </w:tc>
        <w:tc>
          <w:tcPr>
            <w:tcW w:w="1885" w:type="dxa"/>
            <w:tcBorders>
              <w:bottom w:val="single" w:sz="4" w:space="0" w:color="auto"/>
            </w:tcBorders>
          </w:tcPr>
          <w:p w:rsidR="00C157EC" w:rsidRPr="00A13C01" w:rsidRDefault="00C157EC" w:rsidP="00421188">
            <w:pPr>
              <w:pStyle w:val="TableTextCentered"/>
            </w:pPr>
            <w:r w:rsidRPr="00A13C01">
              <w:t>-951</w:t>
            </w:r>
          </w:p>
        </w:tc>
      </w:tr>
      <w:tr w:rsidR="00421188" w:rsidTr="00123319">
        <w:tc>
          <w:tcPr>
            <w:tcW w:w="2965" w:type="dxa"/>
            <w:tcBorders>
              <w:bottom w:val="single" w:sz="4" w:space="0" w:color="auto"/>
            </w:tcBorders>
          </w:tcPr>
          <w:p w:rsidR="00C157EC" w:rsidRPr="00A13C01" w:rsidRDefault="00C157EC" w:rsidP="00123319">
            <w:pPr>
              <w:pStyle w:val="TableText"/>
              <w:jc w:val="center"/>
            </w:pPr>
            <w:r w:rsidRPr="00A13C01">
              <w:t>Salem State University</w:t>
            </w:r>
          </w:p>
        </w:tc>
        <w:tc>
          <w:tcPr>
            <w:tcW w:w="2610" w:type="dxa"/>
            <w:tcBorders>
              <w:bottom w:val="single" w:sz="4" w:space="0" w:color="auto"/>
            </w:tcBorders>
          </w:tcPr>
          <w:p w:rsidR="00C157EC" w:rsidRPr="00A13C01" w:rsidRDefault="00C157EC" w:rsidP="00421188">
            <w:pPr>
              <w:pStyle w:val="TableTextCentered"/>
            </w:pPr>
            <w:r w:rsidRPr="00A13C01">
              <w:t>-0.13%</w:t>
            </w:r>
          </w:p>
        </w:tc>
        <w:tc>
          <w:tcPr>
            <w:tcW w:w="1890" w:type="dxa"/>
            <w:tcBorders>
              <w:bottom w:val="single" w:sz="4" w:space="0" w:color="auto"/>
            </w:tcBorders>
          </w:tcPr>
          <w:p w:rsidR="00C157EC" w:rsidRPr="00A13C01" w:rsidRDefault="00C157EC" w:rsidP="00421188">
            <w:pPr>
              <w:pStyle w:val="TableTextCentered"/>
            </w:pPr>
            <w:r w:rsidRPr="00A13C01">
              <w:t>-1.33%</w:t>
            </w:r>
          </w:p>
        </w:tc>
        <w:tc>
          <w:tcPr>
            <w:tcW w:w="1885" w:type="dxa"/>
            <w:tcBorders>
              <w:bottom w:val="single" w:sz="4" w:space="0" w:color="auto"/>
            </w:tcBorders>
          </w:tcPr>
          <w:p w:rsidR="00C157EC" w:rsidRPr="00A13C01" w:rsidRDefault="00C157EC" w:rsidP="00421188">
            <w:pPr>
              <w:pStyle w:val="TableTextCentered"/>
            </w:pPr>
            <w:r w:rsidRPr="00A13C01">
              <w:t>-348</w:t>
            </w:r>
          </w:p>
        </w:tc>
      </w:tr>
      <w:tr w:rsidR="00C157EC" w:rsidTr="00123319">
        <w:tc>
          <w:tcPr>
            <w:tcW w:w="2965" w:type="dxa"/>
          </w:tcPr>
          <w:p w:rsidR="00C157EC" w:rsidRPr="00A13C01" w:rsidRDefault="00C157EC" w:rsidP="00123319">
            <w:pPr>
              <w:pStyle w:val="TableText"/>
              <w:jc w:val="center"/>
            </w:pPr>
            <w:r w:rsidRPr="00A13C01">
              <w:t>Statewide</w:t>
            </w:r>
          </w:p>
        </w:tc>
        <w:tc>
          <w:tcPr>
            <w:tcW w:w="2610" w:type="dxa"/>
          </w:tcPr>
          <w:p w:rsidR="00C157EC" w:rsidRPr="00A13C01" w:rsidRDefault="00C157EC" w:rsidP="00421188">
            <w:pPr>
              <w:pStyle w:val="TableTextCentered"/>
            </w:pPr>
            <w:r w:rsidRPr="00A13C01">
              <w:t>-0.59%</w:t>
            </w:r>
          </w:p>
        </w:tc>
        <w:tc>
          <w:tcPr>
            <w:tcW w:w="1890" w:type="dxa"/>
          </w:tcPr>
          <w:p w:rsidR="00C157EC" w:rsidRPr="00A13C01" w:rsidRDefault="00C157EC" w:rsidP="00421188">
            <w:pPr>
              <w:pStyle w:val="TableTextCentered"/>
            </w:pPr>
            <w:r w:rsidRPr="00A13C01">
              <w:t>-5.77%</w:t>
            </w:r>
          </w:p>
        </w:tc>
        <w:tc>
          <w:tcPr>
            <w:tcW w:w="1885" w:type="dxa"/>
          </w:tcPr>
          <w:p w:rsidR="00C157EC" w:rsidRPr="00A13C01" w:rsidRDefault="00C157EC" w:rsidP="00421188">
            <w:pPr>
              <w:pStyle w:val="TableTextCentered"/>
            </w:pPr>
            <w:r w:rsidRPr="00A13C01">
              <w:t>-3,851</w:t>
            </w:r>
          </w:p>
        </w:tc>
      </w:tr>
    </w:tbl>
    <w:p w:rsidR="00C157EC" w:rsidRPr="00EB58A1" w:rsidRDefault="00C157EC" w:rsidP="00A46F58">
      <w:pPr>
        <w:pStyle w:val="BodyText"/>
        <w:rPr>
          <w:rFonts w:cstheme="majorHAnsi"/>
        </w:rPr>
      </w:pPr>
      <w:r w:rsidRPr="00A46F58">
        <w:rPr>
          <w:rFonts w:asciiTheme="majorHAnsi" w:hAnsiTheme="majorHAnsi" w:cstheme="majorHAnsi"/>
          <w:b/>
        </w:rPr>
        <w:t>Major Metropolitan Areas</w:t>
      </w:r>
    </w:p>
    <w:p w:rsidR="00C157EC" w:rsidRPr="00B078F1" w:rsidRDefault="00C157EC" w:rsidP="00421188">
      <w:pPr>
        <w:pStyle w:val="BodyText"/>
      </w:pPr>
      <w:r>
        <w:t xml:space="preserve">Much like the results by </w:t>
      </w:r>
      <w:r w:rsidR="003F4F9F">
        <w:t xml:space="preserve">SO </w:t>
      </w:r>
      <w:r>
        <w:t>area, the results by major metropolitan area generally mirror the aggregate results (</w:t>
      </w:r>
      <w:r w:rsidR="00FC31F1">
        <w:t>Table</w:t>
      </w:r>
      <w:r>
        <w:t xml:space="preserve"> </w:t>
      </w:r>
      <w:r w:rsidR="00FC31F1">
        <w:t>B1</w:t>
      </w:r>
      <w:r>
        <w:t>6). The largest projected declines are in the Worcester and Springfield areas, which have projected declines in demand over the 10-year period of 805 FTEs (9.51 percent) and 642 FTEs (8.22 percent), respectively. The smallest decline is seen in the Lowell/Lawrence metropolitan area, which is expected to decrease by only 48 FTEs (2.06 percent) from 2013</w:t>
      </w:r>
      <w:r w:rsidRPr="0046745B">
        <w:t>–</w:t>
      </w:r>
      <w:r>
        <w:t>14 to 2023</w:t>
      </w:r>
      <w:r w:rsidRPr="0046745B">
        <w:t>–</w:t>
      </w:r>
      <w:r>
        <w:t>24.</w:t>
      </w:r>
    </w:p>
    <w:p w:rsidR="00C157EC" w:rsidRDefault="00FC31F1" w:rsidP="00A46F58">
      <w:pPr>
        <w:pStyle w:val="ExhibitTitle"/>
      </w:pPr>
      <w:r>
        <w:t>Table</w:t>
      </w:r>
      <w:r w:rsidR="00C157EC" w:rsidRPr="000331C5">
        <w:t xml:space="preserve"> </w:t>
      </w:r>
      <w:r w:rsidR="00C157EC">
        <w:t>B</w:t>
      </w:r>
      <w:r>
        <w:t>1</w:t>
      </w:r>
      <w:r w:rsidR="00C157EC">
        <w:t>6</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Demand by Major Metropolitan Area</w:t>
      </w:r>
      <w:r w:rsidR="00D41F40">
        <w:t>,</w:t>
      </w:r>
      <w:r w:rsidR="00C157EC" w:rsidRPr="002B58FC">
        <w:t xml:space="preserve"> </w:t>
      </w:r>
      <w:r w:rsidR="00C157EC">
        <w:t>2013</w:t>
      </w:r>
      <w:r w:rsidR="00C157EC" w:rsidRPr="0046745B">
        <w:t>–</w:t>
      </w:r>
      <w:r w:rsidR="00C157EC">
        <w:t>14</w:t>
      </w:r>
      <w:r w:rsidR="0092042A">
        <w:t xml:space="preserve"> </w:t>
      </w:r>
      <w:proofErr w:type="gramStart"/>
      <w:r w:rsidR="0092042A">
        <w:t>Through</w:t>
      </w:r>
      <w:proofErr w:type="gramEnd"/>
      <w:r w:rsidR="0092042A">
        <w:t xml:space="preserve"> </w:t>
      </w:r>
      <w:r w:rsidR="00C157EC">
        <w:t>2023</w:t>
      </w:r>
      <w:r w:rsidR="00C157EC" w:rsidRPr="0046745B">
        <w:t>–</w:t>
      </w:r>
      <w:r w:rsidR="00D41F40">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2"/>
        <w:gridCol w:w="2676"/>
        <w:gridCol w:w="1939"/>
        <w:gridCol w:w="1933"/>
      </w:tblGrid>
      <w:tr w:rsidR="001C15D7" w:rsidTr="00123319">
        <w:trPr>
          <w:cnfStyle w:val="100000000000"/>
        </w:trPr>
        <w:tc>
          <w:tcPr>
            <w:tcW w:w="1586" w:type="pct"/>
            <w:tcBorders>
              <w:bottom w:val="single" w:sz="4" w:space="0" w:color="auto"/>
            </w:tcBorders>
          </w:tcPr>
          <w:p w:rsidR="001C15D7" w:rsidRDefault="001C15D7" w:rsidP="00123319">
            <w:pPr>
              <w:pStyle w:val="TableText"/>
              <w:jc w:val="center"/>
              <w:rPr>
                <w:rFonts w:ascii="Times New Roman" w:hAnsi="Times New Roman"/>
                <w:sz w:val="24"/>
                <w:szCs w:val="24"/>
              </w:rPr>
            </w:pPr>
            <w:r>
              <w:t>Major Metropolitan Area</w:t>
            </w:r>
          </w:p>
        </w:tc>
        <w:tc>
          <w:tcPr>
            <w:tcW w:w="1395" w:type="pct"/>
            <w:tcBorders>
              <w:bottom w:val="single" w:sz="4" w:space="0" w:color="auto"/>
            </w:tcBorders>
          </w:tcPr>
          <w:p w:rsidR="001C15D7" w:rsidRDefault="001C15D7" w:rsidP="00421188">
            <w:pPr>
              <w:pStyle w:val="TableTextCentered"/>
              <w:rPr>
                <w:rFonts w:ascii="Times New Roman" w:hAnsi="Times New Roman"/>
                <w:sz w:val="24"/>
                <w:szCs w:val="24"/>
              </w:rPr>
            </w:pPr>
            <w:r>
              <w:t>A</w:t>
            </w:r>
            <w:r w:rsidRPr="00C20B19">
              <w:t xml:space="preserve">verage </w:t>
            </w:r>
            <w:r>
              <w:t>Annual Percent</w:t>
            </w:r>
            <w:r w:rsidRPr="00C20B19">
              <w:t xml:space="preserve"> </w:t>
            </w:r>
            <w:r>
              <w:t>C</w:t>
            </w:r>
            <w:r w:rsidRPr="00C20B19">
              <w:t>hange</w:t>
            </w:r>
            <w:r>
              <w:t>:</w:t>
            </w:r>
            <w:r w:rsidRPr="00C20B19">
              <w:t xml:space="preserve"> 201</w:t>
            </w:r>
            <w:r>
              <w:t>3</w:t>
            </w:r>
            <w:r w:rsidRPr="0046745B">
              <w:t>–</w:t>
            </w:r>
            <w:r w:rsidRPr="00C20B19">
              <w:t>1</w:t>
            </w:r>
            <w:r>
              <w:t>4</w:t>
            </w:r>
            <w:r w:rsidRPr="00C20B19">
              <w:t xml:space="preserve"> </w:t>
            </w:r>
            <w:r w:rsidR="00123319">
              <w:t>Through</w:t>
            </w:r>
            <w:r w:rsidR="00123319" w:rsidRPr="00C20B19">
              <w:t xml:space="preserve"> </w:t>
            </w:r>
            <w:r w:rsidRPr="00C20B19">
              <w:t>2023</w:t>
            </w:r>
            <w:r w:rsidRPr="0046745B">
              <w:t>–</w:t>
            </w:r>
            <w:r w:rsidRPr="00C20B19">
              <w:t>24</w:t>
            </w:r>
          </w:p>
        </w:tc>
        <w:tc>
          <w:tcPr>
            <w:tcW w:w="1011" w:type="pct"/>
            <w:tcBorders>
              <w:bottom w:val="single" w:sz="4" w:space="0" w:color="auto"/>
            </w:tcBorders>
          </w:tcPr>
          <w:p w:rsidR="001C15D7" w:rsidRDefault="001C15D7" w:rsidP="007858C8">
            <w:pPr>
              <w:pStyle w:val="TableTextCentered"/>
              <w:rPr>
                <w:rFonts w:ascii="Times New Roman" w:hAnsi="Times New Roman"/>
                <w:sz w:val="24"/>
                <w:szCs w:val="24"/>
              </w:rPr>
            </w:pPr>
            <w:r>
              <w:t>O</w:t>
            </w:r>
            <w:r w:rsidRPr="00C20B19">
              <w:t xml:space="preserve">verall </w:t>
            </w:r>
            <w:r>
              <w:t>Percent</w:t>
            </w:r>
            <w:r w:rsidRPr="00C20B19">
              <w:t xml:space="preserve"> </w:t>
            </w:r>
            <w:r>
              <w:t>C</w:t>
            </w:r>
            <w:r w:rsidRPr="00C20B19">
              <w:t>hange</w:t>
            </w:r>
            <w:r>
              <w:t>:</w:t>
            </w:r>
            <w:r w:rsidRPr="00C20B19">
              <w:t xml:space="preserve"> 201</w:t>
            </w:r>
            <w:r>
              <w:t>3</w:t>
            </w:r>
            <w:r w:rsidRPr="0046745B">
              <w:t>–</w:t>
            </w:r>
            <w:r w:rsidRPr="00C20B19">
              <w:t>1</w:t>
            </w:r>
            <w:r>
              <w:t>4</w:t>
            </w:r>
            <w:r w:rsidRPr="00C20B19">
              <w:t xml:space="preserve"> </w:t>
            </w:r>
            <w:r w:rsidR="00123319">
              <w:t>Through</w:t>
            </w:r>
            <w:r w:rsidR="00123319" w:rsidRPr="00C20B19">
              <w:t xml:space="preserve"> </w:t>
            </w:r>
            <w:r w:rsidRPr="00C20B19">
              <w:t>2023</w:t>
            </w:r>
            <w:r w:rsidRPr="0046745B">
              <w:t>–</w:t>
            </w:r>
            <w:r w:rsidRPr="00C20B19">
              <w:t>24</w:t>
            </w:r>
          </w:p>
        </w:tc>
        <w:tc>
          <w:tcPr>
            <w:tcW w:w="1008" w:type="pct"/>
            <w:tcBorders>
              <w:bottom w:val="single" w:sz="4" w:space="0" w:color="auto"/>
            </w:tcBorders>
          </w:tcPr>
          <w:p w:rsidR="001C15D7" w:rsidRDefault="001C15D7" w:rsidP="00421188">
            <w:pPr>
              <w:pStyle w:val="TableTextCentered"/>
              <w:rPr>
                <w:rFonts w:ascii="Times New Roman" w:hAnsi="Times New Roman"/>
                <w:sz w:val="24"/>
                <w:szCs w:val="24"/>
              </w:rPr>
            </w:pPr>
            <w:r>
              <w:t>O</w:t>
            </w:r>
            <w:r w:rsidRPr="00C20B19">
              <w:t xml:space="preserve">verall </w:t>
            </w:r>
            <w:r>
              <w:t>A</w:t>
            </w:r>
            <w:r w:rsidRPr="00C20B19">
              <w:t xml:space="preserve">bsolute </w:t>
            </w:r>
            <w:r>
              <w:t>C</w:t>
            </w:r>
            <w:r w:rsidRPr="00C20B19">
              <w:t>hange</w:t>
            </w:r>
            <w:r>
              <w:t xml:space="preserve">: </w:t>
            </w:r>
            <w:r w:rsidRPr="00C20B19">
              <w:t>201</w:t>
            </w:r>
            <w:r>
              <w:t>3</w:t>
            </w:r>
            <w:r w:rsidRPr="0046745B">
              <w:t>–</w:t>
            </w:r>
            <w:r w:rsidRPr="00C20B19">
              <w:t>1</w:t>
            </w:r>
            <w:r>
              <w:t>4</w:t>
            </w:r>
            <w:r w:rsidRPr="00C20B19">
              <w:t xml:space="preserve"> </w:t>
            </w:r>
            <w:r w:rsidR="00123319">
              <w:t>Through</w:t>
            </w:r>
            <w:r w:rsidR="00123319" w:rsidRPr="00C20B19">
              <w:t xml:space="preserve"> </w:t>
            </w:r>
            <w:r w:rsidRPr="00C20B19">
              <w:t>2023</w:t>
            </w:r>
            <w:r w:rsidRPr="0046745B">
              <w:t>–</w:t>
            </w:r>
            <w:r w:rsidRPr="00C20B19">
              <w:t>24</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Boston</w:t>
            </w:r>
          </w:p>
        </w:tc>
        <w:tc>
          <w:tcPr>
            <w:tcW w:w="1395" w:type="pct"/>
            <w:tcBorders>
              <w:bottom w:val="single" w:sz="4" w:space="0" w:color="auto"/>
            </w:tcBorders>
          </w:tcPr>
          <w:p w:rsidR="00C157EC" w:rsidRPr="00A13C01" w:rsidRDefault="00C157EC" w:rsidP="00421188">
            <w:pPr>
              <w:pStyle w:val="TableTextCentered"/>
            </w:pPr>
            <w:r w:rsidRPr="00A13C01">
              <w:t>-0.43%</w:t>
            </w:r>
          </w:p>
        </w:tc>
        <w:tc>
          <w:tcPr>
            <w:tcW w:w="1011" w:type="pct"/>
            <w:tcBorders>
              <w:bottom w:val="single" w:sz="4" w:space="0" w:color="auto"/>
            </w:tcBorders>
          </w:tcPr>
          <w:p w:rsidR="00C157EC" w:rsidRPr="00A13C01" w:rsidRDefault="00C157EC" w:rsidP="00421188">
            <w:pPr>
              <w:pStyle w:val="TableTextCentered"/>
            </w:pPr>
            <w:r w:rsidRPr="00A13C01">
              <w:t>-4.21%</w:t>
            </w:r>
          </w:p>
        </w:tc>
        <w:tc>
          <w:tcPr>
            <w:tcW w:w="1008" w:type="pct"/>
            <w:tcBorders>
              <w:bottom w:val="single" w:sz="4" w:space="0" w:color="auto"/>
            </w:tcBorders>
          </w:tcPr>
          <w:p w:rsidR="00C157EC" w:rsidRPr="00A13C01" w:rsidRDefault="00C157EC" w:rsidP="00421188">
            <w:pPr>
              <w:pStyle w:val="TableTextCentered"/>
            </w:pPr>
            <w:r w:rsidRPr="00A13C01">
              <w:t>-757</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Worcester</w:t>
            </w:r>
          </w:p>
        </w:tc>
        <w:tc>
          <w:tcPr>
            <w:tcW w:w="1395" w:type="pct"/>
            <w:tcBorders>
              <w:bottom w:val="single" w:sz="4" w:space="0" w:color="auto"/>
            </w:tcBorders>
          </w:tcPr>
          <w:p w:rsidR="00C157EC" w:rsidRPr="00A13C01" w:rsidRDefault="00C157EC" w:rsidP="00421188">
            <w:pPr>
              <w:pStyle w:val="TableTextCentered"/>
            </w:pPr>
            <w:r w:rsidRPr="00A13C01">
              <w:t>-0.99%</w:t>
            </w:r>
          </w:p>
        </w:tc>
        <w:tc>
          <w:tcPr>
            <w:tcW w:w="1011" w:type="pct"/>
            <w:tcBorders>
              <w:bottom w:val="single" w:sz="4" w:space="0" w:color="auto"/>
            </w:tcBorders>
          </w:tcPr>
          <w:p w:rsidR="00C157EC" w:rsidRPr="00A13C01" w:rsidRDefault="00C157EC" w:rsidP="00421188">
            <w:pPr>
              <w:pStyle w:val="TableTextCentered"/>
            </w:pPr>
            <w:r w:rsidRPr="00A13C01">
              <w:t>-9.51%</w:t>
            </w:r>
          </w:p>
        </w:tc>
        <w:tc>
          <w:tcPr>
            <w:tcW w:w="1008" w:type="pct"/>
            <w:tcBorders>
              <w:bottom w:val="single" w:sz="4" w:space="0" w:color="auto"/>
            </w:tcBorders>
          </w:tcPr>
          <w:p w:rsidR="00C157EC" w:rsidRPr="00A13C01" w:rsidRDefault="00C157EC" w:rsidP="00421188">
            <w:pPr>
              <w:pStyle w:val="TableTextCentered"/>
            </w:pPr>
            <w:r w:rsidRPr="00A13C01">
              <w:t>-805</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Springfield</w:t>
            </w:r>
          </w:p>
        </w:tc>
        <w:tc>
          <w:tcPr>
            <w:tcW w:w="1395" w:type="pct"/>
            <w:tcBorders>
              <w:bottom w:val="single" w:sz="4" w:space="0" w:color="auto"/>
            </w:tcBorders>
          </w:tcPr>
          <w:p w:rsidR="00C157EC" w:rsidRPr="00A13C01" w:rsidRDefault="00C157EC" w:rsidP="00421188">
            <w:pPr>
              <w:pStyle w:val="TableTextCentered"/>
            </w:pPr>
            <w:r w:rsidRPr="00A13C01">
              <w:t>-0.85%</w:t>
            </w:r>
          </w:p>
        </w:tc>
        <w:tc>
          <w:tcPr>
            <w:tcW w:w="1011" w:type="pct"/>
            <w:tcBorders>
              <w:bottom w:val="single" w:sz="4" w:space="0" w:color="auto"/>
            </w:tcBorders>
          </w:tcPr>
          <w:p w:rsidR="00C157EC" w:rsidRPr="00A13C01" w:rsidRDefault="00C157EC" w:rsidP="00421188">
            <w:pPr>
              <w:pStyle w:val="TableTextCentered"/>
            </w:pPr>
            <w:r w:rsidRPr="00A13C01">
              <w:t>-8.22%</w:t>
            </w:r>
          </w:p>
        </w:tc>
        <w:tc>
          <w:tcPr>
            <w:tcW w:w="1008" w:type="pct"/>
            <w:tcBorders>
              <w:bottom w:val="single" w:sz="4" w:space="0" w:color="auto"/>
            </w:tcBorders>
          </w:tcPr>
          <w:p w:rsidR="00C157EC" w:rsidRPr="00A13C01" w:rsidRDefault="00C157EC" w:rsidP="00421188">
            <w:pPr>
              <w:pStyle w:val="TableTextCentered"/>
            </w:pPr>
            <w:r w:rsidRPr="00A13C01">
              <w:t>-642</w:t>
            </w:r>
          </w:p>
        </w:tc>
      </w:tr>
      <w:tr w:rsidR="00421188" w:rsidTr="00123319">
        <w:tc>
          <w:tcPr>
            <w:tcW w:w="1586" w:type="pct"/>
            <w:tcBorders>
              <w:bottom w:val="single" w:sz="4" w:space="0" w:color="auto"/>
            </w:tcBorders>
          </w:tcPr>
          <w:p w:rsidR="00C157EC" w:rsidRPr="00A13C01" w:rsidRDefault="00C157EC" w:rsidP="00123319">
            <w:pPr>
              <w:pStyle w:val="TableText"/>
              <w:jc w:val="center"/>
            </w:pPr>
            <w:r w:rsidRPr="00A13C01">
              <w:t>Lowell/Lawrence</w:t>
            </w:r>
          </w:p>
        </w:tc>
        <w:tc>
          <w:tcPr>
            <w:tcW w:w="1395" w:type="pct"/>
            <w:tcBorders>
              <w:bottom w:val="single" w:sz="4" w:space="0" w:color="auto"/>
            </w:tcBorders>
          </w:tcPr>
          <w:p w:rsidR="00C157EC" w:rsidRPr="00A13C01" w:rsidRDefault="00C157EC" w:rsidP="00421188">
            <w:pPr>
              <w:pStyle w:val="TableTextCentered"/>
            </w:pPr>
            <w:r w:rsidRPr="00A13C01">
              <w:t>-0.21%</w:t>
            </w:r>
          </w:p>
        </w:tc>
        <w:tc>
          <w:tcPr>
            <w:tcW w:w="1011" w:type="pct"/>
            <w:tcBorders>
              <w:bottom w:val="single" w:sz="4" w:space="0" w:color="auto"/>
            </w:tcBorders>
          </w:tcPr>
          <w:p w:rsidR="00C157EC" w:rsidRPr="00A13C01" w:rsidRDefault="00C157EC" w:rsidP="00421188">
            <w:pPr>
              <w:pStyle w:val="TableTextCentered"/>
            </w:pPr>
            <w:r w:rsidRPr="00A13C01">
              <w:t>-2.06%</w:t>
            </w:r>
          </w:p>
        </w:tc>
        <w:tc>
          <w:tcPr>
            <w:tcW w:w="1008" w:type="pct"/>
            <w:tcBorders>
              <w:bottom w:val="single" w:sz="4" w:space="0" w:color="auto"/>
            </w:tcBorders>
          </w:tcPr>
          <w:p w:rsidR="00C157EC" w:rsidRPr="00A13C01" w:rsidRDefault="00C157EC" w:rsidP="00421188">
            <w:pPr>
              <w:pStyle w:val="TableTextCentered"/>
            </w:pPr>
            <w:r w:rsidRPr="00A13C01">
              <w:t>-48</w:t>
            </w:r>
          </w:p>
        </w:tc>
      </w:tr>
      <w:tr w:rsidR="00421188" w:rsidTr="00123319">
        <w:tc>
          <w:tcPr>
            <w:tcW w:w="1586" w:type="pct"/>
          </w:tcPr>
          <w:p w:rsidR="00C157EC" w:rsidRPr="00A13C01" w:rsidRDefault="00C157EC" w:rsidP="00123319">
            <w:pPr>
              <w:pStyle w:val="TableText"/>
              <w:jc w:val="center"/>
            </w:pPr>
            <w:r w:rsidRPr="00A13C01">
              <w:t>Statewide</w:t>
            </w:r>
          </w:p>
        </w:tc>
        <w:tc>
          <w:tcPr>
            <w:tcW w:w="1395" w:type="pct"/>
          </w:tcPr>
          <w:p w:rsidR="00C157EC" w:rsidRPr="00A13C01" w:rsidRDefault="00C157EC" w:rsidP="00421188">
            <w:pPr>
              <w:pStyle w:val="TableTextCentered"/>
            </w:pPr>
            <w:r w:rsidRPr="00A13C01">
              <w:t>-0.59%</w:t>
            </w:r>
          </w:p>
        </w:tc>
        <w:tc>
          <w:tcPr>
            <w:tcW w:w="1011" w:type="pct"/>
          </w:tcPr>
          <w:p w:rsidR="00C157EC" w:rsidRPr="00A13C01" w:rsidRDefault="00C157EC" w:rsidP="00421188">
            <w:pPr>
              <w:pStyle w:val="TableTextCentered"/>
            </w:pPr>
            <w:r w:rsidRPr="00A13C01">
              <w:t>-5.77%</w:t>
            </w:r>
          </w:p>
        </w:tc>
        <w:tc>
          <w:tcPr>
            <w:tcW w:w="1008" w:type="pct"/>
          </w:tcPr>
          <w:p w:rsidR="00C157EC" w:rsidRPr="00A13C01" w:rsidRDefault="00C157EC" w:rsidP="00421188">
            <w:pPr>
              <w:pStyle w:val="TableTextCentered"/>
            </w:pPr>
            <w:r w:rsidRPr="00A13C01">
              <w:t>-3,851</w:t>
            </w:r>
          </w:p>
        </w:tc>
      </w:tr>
    </w:tbl>
    <w:p w:rsidR="00C157EC" w:rsidRDefault="00C157EC" w:rsidP="00421188">
      <w:pPr>
        <w:pStyle w:val="Heading4NoTOC"/>
      </w:pPr>
      <w:bookmarkStart w:id="172" w:name="_Toc434832157"/>
      <w:bookmarkStart w:id="173" w:name="_Toc435784262"/>
      <w:r>
        <w:t>Supply Projections</w:t>
      </w:r>
      <w:bookmarkEnd w:id="172"/>
      <w:bookmarkEnd w:id="173"/>
    </w:p>
    <w:p w:rsidR="00C157EC" w:rsidRPr="008C34B8" w:rsidRDefault="00C157EC" w:rsidP="00421188">
      <w:pPr>
        <w:pStyle w:val="BodyText"/>
      </w:pPr>
      <w:r>
        <w:t>Unlike the demand results, we find that future trends in projected supply by region and locale do deviate from the aggregate results in many cases. This deviation suggests that although predicted trends in demand are relatively consistent across the state, trends in supply vary quite a bit. This finding may point to a need for differentiated strategies to support districts from different parts of the state or locales in meeting their teacher demand. That said</w:t>
      </w:r>
      <w:proofErr w:type="gramStart"/>
      <w:r>
        <w:t>,</w:t>
      </w:r>
      <w:proofErr w:type="gramEnd"/>
      <w:r>
        <w:t xml:space="preserve"> projected changes in supply are generally more modest than the projected changes in demand, with very few overall percent changes falling above or below 5 percent. The largest projected changes in the analysis are by major metropolitan area, specifically in areas surrounding Worcester and Lowell/Lawrence.</w:t>
      </w:r>
    </w:p>
    <w:p w:rsidR="00C157EC" w:rsidRPr="00EB58A1" w:rsidRDefault="00C157EC" w:rsidP="00A46F58">
      <w:pPr>
        <w:pStyle w:val="BodyText"/>
        <w:rPr>
          <w:rFonts w:cstheme="majorHAnsi"/>
        </w:rPr>
      </w:pPr>
      <w:r w:rsidRPr="00A46F58">
        <w:rPr>
          <w:rFonts w:asciiTheme="majorHAnsi" w:hAnsiTheme="majorHAnsi" w:cstheme="majorHAnsi"/>
          <w:b/>
        </w:rPr>
        <w:t>DSAC Region</w:t>
      </w:r>
    </w:p>
    <w:p w:rsidR="00C157EC" w:rsidRDefault="00C157EC" w:rsidP="00421188">
      <w:pPr>
        <w:pStyle w:val="BodyText"/>
      </w:pPr>
      <w:r>
        <w:t>When considering supply projections by DSAC region, we find that most regions are expected to see a decline (</w:t>
      </w:r>
      <w:r w:rsidR="00FC31F1">
        <w:t>Table</w:t>
      </w:r>
      <w:r>
        <w:t xml:space="preserve"> </w:t>
      </w:r>
      <w:r w:rsidR="00FC31F1">
        <w:t>B1</w:t>
      </w:r>
      <w:r>
        <w:t>7). Specifically, in the Berkshires+, Central, Commissioner’s Districts, Greater Boston, and Pioneer Valley regions, the supply of teachers is expected to decrease between 2013</w:t>
      </w:r>
      <w:r w:rsidRPr="0046745B">
        <w:t>–</w:t>
      </w:r>
      <w:r>
        <w:t>14 and 2023</w:t>
      </w:r>
      <w:r w:rsidRPr="0046745B">
        <w:t>–</w:t>
      </w:r>
      <w:r>
        <w:t>24, ranging from a decline of 44 FTEs (1.17 percent) in Pioneer Valley to 1,094 FTEs (8.03 percent) in the Commissioner’s Districts. However, two regions, Northeast and Southeast, are expected to see overall increases in supply by 532 FTEs (5.34 percent) and 269 FTEs</w:t>
      </w:r>
      <w:r w:rsidR="00A4614C">
        <w:t xml:space="preserve"> (1.69 percent), respectively. </w:t>
      </w:r>
      <w:r>
        <w:t>Although the Greater Boston region shows overall declines in the supply of teachers from 2013</w:t>
      </w:r>
      <w:r w:rsidRPr="0046745B">
        <w:t>–</w:t>
      </w:r>
      <w:r>
        <w:t>14 to 2023</w:t>
      </w:r>
      <w:r w:rsidRPr="0046745B">
        <w:t>–</w:t>
      </w:r>
      <w:r>
        <w:t>24, this is largely due to a discrepancy between the most recent year of historical data and the first projected year where there was a sharp projected decline. However, in each subsequent year of projected supply, the trend for Greater Boston is a gradual increase in teacher supply.</w:t>
      </w:r>
    </w:p>
    <w:p w:rsidR="00C157EC" w:rsidRPr="00421188" w:rsidRDefault="00FC31F1" w:rsidP="00421188">
      <w:pPr>
        <w:pStyle w:val="ExhibitTitle"/>
      </w:pPr>
      <w:r>
        <w:t>Table</w:t>
      </w:r>
      <w:r w:rsidR="00C157EC" w:rsidRPr="000331C5">
        <w:t xml:space="preserve"> </w:t>
      </w:r>
      <w:r w:rsidR="00C157EC">
        <w:t>B</w:t>
      </w:r>
      <w:r>
        <w:t>1</w:t>
      </w:r>
      <w:r w:rsidR="00C157EC">
        <w:t>7</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Supply by DSAC Region</w:t>
      </w:r>
      <w:r w:rsidR="00D41F40">
        <w:t>,</w:t>
      </w:r>
      <w:r w:rsidR="00C157EC" w:rsidRPr="002B58FC">
        <w:t xml:space="preserve"> </w:t>
      </w:r>
      <w:r w:rsidR="00787BB7">
        <w:t xml:space="preserve">   </w:t>
      </w:r>
      <w:r w:rsidR="00C157EC">
        <w:t>2013</w:t>
      </w:r>
      <w:r w:rsidR="00C157EC" w:rsidRPr="0046745B">
        <w:t>–</w:t>
      </w:r>
      <w:r w:rsidR="00C157EC">
        <w:t>14</w:t>
      </w:r>
      <w:r w:rsidR="0092042A">
        <w:t xml:space="preserve"> </w:t>
      </w:r>
      <w:proofErr w:type="gramStart"/>
      <w:r w:rsidR="0092042A">
        <w:t>Through</w:t>
      </w:r>
      <w:proofErr w:type="gramEnd"/>
      <w:r w:rsidR="0092042A">
        <w:t xml:space="preserve"> </w:t>
      </w:r>
      <w:r w:rsidR="00C157EC">
        <w:t>2023</w:t>
      </w:r>
      <w:r w:rsidR="00C157EC" w:rsidRPr="0046745B">
        <w:t>–</w:t>
      </w:r>
      <w:r w:rsidR="00D41F40">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949"/>
        <w:gridCol w:w="2769"/>
        <w:gridCol w:w="1939"/>
        <w:gridCol w:w="1933"/>
      </w:tblGrid>
      <w:tr w:rsidR="00421188" w:rsidTr="00123319">
        <w:trPr>
          <w:cnfStyle w:val="100000000000"/>
        </w:trPr>
        <w:tc>
          <w:tcPr>
            <w:tcW w:w="1537" w:type="pct"/>
            <w:tcBorders>
              <w:bottom w:val="single" w:sz="4" w:space="0" w:color="auto"/>
            </w:tcBorders>
          </w:tcPr>
          <w:p w:rsidR="00C157EC" w:rsidRDefault="00C157EC" w:rsidP="00123319">
            <w:pPr>
              <w:pStyle w:val="TableText"/>
              <w:jc w:val="center"/>
              <w:rPr>
                <w:rFonts w:ascii="Times New Roman" w:hAnsi="Times New Roman"/>
                <w:sz w:val="24"/>
                <w:szCs w:val="24"/>
              </w:rPr>
            </w:pPr>
            <w:r>
              <w:t>DSAC Region</w:t>
            </w:r>
          </w:p>
        </w:tc>
        <w:tc>
          <w:tcPr>
            <w:tcW w:w="1443" w:type="pct"/>
            <w:tcBorders>
              <w:bottom w:val="single" w:sz="4" w:space="0" w:color="auto"/>
            </w:tcBorders>
          </w:tcPr>
          <w:p w:rsidR="00C157EC" w:rsidRDefault="00C157EC" w:rsidP="00421188">
            <w:pPr>
              <w:pStyle w:val="TableTextCentered"/>
              <w:rPr>
                <w:rFonts w:ascii="Times New Roman" w:hAnsi="Times New Roman"/>
                <w:sz w:val="24"/>
                <w:szCs w:val="24"/>
              </w:rPr>
            </w:pPr>
            <w:r>
              <w:t>A</w:t>
            </w:r>
            <w:r w:rsidRPr="00C20B19">
              <w:t xml:space="preserve">verage </w:t>
            </w:r>
            <w:r>
              <w:t>Annual Percent</w:t>
            </w:r>
            <w:r w:rsidRPr="00C20B19">
              <w:t xml:space="preserve"> </w:t>
            </w:r>
            <w:r>
              <w:t>C</w:t>
            </w:r>
            <w:r w:rsidRPr="00C20B19">
              <w:t>hange</w:t>
            </w:r>
            <w:r>
              <w:t>:</w:t>
            </w:r>
            <w:r w:rsidRPr="00C20B19">
              <w:t xml:space="preserve"> 201</w:t>
            </w:r>
            <w:r>
              <w:t>3</w:t>
            </w:r>
            <w:r w:rsidRPr="0046745B">
              <w:t>–</w:t>
            </w:r>
            <w:r w:rsidRPr="00C20B19">
              <w:t>1</w:t>
            </w:r>
            <w:r>
              <w:t>4</w:t>
            </w:r>
            <w:r w:rsidRPr="00C20B19">
              <w:t xml:space="preserve"> </w:t>
            </w:r>
            <w:r w:rsidR="00123319">
              <w:t>Through</w:t>
            </w:r>
            <w:r w:rsidR="00123319" w:rsidRPr="00C20B19">
              <w:t xml:space="preserve"> </w:t>
            </w:r>
            <w:r w:rsidRPr="00C20B19">
              <w:t>2023</w:t>
            </w:r>
            <w:r w:rsidRPr="0046745B">
              <w:t>–</w:t>
            </w:r>
            <w:r w:rsidRPr="00C20B19">
              <w:t>24</w:t>
            </w:r>
          </w:p>
        </w:tc>
        <w:tc>
          <w:tcPr>
            <w:tcW w:w="1011" w:type="pct"/>
            <w:tcBorders>
              <w:bottom w:val="single" w:sz="4" w:space="0" w:color="auto"/>
            </w:tcBorders>
          </w:tcPr>
          <w:p w:rsidR="00C157EC" w:rsidRDefault="00C157EC" w:rsidP="00421188">
            <w:pPr>
              <w:pStyle w:val="TableTextCentered"/>
              <w:rPr>
                <w:rFonts w:ascii="Times New Roman" w:hAnsi="Times New Roman"/>
                <w:sz w:val="24"/>
                <w:szCs w:val="24"/>
              </w:rPr>
            </w:pPr>
            <w:r>
              <w:t>O</w:t>
            </w:r>
            <w:r w:rsidRPr="00C20B19">
              <w:t xml:space="preserve">verall </w:t>
            </w:r>
            <w:r>
              <w:t>Percent</w:t>
            </w:r>
            <w:r w:rsidRPr="00C20B19">
              <w:t xml:space="preserve"> </w:t>
            </w:r>
            <w:r>
              <w:t>C</w:t>
            </w:r>
            <w:r w:rsidRPr="00C20B19">
              <w:t>hange</w:t>
            </w:r>
            <w:r>
              <w:t>:</w:t>
            </w:r>
            <w:r w:rsidRPr="00C20B19">
              <w:t xml:space="preserve"> 201</w:t>
            </w:r>
            <w:r>
              <w:t>3</w:t>
            </w:r>
            <w:r w:rsidRPr="0046745B">
              <w:t>–</w:t>
            </w:r>
            <w:r w:rsidRPr="00C20B19">
              <w:t>1</w:t>
            </w:r>
            <w:r>
              <w:t>4</w:t>
            </w:r>
            <w:r w:rsidRPr="00C20B19">
              <w:t xml:space="preserve"> </w:t>
            </w:r>
            <w:r w:rsidR="00123319">
              <w:t>Through</w:t>
            </w:r>
            <w:r w:rsidR="00123319" w:rsidRPr="00C20B19">
              <w:t xml:space="preserve"> </w:t>
            </w:r>
            <w:r w:rsidRPr="00C20B19">
              <w:t>2023</w:t>
            </w:r>
            <w:r w:rsidRPr="0046745B">
              <w:t>–</w:t>
            </w:r>
            <w:r w:rsidRPr="00C20B19">
              <w:t>24</w:t>
            </w:r>
          </w:p>
        </w:tc>
        <w:tc>
          <w:tcPr>
            <w:tcW w:w="1008" w:type="pct"/>
            <w:tcBorders>
              <w:bottom w:val="single" w:sz="4" w:space="0" w:color="auto"/>
            </w:tcBorders>
          </w:tcPr>
          <w:p w:rsidR="00C157EC" w:rsidRDefault="00C157EC" w:rsidP="00421188">
            <w:pPr>
              <w:pStyle w:val="TableTextCentered"/>
              <w:rPr>
                <w:rFonts w:ascii="Times New Roman" w:hAnsi="Times New Roman"/>
                <w:sz w:val="24"/>
                <w:szCs w:val="24"/>
              </w:rPr>
            </w:pPr>
            <w:r>
              <w:t>O</w:t>
            </w:r>
            <w:r w:rsidRPr="00C20B19">
              <w:t xml:space="preserve">verall </w:t>
            </w:r>
            <w:r>
              <w:t>A</w:t>
            </w:r>
            <w:r w:rsidRPr="00C20B19">
              <w:t xml:space="preserve">bsolute </w:t>
            </w:r>
            <w:r>
              <w:t>C</w:t>
            </w:r>
            <w:r w:rsidRPr="00C20B19">
              <w:t>hange</w:t>
            </w:r>
            <w:r>
              <w:t xml:space="preserve">: </w:t>
            </w:r>
            <w:r w:rsidRPr="00C20B19">
              <w:t>201</w:t>
            </w:r>
            <w:r>
              <w:t>3</w:t>
            </w:r>
            <w:r w:rsidRPr="0046745B">
              <w:t>–</w:t>
            </w:r>
            <w:r w:rsidRPr="00C20B19">
              <w:t>1</w:t>
            </w:r>
            <w:r>
              <w:t>4</w:t>
            </w:r>
            <w:r w:rsidRPr="00C20B19">
              <w:t xml:space="preserve"> </w:t>
            </w:r>
            <w:r w:rsidR="00123319">
              <w:t>Through</w:t>
            </w:r>
            <w:r w:rsidR="00123319" w:rsidRPr="00C20B19">
              <w:t xml:space="preserve"> </w:t>
            </w:r>
            <w:r w:rsidRPr="00C20B19">
              <w:t>2023</w:t>
            </w:r>
            <w:r w:rsidRPr="0046745B">
              <w:t>–</w:t>
            </w:r>
            <w:r w:rsidRPr="00C20B19">
              <w:t>24</w:t>
            </w:r>
          </w:p>
        </w:tc>
      </w:tr>
      <w:tr w:rsidR="00421188" w:rsidTr="00123319">
        <w:tc>
          <w:tcPr>
            <w:tcW w:w="1537" w:type="pct"/>
            <w:tcBorders>
              <w:bottom w:val="single" w:sz="4" w:space="0" w:color="auto"/>
            </w:tcBorders>
          </w:tcPr>
          <w:p w:rsidR="00C157EC" w:rsidRPr="00A13C01" w:rsidRDefault="00C157EC" w:rsidP="00123319">
            <w:pPr>
              <w:pStyle w:val="TableText"/>
              <w:jc w:val="center"/>
            </w:pPr>
            <w:r w:rsidRPr="00A13C01">
              <w:t>Berkshires</w:t>
            </w:r>
            <w:r w:rsidR="003C50C4">
              <w:t xml:space="preserve"> </w:t>
            </w:r>
            <w:r w:rsidRPr="00A13C01">
              <w:t>+</w:t>
            </w:r>
          </w:p>
        </w:tc>
        <w:tc>
          <w:tcPr>
            <w:tcW w:w="1443" w:type="pct"/>
            <w:tcBorders>
              <w:bottom w:val="single" w:sz="4" w:space="0" w:color="auto"/>
            </w:tcBorders>
          </w:tcPr>
          <w:p w:rsidR="00C157EC" w:rsidRPr="00A13C01" w:rsidRDefault="00C157EC" w:rsidP="00421188">
            <w:pPr>
              <w:pStyle w:val="TableTextCentered"/>
            </w:pPr>
            <w:r w:rsidRPr="00A13C01">
              <w:t>-0.25%</w:t>
            </w:r>
          </w:p>
        </w:tc>
        <w:tc>
          <w:tcPr>
            <w:tcW w:w="1011" w:type="pct"/>
            <w:tcBorders>
              <w:bottom w:val="single" w:sz="4" w:space="0" w:color="auto"/>
            </w:tcBorders>
          </w:tcPr>
          <w:p w:rsidR="00C157EC" w:rsidRPr="00A13C01" w:rsidRDefault="00C157EC" w:rsidP="00421188">
            <w:pPr>
              <w:pStyle w:val="TableTextCentered"/>
            </w:pPr>
            <w:r w:rsidRPr="00A13C01">
              <w:t>-2.47%</w:t>
            </w:r>
          </w:p>
        </w:tc>
        <w:tc>
          <w:tcPr>
            <w:tcW w:w="1008" w:type="pct"/>
            <w:tcBorders>
              <w:bottom w:val="single" w:sz="4" w:space="0" w:color="auto"/>
            </w:tcBorders>
          </w:tcPr>
          <w:p w:rsidR="00C157EC" w:rsidRPr="00A13C01" w:rsidRDefault="00C157EC" w:rsidP="00421188">
            <w:pPr>
              <w:pStyle w:val="TableTextCentered"/>
            </w:pPr>
            <w:r w:rsidRPr="00A13C01">
              <w:t>-70</w:t>
            </w:r>
          </w:p>
        </w:tc>
      </w:tr>
      <w:tr w:rsidR="000B3D52" w:rsidTr="00123319">
        <w:tc>
          <w:tcPr>
            <w:tcW w:w="1537" w:type="pct"/>
            <w:tcBorders>
              <w:bottom w:val="single" w:sz="4" w:space="0" w:color="auto"/>
            </w:tcBorders>
          </w:tcPr>
          <w:p w:rsidR="000B3D52" w:rsidRPr="00A13C01" w:rsidRDefault="000B3D52" w:rsidP="00123319">
            <w:pPr>
              <w:pStyle w:val="TableText"/>
              <w:jc w:val="center"/>
            </w:pPr>
            <w:r w:rsidRPr="00A13C01">
              <w:t>Central</w:t>
            </w:r>
          </w:p>
        </w:tc>
        <w:tc>
          <w:tcPr>
            <w:tcW w:w="1443" w:type="pct"/>
            <w:tcBorders>
              <w:bottom w:val="single" w:sz="4" w:space="0" w:color="auto"/>
            </w:tcBorders>
            <w:vAlign w:val="top"/>
          </w:tcPr>
          <w:p w:rsidR="000B3D52" w:rsidRPr="00A13C01" w:rsidRDefault="000B3D52" w:rsidP="000B3D52">
            <w:pPr>
              <w:pStyle w:val="TableTextCentered"/>
            </w:pPr>
            <w:r w:rsidRPr="00B14395">
              <w:t>-</w:t>
            </w:r>
            <w:r>
              <w:t>0</w:t>
            </w:r>
            <w:r w:rsidRPr="00B14395">
              <w:t>.54</w:t>
            </w:r>
            <w:r>
              <w:t>%</w:t>
            </w:r>
          </w:p>
        </w:tc>
        <w:tc>
          <w:tcPr>
            <w:tcW w:w="1011" w:type="pct"/>
            <w:tcBorders>
              <w:bottom w:val="single" w:sz="4" w:space="0" w:color="auto"/>
            </w:tcBorders>
            <w:vAlign w:val="top"/>
          </w:tcPr>
          <w:p w:rsidR="000B3D52" w:rsidRPr="00A13C01" w:rsidRDefault="000B3D52" w:rsidP="000B3D52">
            <w:pPr>
              <w:pStyle w:val="TableTextCentered"/>
            </w:pPr>
            <w:r w:rsidRPr="00B14395">
              <w:t>-5.32</w:t>
            </w:r>
            <w:r>
              <w:t>%</w:t>
            </w:r>
          </w:p>
        </w:tc>
        <w:tc>
          <w:tcPr>
            <w:tcW w:w="1008" w:type="pct"/>
            <w:tcBorders>
              <w:bottom w:val="single" w:sz="4" w:space="0" w:color="auto"/>
            </w:tcBorders>
            <w:vAlign w:val="top"/>
          </w:tcPr>
          <w:p w:rsidR="000B3D52" w:rsidRPr="00A13C01" w:rsidRDefault="000B3D52" w:rsidP="000B3D52">
            <w:pPr>
              <w:pStyle w:val="TableTextCentered"/>
            </w:pPr>
            <w:r w:rsidRPr="00B14395">
              <w:t>-436</w:t>
            </w:r>
          </w:p>
        </w:tc>
      </w:tr>
      <w:tr w:rsidR="00421188" w:rsidTr="00123319">
        <w:tc>
          <w:tcPr>
            <w:tcW w:w="1537" w:type="pct"/>
            <w:tcBorders>
              <w:bottom w:val="single" w:sz="4" w:space="0" w:color="auto"/>
            </w:tcBorders>
          </w:tcPr>
          <w:p w:rsidR="00C157EC" w:rsidRPr="00A13C01" w:rsidRDefault="00C157EC" w:rsidP="00123319">
            <w:pPr>
              <w:pStyle w:val="TableText"/>
              <w:jc w:val="center"/>
            </w:pPr>
            <w:r w:rsidRPr="00A13C01">
              <w:t>Commissioner's Districts</w:t>
            </w:r>
          </w:p>
        </w:tc>
        <w:tc>
          <w:tcPr>
            <w:tcW w:w="1443" w:type="pct"/>
            <w:tcBorders>
              <w:bottom w:val="single" w:sz="4" w:space="0" w:color="auto"/>
            </w:tcBorders>
          </w:tcPr>
          <w:p w:rsidR="00C157EC" w:rsidRPr="00A13C01" w:rsidRDefault="00C157EC" w:rsidP="00421188">
            <w:pPr>
              <w:pStyle w:val="TableTextCentered"/>
            </w:pPr>
            <w:r w:rsidRPr="00A13C01">
              <w:t>-0.83%</w:t>
            </w:r>
          </w:p>
        </w:tc>
        <w:tc>
          <w:tcPr>
            <w:tcW w:w="1011" w:type="pct"/>
            <w:tcBorders>
              <w:bottom w:val="single" w:sz="4" w:space="0" w:color="auto"/>
            </w:tcBorders>
          </w:tcPr>
          <w:p w:rsidR="00C157EC" w:rsidRPr="00A13C01" w:rsidRDefault="00C157EC" w:rsidP="00421188">
            <w:pPr>
              <w:pStyle w:val="TableTextCentered"/>
            </w:pPr>
            <w:r w:rsidRPr="00A13C01">
              <w:t>-8.03%</w:t>
            </w:r>
          </w:p>
        </w:tc>
        <w:tc>
          <w:tcPr>
            <w:tcW w:w="1008" w:type="pct"/>
            <w:tcBorders>
              <w:bottom w:val="single" w:sz="4" w:space="0" w:color="auto"/>
            </w:tcBorders>
          </w:tcPr>
          <w:p w:rsidR="00C157EC" w:rsidRPr="00A13C01" w:rsidRDefault="00C157EC" w:rsidP="00421188">
            <w:pPr>
              <w:pStyle w:val="TableTextCentered"/>
            </w:pPr>
            <w:r w:rsidRPr="00A13C01">
              <w:t>-1,094</w:t>
            </w:r>
          </w:p>
        </w:tc>
      </w:tr>
      <w:tr w:rsidR="00421188" w:rsidTr="00123319">
        <w:tc>
          <w:tcPr>
            <w:tcW w:w="1537" w:type="pct"/>
            <w:tcBorders>
              <w:bottom w:val="single" w:sz="4" w:space="0" w:color="auto"/>
            </w:tcBorders>
          </w:tcPr>
          <w:p w:rsidR="00C157EC" w:rsidRPr="00A13C01" w:rsidRDefault="00C157EC" w:rsidP="00123319">
            <w:pPr>
              <w:pStyle w:val="TableText"/>
              <w:jc w:val="center"/>
            </w:pPr>
            <w:r w:rsidRPr="00A13C01">
              <w:t>Greater Boston</w:t>
            </w:r>
          </w:p>
        </w:tc>
        <w:tc>
          <w:tcPr>
            <w:tcW w:w="1443" w:type="pct"/>
            <w:tcBorders>
              <w:bottom w:val="single" w:sz="4" w:space="0" w:color="auto"/>
            </w:tcBorders>
          </w:tcPr>
          <w:p w:rsidR="00C157EC" w:rsidRPr="00A13C01" w:rsidRDefault="00C157EC" w:rsidP="00421188">
            <w:pPr>
              <w:pStyle w:val="TableTextCentered"/>
            </w:pPr>
            <w:r w:rsidRPr="00A13C01">
              <w:t>-0.22%</w:t>
            </w:r>
          </w:p>
        </w:tc>
        <w:tc>
          <w:tcPr>
            <w:tcW w:w="1011" w:type="pct"/>
            <w:tcBorders>
              <w:bottom w:val="single" w:sz="4" w:space="0" w:color="auto"/>
            </w:tcBorders>
          </w:tcPr>
          <w:p w:rsidR="00C157EC" w:rsidRPr="00A13C01" w:rsidRDefault="00C157EC" w:rsidP="00421188">
            <w:pPr>
              <w:pStyle w:val="TableTextCentered"/>
            </w:pPr>
            <w:r w:rsidRPr="00A13C01">
              <w:t>-2.27%</w:t>
            </w:r>
          </w:p>
        </w:tc>
        <w:tc>
          <w:tcPr>
            <w:tcW w:w="1008" w:type="pct"/>
            <w:tcBorders>
              <w:bottom w:val="single" w:sz="4" w:space="0" w:color="auto"/>
            </w:tcBorders>
          </w:tcPr>
          <w:p w:rsidR="00C157EC" w:rsidRPr="00A13C01" w:rsidRDefault="00C157EC" w:rsidP="00421188">
            <w:pPr>
              <w:pStyle w:val="TableTextCentered"/>
            </w:pPr>
            <w:r w:rsidRPr="00A13C01">
              <w:t>-333</w:t>
            </w:r>
          </w:p>
        </w:tc>
      </w:tr>
      <w:tr w:rsidR="00421188" w:rsidTr="00123319">
        <w:tc>
          <w:tcPr>
            <w:tcW w:w="1537" w:type="pct"/>
            <w:tcBorders>
              <w:bottom w:val="single" w:sz="4" w:space="0" w:color="auto"/>
            </w:tcBorders>
          </w:tcPr>
          <w:p w:rsidR="00C157EC" w:rsidRPr="00A13C01" w:rsidRDefault="00C157EC" w:rsidP="00123319">
            <w:pPr>
              <w:pStyle w:val="TableText"/>
              <w:jc w:val="center"/>
            </w:pPr>
            <w:r w:rsidRPr="00A13C01">
              <w:t>Northeast</w:t>
            </w:r>
          </w:p>
        </w:tc>
        <w:tc>
          <w:tcPr>
            <w:tcW w:w="1443" w:type="pct"/>
            <w:tcBorders>
              <w:bottom w:val="single" w:sz="4" w:space="0" w:color="auto"/>
            </w:tcBorders>
          </w:tcPr>
          <w:p w:rsidR="00C157EC" w:rsidRPr="00A13C01" w:rsidRDefault="00C157EC" w:rsidP="00421188">
            <w:pPr>
              <w:pStyle w:val="TableTextCentered"/>
            </w:pPr>
            <w:r w:rsidRPr="00A13C01">
              <w:t>0.52%</w:t>
            </w:r>
          </w:p>
        </w:tc>
        <w:tc>
          <w:tcPr>
            <w:tcW w:w="1011" w:type="pct"/>
            <w:tcBorders>
              <w:bottom w:val="single" w:sz="4" w:space="0" w:color="auto"/>
            </w:tcBorders>
          </w:tcPr>
          <w:p w:rsidR="00C157EC" w:rsidRPr="00A13C01" w:rsidRDefault="00C157EC" w:rsidP="00421188">
            <w:pPr>
              <w:pStyle w:val="TableTextCentered"/>
            </w:pPr>
            <w:r w:rsidRPr="00A13C01">
              <w:t>5.34%</w:t>
            </w:r>
          </w:p>
        </w:tc>
        <w:tc>
          <w:tcPr>
            <w:tcW w:w="1008" w:type="pct"/>
            <w:tcBorders>
              <w:bottom w:val="single" w:sz="4" w:space="0" w:color="auto"/>
            </w:tcBorders>
          </w:tcPr>
          <w:p w:rsidR="00C157EC" w:rsidRPr="00A13C01" w:rsidRDefault="00C157EC" w:rsidP="00421188">
            <w:pPr>
              <w:pStyle w:val="TableTextCentered"/>
            </w:pPr>
            <w:r w:rsidRPr="00A13C01">
              <w:t>532</w:t>
            </w:r>
          </w:p>
        </w:tc>
      </w:tr>
      <w:tr w:rsidR="00421188" w:rsidTr="00123319">
        <w:tc>
          <w:tcPr>
            <w:tcW w:w="1537" w:type="pct"/>
            <w:tcBorders>
              <w:bottom w:val="single" w:sz="4" w:space="0" w:color="auto"/>
            </w:tcBorders>
          </w:tcPr>
          <w:p w:rsidR="00C157EC" w:rsidRPr="00A13C01" w:rsidRDefault="00C157EC" w:rsidP="00123319">
            <w:pPr>
              <w:pStyle w:val="TableText"/>
              <w:jc w:val="center"/>
            </w:pPr>
            <w:r w:rsidRPr="00A13C01">
              <w:t>Pioneer Valley</w:t>
            </w:r>
          </w:p>
        </w:tc>
        <w:tc>
          <w:tcPr>
            <w:tcW w:w="1443" w:type="pct"/>
            <w:tcBorders>
              <w:bottom w:val="single" w:sz="4" w:space="0" w:color="auto"/>
            </w:tcBorders>
          </w:tcPr>
          <w:p w:rsidR="00C157EC" w:rsidRPr="00A13C01" w:rsidRDefault="00C157EC" w:rsidP="00421188">
            <w:pPr>
              <w:pStyle w:val="TableTextCentered"/>
            </w:pPr>
            <w:r w:rsidRPr="00A13C01">
              <w:t>-0.12%</w:t>
            </w:r>
          </w:p>
        </w:tc>
        <w:tc>
          <w:tcPr>
            <w:tcW w:w="1011" w:type="pct"/>
            <w:tcBorders>
              <w:bottom w:val="single" w:sz="4" w:space="0" w:color="auto"/>
            </w:tcBorders>
          </w:tcPr>
          <w:p w:rsidR="00C157EC" w:rsidRPr="00A13C01" w:rsidRDefault="00C157EC" w:rsidP="00421188">
            <w:pPr>
              <w:pStyle w:val="TableTextCentered"/>
            </w:pPr>
            <w:r w:rsidRPr="00A13C01">
              <w:t>-1.17%</w:t>
            </w:r>
          </w:p>
        </w:tc>
        <w:tc>
          <w:tcPr>
            <w:tcW w:w="1008" w:type="pct"/>
            <w:tcBorders>
              <w:bottom w:val="single" w:sz="4" w:space="0" w:color="auto"/>
            </w:tcBorders>
          </w:tcPr>
          <w:p w:rsidR="00C157EC" w:rsidRPr="00A13C01" w:rsidRDefault="00C157EC" w:rsidP="00421188">
            <w:pPr>
              <w:pStyle w:val="TableTextCentered"/>
            </w:pPr>
            <w:r w:rsidRPr="00A13C01">
              <w:t>-44</w:t>
            </w:r>
          </w:p>
        </w:tc>
      </w:tr>
      <w:tr w:rsidR="00421188" w:rsidTr="00123319">
        <w:tc>
          <w:tcPr>
            <w:tcW w:w="1537" w:type="pct"/>
            <w:tcBorders>
              <w:bottom w:val="single" w:sz="4" w:space="0" w:color="auto"/>
            </w:tcBorders>
          </w:tcPr>
          <w:p w:rsidR="00C157EC" w:rsidRPr="00A13C01" w:rsidRDefault="00C157EC" w:rsidP="00123319">
            <w:pPr>
              <w:pStyle w:val="TableText"/>
              <w:jc w:val="center"/>
            </w:pPr>
            <w:r w:rsidRPr="00A13C01">
              <w:t>Southeast</w:t>
            </w:r>
          </w:p>
        </w:tc>
        <w:tc>
          <w:tcPr>
            <w:tcW w:w="1443" w:type="pct"/>
            <w:tcBorders>
              <w:bottom w:val="single" w:sz="4" w:space="0" w:color="auto"/>
            </w:tcBorders>
          </w:tcPr>
          <w:p w:rsidR="00C157EC" w:rsidRPr="00A13C01" w:rsidRDefault="00C157EC" w:rsidP="00421188">
            <w:pPr>
              <w:pStyle w:val="TableTextCentered"/>
            </w:pPr>
            <w:r w:rsidRPr="00A13C01">
              <w:t>0.19%</w:t>
            </w:r>
          </w:p>
        </w:tc>
        <w:tc>
          <w:tcPr>
            <w:tcW w:w="1011" w:type="pct"/>
            <w:tcBorders>
              <w:bottom w:val="single" w:sz="4" w:space="0" w:color="auto"/>
            </w:tcBorders>
          </w:tcPr>
          <w:p w:rsidR="00C157EC" w:rsidRPr="00A13C01" w:rsidRDefault="00C157EC" w:rsidP="00421188">
            <w:pPr>
              <w:pStyle w:val="TableTextCentered"/>
            </w:pPr>
            <w:r w:rsidRPr="00A13C01">
              <w:t>1.96%</w:t>
            </w:r>
          </w:p>
        </w:tc>
        <w:tc>
          <w:tcPr>
            <w:tcW w:w="1008" w:type="pct"/>
            <w:tcBorders>
              <w:bottom w:val="single" w:sz="4" w:space="0" w:color="auto"/>
            </w:tcBorders>
          </w:tcPr>
          <w:p w:rsidR="00C157EC" w:rsidRPr="00A13C01" w:rsidRDefault="00C157EC" w:rsidP="00421188">
            <w:pPr>
              <w:pStyle w:val="TableTextCentered"/>
            </w:pPr>
            <w:r w:rsidRPr="00A13C01">
              <w:t>269</w:t>
            </w:r>
          </w:p>
        </w:tc>
      </w:tr>
      <w:tr w:rsidR="000B3D52" w:rsidTr="00123319">
        <w:tc>
          <w:tcPr>
            <w:tcW w:w="1537" w:type="pct"/>
          </w:tcPr>
          <w:p w:rsidR="000B3D52" w:rsidRPr="00A13C01" w:rsidRDefault="000B3D52" w:rsidP="00123319">
            <w:pPr>
              <w:pStyle w:val="TableText"/>
              <w:jc w:val="center"/>
            </w:pPr>
            <w:r w:rsidRPr="00A13C01">
              <w:t>Statewide</w:t>
            </w:r>
          </w:p>
        </w:tc>
        <w:tc>
          <w:tcPr>
            <w:tcW w:w="1443" w:type="pct"/>
          </w:tcPr>
          <w:p w:rsidR="000B3D52" w:rsidRPr="00FC72FA" w:rsidRDefault="000B3D52" w:rsidP="00FC72FA">
            <w:pPr>
              <w:pStyle w:val="TableTextCentered"/>
              <w:rPr>
                <w:rFonts w:cstheme="majorHAnsi"/>
              </w:rPr>
            </w:pPr>
            <w:r w:rsidRPr="00A46F58">
              <w:rPr>
                <w:rFonts w:cstheme="majorHAnsi"/>
              </w:rPr>
              <w:t>-</w:t>
            </w:r>
            <w:r>
              <w:rPr>
                <w:rFonts w:cstheme="majorHAnsi"/>
              </w:rPr>
              <w:t>0</w:t>
            </w:r>
            <w:r w:rsidRPr="00A46F58">
              <w:rPr>
                <w:rFonts w:cstheme="majorHAnsi"/>
              </w:rPr>
              <w:t>.18</w:t>
            </w:r>
            <w:r>
              <w:rPr>
                <w:rFonts w:cstheme="majorHAnsi"/>
              </w:rPr>
              <w:t>%</w:t>
            </w:r>
          </w:p>
        </w:tc>
        <w:tc>
          <w:tcPr>
            <w:tcW w:w="1011" w:type="pct"/>
          </w:tcPr>
          <w:p w:rsidR="000B3D52" w:rsidRPr="00FC72FA" w:rsidRDefault="000B3D52" w:rsidP="00FC72FA">
            <w:pPr>
              <w:pStyle w:val="TableTextCentered"/>
              <w:rPr>
                <w:rFonts w:cstheme="majorHAnsi"/>
              </w:rPr>
            </w:pPr>
            <w:r w:rsidRPr="00A46F58">
              <w:rPr>
                <w:rFonts w:cstheme="majorHAnsi"/>
              </w:rPr>
              <w:t>-1.76</w:t>
            </w:r>
            <w:r>
              <w:rPr>
                <w:rFonts w:cstheme="majorHAnsi"/>
              </w:rPr>
              <w:t>%</w:t>
            </w:r>
          </w:p>
        </w:tc>
        <w:tc>
          <w:tcPr>
            <w:tcW w:w="1008" w:type="pct"/>
          </w:tcPr>
          <w:p w:rsidR="000B3D52" w:rsidRPr="00FC72FA" w:rsidRDefault="000B3D52" w:rsidP="00FC72FA">
            <w:pPr>
              <w:pStyle w:val="TableTextCentered"/>
              <w:rPr>
                <w:rFonts w:cstheme="majorHAnsi"/>
              </w:rPr>
            </w:pPr>
            <w:r w:rsidRPr="00A46F58">
              <w:rPr>
                <w:rFonts w:cstheme="majorHAnsi"/>
              </w:rPr>
              <w:t>-1,174</w:t>
            </w:r>
          </w:p>
        </w:tc>
      </w:tr>
    </w:tbl>
    <w:p w:rsidR="00C157EC" w:rsidRPr="006D0A7C" w:rsidRDefault="00C157EC" w:rsidP="0016679C">
      <w:pPr>
        <w:pStyle w:val="BodyText"/>
      </w:pPr>
      <w:r>
        <w:t xml:space="preserve">The fact that the Commissioner’s Districts are expected to see a decline in supply is noteworthy as these districts are projected to have a slight increase in demand in future years, suggesting that they may experience teacher shortages. This is all the more important when we consider that these districts represent a large proportion of statewide enrollment. </w:t>
      </w:r>
    </w:p>
    <w:p w:rsidR="00C157EC" w:rsidRPr="00EB58A1" w:rsidRDefault="00C157EC" w:rsidP="00A46F58">
      <w:pPr>
        <w:pStyle w:val="BodyText"/>
        <w:rPr>
          <w:rFonts w:cstheme="majorHAnsi"/>
        </w:rPr>
      </w:pPr>
      <w:r w:rsidRPr="00A46F58">
        <w:rPr>
          <w:rFonts w:asciiTheme="majorHAnsi" w:hAnsiTheme="majorHAnsi" w:cstheme="majorHAnsi"/>
          <w:b/>
        </w:rPr>
        <w:t>NCES Locale</w:t>
      </w:r>
    </w:p>
    <w:p w:rsidR="00C157EC" w:rsidRPr="0016679C" w:rsidRDefault="00C157EC" w:rsidP="0016679C">
      <w:pPr>
        <w:pStyle w:val="BodyText"/>
      </w:pPr>
      <w:r>
        <w:t>Turning our attention to supply projections by locale, we see that all but one locale is consistently aligned with the downward aggregate trend in supply, and the projected declines are generally very modest (</w:t>
      </w:r>
      <w:r w:rsidR="00FC31F1">
        <w:t>Table</w:t>
      </w:r>
      <w:r>
        <w:t xml:space="preserve"> </w:t>
      </w:r>
      <w:r w:rsidR="00FC31F1">
        <w:t>B1</w:t>
      </w:r>
      <w:r>
        <w:t>8). Only districts in towns are expected to see an increase in supply, although the increase is so small that the absolute change from 2013</w:t>
      </w:r>
      <w:r w:rsidRPr="008725C3">
        <w:t>–</w:t>
      </w:r>
      <w:r>
        <w:t>14 to 2023</w:t>
      </w:r>
      <w:r w:rsidRPr="008725C3">
        <w:t>–</w:t>
      </w:r>
      <w:r>
        <w:t xml:space="preserve">24 is almost negligible. Similarly, we note how small the projected decline is for districts in rural locales, where we project four fewer FTEs (0.05 percent) over the 10-year period. However, it is important to remember this figure represents an aggregation of the supply across these districts, and the projected supply trends may vary considerably from district to district. </w:t>
      </w:r>
    </w:p>
    <w:p w:rsidR="00C157EC" w:rsidRDefault="00FC31F1" w:rsidP="00A46F58">
      <w:pPr>
        <w:pStyle w:val="ExhibitTitle"/>
      </w:pPr>
      <w:r>
        <w:t>Table</w:t>
      </w:r>
      <w:r w:rsidR="00C157EC" w:rsidRPr="000331C5">
        <w:t xml:space="preserve"> </w:t>
      </w:r>
      <w:r w:rsidR="00C157EC">
        <w:t>B</w:t>
      </w:r>
      <w:r>
        <w:t>1</w:t>
      </w:r>
      <w:r w:rsidR="00C157EC">
        <w:t>8</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Supply</w:t>
      </w:r>
      <w:r w:rsidR="00C157EC" w:rsidRPr="002B58FC">
        <w:t xml:space="preserve"> </w:t>
      </w:r>
      <w:r w:rsidR="00C157EC">
        <w:t>by NCES Locale</w:t>
      </w:r>
      <w:r w:rsidR="00D41F40">
        <w:t>,</w:t>
      </w:r>
      <w:r w:rsidR="00C157EC" w:rsidRPr="002B58FC">
        <w:t xml:space="preserve"> </w:t>
      </w:r>
      <w:r w:rsidR="00787BB7">
        <w:t xml:space="preserve">    </w:t>
      </w:r>
      <w:r w:rsidR="00C157EC">
        <w:t>2013</w:t>
      </w:r>
      <w:r w:rsidR="00C157EC" w:rsidRPr="008725C3">
        <w:t>–</w:t>
      </w:r>
      <w:r w:rsidR="00C157EC">
        <w:t>14</w:t>
      </w:r>
      <w:r w:rsidR="0092042A">
        <w:t xml:space="preserve"> </w:t>
      </w:r>
      <w:proofErr w:type="gramStart"/>
      <w:r w:rsidR="0092042A">
        <w:t>Through</w:t>
      </w:r>
      <w:proofErr w:type="gramEnd"/>
      <w:r w:rsidR="0092042A">
        <w:t xml:space="preserve"> </w:t>
      </w:r>
      <w:r w:rsidR="00C157EC">
        <w:t>2023</w:t>
      </w:r>
      <w:r w:rsidR="00C157EC" w:rsidRPr="008725C3">
        <w:t>–</w:t>
      </w:r>
      <w:r w:rsidR="00D41F40">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949"/>
        <w:gridCol w:w="2769"/>
        <w:gridCol w:w="1939"/>
        <w:gridCol w:w="1933"/>
      </w:tblGrid>
      <w:tr w:rsidR="0016679C" w:rsidTr="00123319">
        <w:trPr>
          <w:cnfStyle w:val="100000000000"/>
        </w:trPr>
        <w:tc>
          <w:tcPr>
            <w:tcW w:w="1537" w:type="pct"/>
            <w:tcBorders>
              <w:bottom w:val="single" w:sz="4" w:space="0" w:color="auto"/>
            </w:tcBorders>
          </w:tcPr>
          <w:p w:rsidR="00C157EC" w:rsidRDefault="00C157EC" w:rsidP="00123319">
            <w:pPr>
              <w:pStyle w:val="TableText"/>
              <w:jc w:val="center"/>
              <w:rPr>
                <w:rFonts w:ascii="Times New Roman" w:hAnsi="Times New Roman"/>
                <w:sz w:val="24"/>
                <w:szCs w:val="24"/>
              </w:rPr>
            </w:pPr>
            <w:r>
              <w:t>NCES Locale</w:t>
            </w:r>
          </w:p>
        </w:tc>
        <w:tc>
          <w:tcPr>
            <w:tcW w:w="1443" w:type="pct"/>
            <w:tcBorders>
              <w:bottom w:val="single" w:sz="4" w:space="0" w:color="auto"/>
            </w:tcBorders>
          </w:tcPr>
          <w:p w:rsidR="00C157EC" w:rsidRDefault="00C157EC" w:rsidP="0016679C">
            <w:pPr>
              <w:pStyle w:val="TableTextCentered"/>
              <w:rPr>
                <w:rFonts w:ascii="Times New Roman" w:hAnsi="Times New Roman"/>
                <w:sz w:val="24"/>
                <w:szCs w:val="24"/>
              </w:rPr>
            </w:pPr>
            <w:r>
              <w:t>A</w:t>
            </w:r>
            <w:r w:rsidRPr="00C20B19">
              <w:t xml:space="preserve">verage </w:t>
            </w:r>
            <w:r>
              <w:t>Annual Percent</w:t>
            </w:r>
            <w:r w:rsidRPr="00C20B19">
              <w:t xml:space="preserve"> </w:t>
            </w:r>
            <w:r>
              <w:t>C</w:t>
            </w:r>
            <w:r w:rsidRPr="00C20B19">
              <w:t>hange</w:t>
            </w:r>
            <w:r>
              <w:t>:</w:t>
            </w:r>
            <w:r w:rsidRPr="00C20B19">
              <w:t xml:space="preserve"> 201</w:t>
            </w:r>
            <w:r>
              <w:t>3</w:t>
            </w:r>
            <w:r w:rsidRPr="00F76D54">
              <w:t>–</w:t>
            </w:r>
            <w:r w:rsidRPr="00C20B19">
              <w:t>1</w:t>
            </w:r>
            <w:r>
              <w:t>4</w:t>
            </w:r>
            <w:r w:rsidRPr="00C20B19">
              <w:t xml:space="preserve"> </w:t>
            </w:r>
            <w:r w:rsidR="00123319">
              <w:t>Through</w:t>
            </w:r>
            <w:r w:rsidR="00123319" w:rsidRPr="00C20B19">
              <w:t xml:space="preserve"> </w:t>
            </w:r>
            <w:r w:rsidRPr="00C20B19">
              <w:t>2023</w:t>
            </w:r>
            <w:r w:rsidRPr="00F76D54">
              <w:t>–</w:t>
            </w:r>
            <w:r w:rsidRPr="00C20B19">
              <w:t>24</w:t>
            </w:r>
          </w:p>
        </w:tc>
        <w:tc>
          <w:tcPr>
            <w:tcW w:w="1011" w:type="pct"/>
            <w:tcBorders>
              <w:bottom w:val="single" w:sz="4" w:space="0" w:color="auto"/>
            </w:tcBorders>
          </w:tcPr>
          <w:p w:rsidR="00C157EC" w:rsidRDefault="00C157EC" w:rsidP="0016679C">
            <w:pPr>
              <w:pStyle w:val="TableTextCentered"/>
              <w:rPr>
                <w:rFonts w:ascii="Times New Roman" w:hAnsi="Times New Roman"/>
                <w:sz w:val="24"/>
                <w:szCs w:val="24"/>
              </w:rPr>
            </w:pPr>
            <w:r>
              <w:t>O</w:t>
            </w:r>
            <w:r w:rsidRPr="00C20B19">
              <w:t xml:space="preserve">verall </w:t>
            </w:r>
            <w:r>
              <w:t>Percent</w:t>
            </w:r>
            <w:r w:rsidRPr="00C20B19">
              <w:t xml:space="preserve"> </w:t>
            </w:r>
            <w:r>
              <w:t>C</w:t>
            </w:r>
            <w:r w:rsidRPr="00C20B19">
              <w:t>hange</w:t>
            </w:r>
            <w:r>
              <w:t>:</w:t>
            </w:r>
            <w:r w:rsidRPr="00C20B19">
              <w:t xml:space="preserve"> 201</w:t>
            </w:r>
            <w:r>
              <w:t>3</w:t>
            </w:r>
            <w:r w:rsidRPr="00F76D54">
              <w:t>–</w:t>
            </w:r>
            <w:r w:rsidRPr="00C20B19">
              <w:t>1</w:t>
            </w:r>
            <w:r>
              <w:t>4</w:t>
            </w:r>
            <w:r w:rsidRPr="00C20B19">
              <w:t xml:space="preserve"> </w:t>
            </w:r>
            <w:r w:rsidR="00123319">
              <w:t>Through</w:t>
            </w:r>
            <w:r w:rsidR="00123319" w:rsidRPr="00C20B19">
              <w:t xml:space="preserve"> </w:t>
            </w:r>
            <w:r w:rsidRPr="00C20B19">
              <w:t>2023</w:t>
            </w:r>
            <w:r w:rsidRPr="00F76D54">
              <w:t>–</w:t>
            </w:r>
            <w:r w:rsidRPr="00C20B19">
              <w:t>24</w:t>
            </w:r>
          </w:p>
        </w:tc>
        <w:tc>
          <w:tcPr>
            <w:tcW w:w="1008" w:type="pct"/>
            <w:tcBorders>
              <w:bottom w:val="single" w:sz="4" w:space="0" w:color="auto"/>
            </w:tcBorders>
          </w:tcPr>
          <w:p w:rsidR="00C157EC" w:rsidRDefault="00C157EC" w:rsidP="0016679C">
            <w:pPr>
              <w:pStyle w:val="TableTextCentered"/>
              <w:rPr>
                <w:rFonts w:ascii="Times New Roman" w:hAnsi="Times New Roman"/>
                <w:sz w:val="24"/>
                <w:szCs w:val="24"/>
              </w:rPr>
            </w:pPr>
            <w:r>
              <w:t>O</w:t>
            </w:r>
            <w:r w:rsidRPr="00C20B19">
              <w:t xml:space="preserve">verall </w:t>
            </w:r>
            <w:r>
              <w:t>A</w:t>
            </w:r>
            <w:r w:rsidRPr="00C20B19">
              <w:t xml:space="preserve">bsolute </w:t>
            </w:r>
            <w:r>
              <w:t>C</w:t>
            </w:r>
            <w:r w:rsidRPr="00C20B19">
              <w:t>hange</w:t>
            </w:r>
            <w:r>
              <w:t xml:space="preserve">: </w:t>
            </w:r>
            <w:r w:rsidRPr="00C20B19">
              <w:t>201</w:t>
            </w:r>
            <w:r>
              <w:t>3</w:t>
            </w:r>
            <w:r w:rsidRPr="00F76D54">
              <w:t>–</w:t>
            </w:r>
            <w:r w:rsidRPr="00C20B19">
              <w:t>1</w:t>
            </w:r>
            <w:r>
              <w:t>4</w:t>
            </w:r>
            <w:r w:rsidRPr="00C20B19">
              <w:t xml:space="preserve"> </w:t>
            </w:r>
            <w:r w:rsidR="00123319">
              <w:t>Through</w:t>
            </w:r>
            <w:r w:rsidR="00123319" w:rsidRPr="00C20B19">
              <w:t xml:space="preserve"> </w:t>
            </w:r>
            <w:r w:rsidRPr="00C20B19">
              <w:t>2023</w:t>
            </w:r>
            <w:r w:rsidRPr="00F76D54">
              <w:t>–</w:t>
            </w:r>
            <w:r w:rsidRPr="00C20B19">
              <w:t>24</w:t>
            </w:r>
          </w:p>
        </w:tc>
      </w:tr>
      <w:tr w:rsidR="0016679C" w:rsidTr="00123319">
        <w:tc>
          <w:tcPr>
            <w:tcW w:w="1537" w:type="pct"/>
            <w:tcBorders>
              <w:bottom w:val="single" w:sz="4" w:space="0" w:color="auto"/>
            </w:tcBorders>
          </w:tcPr>
          <w:p w:rsidR="00C157EC" w:rsidRPr="00A13C01" w:rsidRDefault="00C157EC" w:rsidP="00123319">
            <w:pPr>
              <w:pStyle w:val="TableText"/>
              <w:jc w:val="center"/>
            </w:pPr>
            <w:r w:rsidRPr="00A13C01">
              <w:t>City</w:t>
            </w:r>
          </w:p>
        </w:tc>
        <w:tc>
          <w:tcPr>
            <w:tcW w:w="1443" w:type="pct"/>
            <w:tcBorders>
              <w:bottom w:val="single" w:sz="4" w:space="0" w:color="auto"/>
            </w:tcBorders>
          </w:tcPr>
          <w:p w:rsidR="00C157EC" w:rsidRPr="00A13C01" w:rsidRDefault="00C157EC" w:rsidP="0016679C">
            <w:pPr>
              <w:pStyle w:val="TableTextCentered"/>
            </w:pPr>
            <w:r w:rsidRPr="00A13C01">
              <w:t>-0.41%</w:t>
            </w:r>
          </w:p>
        </w:tc>
        <w:tc>
          <w:tcPr>
            <w:tcW w:w="1011" w:type="pct"/>
            <w:tcBorders>
              <w:bottom w:val="single" w:sz="4" w:space="0" w:color="auto"/>
            </w:tcBorders>
          </w:tcPr>
          <w:p w:rsidR="00C157EC" w:rsidRPr="00A13C01" w:rsidRDefault="00C157EC" w:rsidP="0016679C">
            <w:pPr>
              <w:pStyle w:val="TableTextCentered"/>
            </w:pPr>
            <w:r w:rsidRPr="00A13C01">
              <w:t>-4.03%</w:t>
            </w:r>
          </w:p>
        </w:tc>
        <w:tc>
          <w:tcPr>
            <w:tcW w:w="1008" w:type="pct"/>
            <w:tcBorders>
              <w:bottom w:val="single" w:sz="4" w:space="0" w:color="auto"/>
            </w:tcBorders>
          </w:tcPr>
          <w:p w:rsidR="00C157EC" w:rsidRPr="00A13C01" w:rsidRDefault="00C157EC" w:rsidP="0016679C">
            <w:pPr>
              <w:pStyle w:val="TableTextCentered"/>
            </w:pPr>
            <w:r w:rsidRPr="00A13C01">
              <w:t>-449</w:t>
            </w:r>
          </w:p>
        </w:tc>
      </w:tr>
      <w:tr w:rsidR="0016679C" w:rsidTr="00123319">
        <w:tc>
          <w:tcPr>
            <w:tcW w:w="1537" w:type="pct"/>
            <w:tcBorders>
              <w:bottom w:val="single" w:sz="4" w:space="0" w:color="auto"/>
            </w:tcBorders>
          </w:tcPr>
          <w:p w:rsidR="00C157EC" w:rsidRPr="00A13C01" w:rsidRDefault="00C157EC" w:rsidP="00123319">
            <w:pPr>
              <w:pStyle w:val="TableText"/>
              <w:jc w:val="center"/>
            </w:pPr>
            <w:r w:rsidRPr="00A13C01">
              <w:t>Suburb</w:t>
            </w:r>
          </w:p>
        </w:tc>
        <w:tc>
          <w:tcPr>
            <w:tcW w:w="1443" w:type="pct"/>
            <w:tcBorders>
              <w:bottom w:val="single" w:sz="4" w:space="0" w:color="auto"/>
            </w:tcBorders>
          </w:tcPr>
          <w:p w:rsidR="00C157EC" w:rsidRPr="00A13C01" w:rsidRDefault="00C157EC" w:rsidP="0016679C">
            <w:pPr>
              <w:pStyle w:val="TableTextCentered"/>
            </w:pPr>
            <w:r w:rsidRPr="00A13C01">
              <w:t>-0.16%</w:t>
            </w:r>
          </w:p>
        </w:tc>
        <w:tc>
          <w:tcPr>
            <w:tcW w:w="1011" w:type="pct"/>
            <w:tcBorders>
              <w:bottom w:val="single" w:sz="4" w:space="0" w:color="auto"/>
            </w:tcBorders>
          </w:tcPr>
          <w:p w:rsidR="00C157EC" w:rsidRPr="00A13C01" w:rsidRDefault="00C157EC" w:rsidP="0016679C">
            <w:pPr>
              <w:pStyle w:val="TableTextCentered"/>
            </w:pPr>
            <w:r w:rsidRPr="00A13C01">
              <w:t>-1.57%</w:t>
            </w:r>
          </w:p>
        </w:tc>
        <w:tc>
          <w:tcPr>
            <w:tcW w:w="1008" w:type="pct"/>
            <w:tcBorders>
              <w:bottom w:val="single" w:sz="4" w:space="0" w:color="auto"/>
            </w:tcBorders>
          </w:tcPr>
          <w:p w:rsidR="00C157EC" w:rsidRPr="00A13C01" w:rsidRDefault="00C157EC" w:rsidP="0016679C">
            <w:pPr>
              <w:pStyle w:val="TableTextCentered"/>
            </w:pPr>
            <w:r w:rsidRPr="00A13C01">
              <w:t>-744</w:t>
            </w:r>
          </w:p>
        </w:tc>
      </w:tr>
      <w:tr w:rsidR="0016679C" w:rsidTr="00123319">
        <w:tc>
          <w:tcPr>
            <w:tcW w:w="1537" w:type="pct"/>
            <w:tcBorders>
              <w:bottom w:val="single" w:sz="4" w:space="0" w:color="auto"/>
            </w:tcBorders>
          </w:tcPr>
          <w:p w:rsidR="00C157EC" w:rsidRPr="00A13C01" w:rsidRDefault="00C157EC" w:rsidP="00123319">
            <w:pPr>
              <w:pStyle w:val="TableText"/>
              <w:jc w:val="center"/>
            </w:pPr>
            <w:r w:rsidRPr="00A13C01">
              <w:t>Town</w:t>
            </w:r>
          </w:p>
        </w:tc>
        <w:tc>
          <w:tcPr>
            <w:tcW w:w="1443" w:type="pct"/>
            <w:tcBorders>
              <w:bottom w:val="single" w:sz="4" w:space="0" w:color="auto"/>
            </w:tcBorders>
          </w:tcPr>
          <w:p w:rsidR="00C157EC" w:rsidRPr="00A13C01" w:rsidRDefault="00C157EC" w:rsidP="0016679C">
            <w:pPr>
              <w:pStyle w:val="TableTextCentered"/>
            </w:pPr>
            <w:r w:rsidRPr="00A13C01">
              <w:t>0.20%</w:t>
            </w:r>
          </w:p>
        </w:tc>
        <w:tc>
          <w:tcPr>
            <w:tcW w:w="1011" w:type="pct"/>
            <w:tcBorders>
              <w:bottom w:val="single" w:sz="4" w:space="0" w:color="auto"/>
            </w:tcBorders>
          </w:tcPr>
          <w:p w:rsidR="00C157EC" w:rsidRPr="00A13C01" w:rsidRDefault="00C157EC" w:rsidP="0016679C">
            <w:pPr>
              <w:pStyle w:val="TableTextCentered"/>
            </w:pPr>
            <w:r w:rsidRPr="00A13C01">
              <w:t>1.95%</w:t>
            </w:r>
          </w:p>
        </w:tc>
        <w:tc>
          <w:tcPr>
            <w:tcW w:w="1008" w:type="pct"/>
            <w:tcBorders>
              <w:bottom w:val="single" w:sz="4" w:space="0" w:color="auto"/>
            </w:tcBorders>
          </w:tcPr>
          <w:p w:rsidR="00C157EC" w:rsidRPr="00A13C01" w:rsidRDefault="00C157EC" w:rsidP="0016679C">
            <w:pPr>
              <w:pStyle w:val="TableTextCentered"/>
            </w:pPr>
            <w:r w:rsidRPr="00A13C01">
              <w:t>23</w:t>
            </w:r>
          </w:p>
        </w:tc>
      </w:tr>
      <w:tr w:rsidR="0016679C" w:rsidTr="00123319">
        <w:tc>
          <w:tcPr>
            <w:tcW w:w="1537" w:type="pct"/>
            <w:tcBorders>
              <w:bottom w:val="single" w:sz="4" w:space="0" w:color="auto"/>
            </w:tcBorders>
          </w:tcPr>
          <w:p w:rsidR="00C157EC" w:rsidRPr="00A13C01" w:rsidRDefault="00C157EC" w:rsidP="00123319">
            <w:pPr>
              <w:pStyle w:val="TableText"/>
              <w:jc w:val="center"/>
            </w:pPr>
            <w:r w:rsidRPr="00A13C01">
              <w:t>Rural</w:t>
            </w:r>
          </w:p>
        </w:tc>
        <w:tc>
          <w:tcPr>
            <w:tcW w:w="1443" w:type="pct"/>
            <w:tcBorders>
              <w:bottom w:val="single" w:sz="4" w:space="0" w:color="auto"/>
            </w:tcBorders>
          </w:tcPr>
          <w:p w:rsidR="00C157EC" w:rsidRPr="00A13C01" w:rsidRDefault="00C157EC" w:rsidP="0016679C">
            <w:pPr>
              <w:pStyle w:val="TableTextCentered"/>
            </w:pPr>
            <w:r w:rsidRPr="00A13C01">
              <w:t>&lt;0.00%</w:t>
            </w:r>
          </w:p>
        </w:tc>
        <w:tc>
          <w:tcPr>
            <w:tcW w:w="1011" w:type="pct"/>
            <w:tcBorders>
              <w:bottom w:val="single" w:sz="4" w:space="0" w:color="auto"/>
            </w:tcBorders>
          </w:tcPr>
          <w:p w:rsidR="00C157EC" w:rsidRPr="00A13C01" w:rsidRDefault="00C157EC" w:rsidP="0016679C">
            <w:pPr>
              <w:pStyle w:val="TableTextCentered"/>
            </w:pPr>
            <w:r w:rsidRPr="00A13C01">
              <w:t>-0.05%</w:t>
            </w:r>
          </w:p>
        </w:tc>
        <w:tc>
          <w:tcPr>
            <w:tcW w:w="1008" w:type="pct"/>
            <w:tcBorders>
              <w:bottom w:val="single" w:sz="4" w:space="0" w:color="auto"/>
            </w:tcBorders>
          </w:tcPr>
          <w:p w:rsidR="00C157EC" w:rsidRPr="00A13C01" w:rsidRDefault="00C157EC" w:rsidP="0016679C">
            <w:pPr>
              <w:pStyle w:val="TableTextCentered"/>
            </w:pPr>
            <w:r w:rsidRPr="00A13C01">
              <w:t>-4</w:t>
            </w:r>
          </w:p>
        </w:tc>
      </w:tr>
      <w:tr w:rsidR="000B3D52" w:rsidTr="00123319">
        <w:tc>
          <w:tcPr>
            <w:tcW w:w="1537" w:type="pct"/>
          </w:tcPr>
          <w:p w:rsidR="000B3D52" w:rsidRPr="00A13C01" w:rsidRDefault="000B3D52" w:rsidP="00123319">
            <w:pPr>
              <w:pStyle w:val="TableText"/>
              <w:jc w:val="center"/>
            </w:pPr>
            <w:r w:rsidRPr="00A13C01">
              <w:t>Statewide</w:t>
            </w:r>
          </w:p>
        </w:tc>
        <w:tc>
          <w:tcPr>
            <w:tcW w:w="1443" w:type="pct"/>
          </w:tcPr>
          <w:p w:rsidR="000B3D52" w:rsidRPr="00A13C01" w:rsidRDefault="000B3D52" w:rsidP="000B3D52">
            <w:pPr>
              <w:pStyle w:val="TableTextCentered"/>
            </w:pPr>
            <w:r w:rsidRPr="00281D9B">
              <w:rPr>
                <w:rFonts w:cstheme="majorHAnsi"/>
              </w:rPr>
              <w:t>-</w:t>
            </w:r>
            <w:r>
              <w:rPr>
                <w:rFonts w:cstheme="majorHAnsi"/>
              </w:rPr>
              <w:t>0</w:t>
            </w:r>
            <w:r w:rsidRPr="00281D9B">
              <w:rPr>
                <w:rFonts w:cstheme="majorHAnsi"/>
              </w:rPr>
              <w:t>.18</w:t>
            </w:r>
            <w:r>
              <w:rPr>
                <w:rFonts w:cstheme="majorHAnsi"/>
              </w:rPr>
              <w:t>%</w:t>
            </w:r>
          </w:p>
        </w:tc>
        <w:tc>
          <w:tcPr>
            <w:tcW w:w="1011" w:type="pct"/>
          </w:tcPr>
          <w:p w:rsidR="000B3D52" w:rsidRPr="00A13C01" w:rsidRDefault="000B3D52" w:rsidP="000B3D52">
            <w:pPr>
              <w:pStyle w:val="TableTextCentered"/>
            </w:pPr>
            <w:r w:rsidRPr="00281D9B">
              <w:rPr>
                <w:rFonts w:cstheme="majorHAnsi"/>
              </w:rPr>
              <w:t>-1.76</w:t>
            </w:r>
            <w:r>
              <w:rPr>
                <w:rFonts w:cstheme="majorHAnsi"/>
              </w:rPr>
              <w:t>%</w:t>
            </w:r>
          </w:p>
        </w:tc>
        <w:tc>
          <w:tcPr>
            <w:tcW w:w="1008" w:type="pct"/>
          </w:tcPr>
          <w:p w:rsidR="000B3D52" w:rsidRPr="00A13C01" w:rsidRDefault="000B3D52" w:rsidP="000B3D52">
            <w:pPr>
              <w:pStyle w:val="TableTextCentered"/>
            </w:pPr>
            <w:r w:rsidRPr="00281D9B">
              <w:rPr>
                <w:rFonts w:cstheme="majorHAnsi"/>
              </w:rPr>
              <w:t>-1,174</w:t>
            </w:r>
          </w:p>
        </w:tc>
      </w:tr>
    </w:tbl>
    <w:p w:rsidR="00C157EC" w:rsidRPr="0016679C" w:rsidRDefault="00C157EC" w:rsidP="0016679C">
      <w:pPr>
        <w:pStyle w:val="BodyText"/>
      </w:pPr>
      <w:r>
        <w:t>Given that demand is projected to increase slightly in cities over the first four projected years (2014</w:t>
      </w:r>
      <w:r w:rsidRPr="00F76D54">
        <w:t>–</w:t>
      </w:r>
      <w:r>
        <w:t>15 to 2017</w:t>
      </w:r>
      <w:r w:rsidRPr="00F76D54">
        <w:t>–</w:t>
      </w:r>
      <w:r>
        <w:t>18), the projected decline in supply may result in an exp</w:t>
      </w:r>
      <w:r w:rsidR="00E011CA">
        <w:t xml:space="preserve">ected shortage in this period. </w:t>
      </w:r>
      <w:r>
        <w:t xml:space="preserve">Moreover, as can be seen in </w:t>
      </w:r>
      <w:r w:rsidR="00F11661">
        <w:t>Figure</w:t>
      </w:r>
      <w:r>
        <w:t xml:space="preserve"> </w:t>
      </w:r>
      <w:r w:rsidR="00CA243F">
        <w:t>B11</w:t>
      </w:r>
      <w:r>
        <w:t xml:space="preserve">, unlike demand, supply is projected to steadily decline in all projected years for </w:t>
      </w:r>
      <w:r w:rsidR="00090E9F">
        <w:t>C</w:t>
      </w:r>
      <w:r>
        <w:t>ity districts. This finding supports the likelihood of a shortage, despite the fact that demand is expected to start declining after the fourth projected year. This finding is discussed in more detail later in this section.</w:t>
      </w:r>
    </w:p>
    <w:p w:rsidR="00C157EC" w:rsidRDefault="00CA243F" w:rsidP="0016679C">
      <w:pPr>
        <w:pStyle w:val="ExhibitTitle"/>
      </w:pPr>
      <w:r>
        <w:t>Figure</w:t>
      </w:r>
      <w:r w:rsidR="00C157EC" w:rsidRPr="006D0A7C">
        <w:t xml:space="preserve"> </w:t>
      </w:r>
      <w:r w:rsidR="00C157EC">
        <w:t>B</w:t>
      </w:r>
      <w:r>
        <w:t>11</w:t>
      </w:r>
      <w:r w:rsidR="00C157EC" w:rsidRPr="006D0A7C">
        <w:t xml:space="preserve">. </w:t>
      </w:r>
      <w:r w:rsidR="00C157EC" w:rsidRPr="002B58FC">
        <w:t>Historical and Projected</w:t>
      </w:r>
      <w:r w:rsidR="00C157EC">
        <w:t xml:space="preserve"> Supply of Teachers i</w:t>
      </w:r>
      <w:r w:rsidR="00D41F40">
        <w:t>n City Locales in Terms of FTEs,</w:t>
      </w:r>
      <w:r w:rsidR="00C157EC">
        <w:t xml:space="preserve"> </w:t>
      </w:r>
      <w:r w:rsidR="00D41F40">
        <w:t xml:space="preserve">    </w:t>
      </w:r>
      <w:r w:rsidR="00C157EC" w:rsidRPr="002B58FC">
        <w:t>20</w:t>
      </w:r>
      <w:r w:rsidR="00C157EC">
        <w:t>08</w:t>
      </w:r>
      <w:r w:rsidR="00C157EC" w:rsidRPr="00F76D54">
        <w:t>–</w:t>
      </w:r>
      <w:r w:rsidR="00C157EC" w:rsidRPr="002B58FC">
        <w:t>09</w:t>
      </w:r>
      <w:r w:rsidR="0092042A">
        <w:t xml:space="preserve"> </w:t>
      </w:r>
      <w:proofErr w:type="gramStart"/>
      <w:r w:rsidR="0092042A">
        <w:t>Through</w:t>
      </w:r>
      <w:proofErr w:type="gramEnd"/>
      <w:r w:rsidR="0092042A">
        <w:t xml:space="preserve"> </w:t>
      </w:r>
      <w:r w:rsidR="00C157EC" w:rsidRPr="002B58FC">
        <w:t>20</w:t>
      </w:r>
      <w:r w:rsidR="00C157EC">
        <w:t>23</w:t>
      </w:r>
      <w:r w:rsidR="00C157EC" w:rsidRPr="00F76D54">
        <w:t>–</w:t>
      </w:r>
      <w:r w:rsidR="00C157EC" w:rsidRPr="002B58FC">
        <w:t>24</w:t>
      </w:r>
    </w:p>
    <w:p w:rsidR="00C157EC" w:rsidRDefault="00C157EC" w:rsidP="0016679C">
      <w:pPr>
        <w:pStyle w:val="FigurePlacement"/>
      </w:pPr>
      <w:r w:rsidRPr="00D22F0B">
        <w:rPr>
          <w:noProof/>
          <w:lang w:eastAsia="zh-CN" w:bidi="km-KH"/>
        </w:rPr>
        <w:drawing>
          <wp:inline distT="0" distB="0" distL="0" distR="0">
            <wp:extent cx="5619750" cy="3657254"/>
            <wp:effectExtent l="19050" t="0" r="0" b="0"/>
            <wp:docPr id="59" name="Picture 59" descr="Figure B11. Historical and Projected Supply of Teachers in City Locales in Terms of FTE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7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51" t="3977" r="4604" b="6772"/>
                    <a:stretch/>
                  </pic:blipFill>
                  <pic:spPr bwMode="auto">
                    <a:xfrm>
                      <a:off x="0" y="0"/>
                      <a:ext cx="5620282"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Pr="00EB58A1" w:rsidRDefault="00C157EC" w:rsidP="00A46F58">
      <w:pPr>
        <w:pStyle w:val="BodyText"/>
        <w:rPr>
          <w:rFonts w:cstheme="majorHAnsi"/>
        </w:rPr>
      </w:pPr>
      <w:r w:rsidRPr="00A46F58">
        <w:rPr>
          <w:rFonts w:asciiTheme="majorHAnsi" w:hAnsiTheme="majorHAnsi" w:cstheme="majorHAnsi"/>
          <w:b/>
        </w:rPr>
        <w:t xml:space="preserve">Top </w:t>
      </w:r>
      <w:r w:rsidR="003F4F9F">
        <w:rPr>
          <w:rFonts w:asciiTheme="majorHAnsi" w:hAnsiTheme="majorHAnsi" w:cstheme="majorHAnsi"/>
          <w:b/>
        </w:rPr>
        <w:t>SO</w:t>
      </w:r>
      <w:r w:rsidR="003F4F9F" w:rsidRPr="00A46F58">
        <w:rPr>
          <w:rFonts w:asciiTheme="majorHAnsi" w:hAnsiTheme="majorHAnsi" w:cstheme="majorHAnsi"/>
          <w:b/>
        </w:rPr>
        <w:t xml:space="preserve"> </w:t>
      </w:r>
      <w:r w:rsidRPr="00A46F58">
        <w:rPr>
          <w:rFonts w:asciiTheme="majorHAnsi" w:hAnsiTheme="majorHAnsi" w:cstheme="majorHAnsi"/>
          <w:b/>
        </w:rPr>
        <w:t>Areas</w:t>
      </w:r>
    </w:p>
    <w:p w:rsidR="00C157EC" w:rsidRPr="00784319" w:rsidRDefault="00C157EC" w:rsidP="0016679C">
      <w:pPr>
        <w:pStyle w:val="BodyText"/>
      </w:pPr>
      <w:r>
        <w:t xml:space="preserve">Projected supply in the geographic areas surrounding the top five </w:t>
      </w:r>
      <w:r w:rsidR="003F4F9F">
        <w:t xml:space="preserve">SOs </w:t>
      </w:r>
      <w:r>
        <w:t>also mirrors the declining aggregate supply trend (</w:t>
      </w:r>
      <w:r w:rsidR="00CA243F">
        <w:t>Table</w:t>
      </w:r>
      <w:r>
        <w:t xml:space="preserve"> </w:t>
      </w:r>
      <w:r w:rsidR="00CA243F">
        <w:t>B19</w:t>
      </w:r>
      <w:r>
        <w:t>). Only districts in the area near the American International College are expected to see an increase in supply—though very slight—increasing by only 85 FTEs (1.52 percent) from 2014</w:t>
      </w:r>
      <w:r w:rsidRPr="00F76D54">
        <w:t>–</w:t>
      </w:r>
      <w:r>
        <w:t>15 to 2023</w:t>
      </w:r>
      <w:r w:rsidRPr="00F76D54">
        <w:t>–</w:t>
      </w:r>
      <w:r>
        <w:t>24. The largest decline is expected for districts near Lesley University, where supply is expected to drop by an average of 0.69 percent per year over the 10-year period, resulting in a total decline of 1,054 FTEs (6.68 percent).</w:t>
      </w:r>
    </w:p>
    <w:p w:rsidR="00C157EC" w:rsidRDefault="00CA243F" w:rsidP="00A46F58">
      <w:pPr>
        <w:pStyle w:val="ExhibitTitle"/>
      </w:pPr>
      <w:r>
        <w:t>Table</w:t>
      </w:r>
      <w:r w:rsidR="00C157EC" w:rsidRPr="000331C5">
        <w:t xml:space="preserve"> </w:t>
      </w:r>
      <w:r w:rsidR="00C157EC">
        <w:t>B</w:t>
      </w:r>
      <w:r>
        <w:t>19</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Supply</w:t>
      </w:r>
      <w:r w:rsidR="00C157EC" w:rsidRPr="002B58FC">
        <w:t xml:space="preserve"> </w:t>
      </w:r>
      <w:r w:rsidR="00C157EC">
        <w:t xml:space="preserve">by </w:t>
      </w:r>
      <w:r w:rsidR="003F4F9F">
        <w:t xml:space="preserve">SO </w:t>
      </w:r>
      <w:r w:rsidR="00C157EC">
        <w:t>Area</w:t>
      </w:r>
      <w:r w:rsidR="00D41F40">
        <w:t>,</w:t>
      </w:r>
      <w:r w:rsidR="00C157EC" w:rsidRPr="002B58FC">
        <w:t xml:space="preserve"> </w:t>
      </w:r>
      <w:r w:rsidR="00C157EC">
        <w:t>2013</w:t>
      </w:r>
      <w:r w:rsidR="00C157EC" w:rsidRPr="00F76D54">
        <w:t>–</w:t>
      </w:r>
      <w:r w:rsidR="00C157EC">
        <w:t>14</w:t>
      </w:r>
      <w:r w:rsidR="0092042A">
        <w:t xml:space="preserve"> </w:t>
      </w:r>
      <w:proofErr w:type="gramStart"/>
      <w:r w:rsidR="0092042A">
        <w:t>Through</w:t>
      </w:r>
      <w:proofErr w:type="gramEnd"/>
      <w:r w:rsidR="0092042A">
        <w:t xml:space="preserve"> </w:t>
      </w:r>
      <w:r w:rsidR="00C157EC">
        <w:t>2023</w:t>
      </w:r>
      <w:r w:rsidR="00C157EC" w:rsidRPr="00F76D54">
        <w:t>–</w:t>
      </w:r>
      <w:r w:rsidR="00D41F40">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1"/>
        <w:gridCol w:w="2677"/>
        <w:gridCol w:w="1939"/>
        <w:gridCol w:w="1933"/>
      </w:tblGrid>
      <w:tr w:rsidR="00C157EC" w:rsidTr="00346F80">
        <w:trPr>
          <w:cnfStyle w:val="100000000000"/>
        </w:trPr>
        <w:tc>
          <w:tcPr>
            <w:tcW w:w="2965" w:type="dxa"/>
            <w:tcBorders>
              <w:bottom w:val="single" w:sz="4" w:space="0" w:color="auto"/>
            </w:tcBorders>
          </w:tcPr>
          <w:p w:rsidR="00C157EC" w:rsidRDefault="003F4F9F" w:rsidP="00346F80">
            <w:pPr>
              <w:pStyle w:val="TableText"/>
              <w:jc w:val="center"/>
              <w:rPr>
                <w:rFonts w:ascii="Times New Roman" w:hAnsi="Times New Roman"/>
                <w:sz w:val="24"/>
                <w:szCs w:val="24"/>
              </w:rPr>
            </w:pPr>
            <w:r>
              <w:t xml:space="preserve">SO </w:t>
            </w:r>
            <w:r w:rsidR="00C157EC">
              <w:t>Area</w:t>
            </w:r>
          </w:p>
        </w:tc>
        <w:tc>
          <w:tcPr>
            <w:tcW w:w="2610" w:type="dxa"/>
            <w:tcBorders>
              <w:bottom w:val="single" w:sz="4" w:space="0" w:color="auto"/>
            </w:tcBorders>
          </w:tcPr>
          <w:p w:rsidR="00C157EC" w:rsidRDefault="00C157EC" w:rsidP="0016679C">
            <w:pPr>
              <w:pStyle w:val="TableTextCentered"/>
              <w:rPr>
                <w:rFonts w:ascii="Times New Roman" w:hAnsi="Times New Roman"/>
                <w:sz w:val="24"/>
                <w:szCs w:val="24"/>
              </w:rPr>
            </w:pPr>
            <w:r>
              <w:t>A</w:t>
            </w:r>
            <w:r w:rsidRPr="00C20B19">
              <w:t xml:space="preserve">verage </w:t>
            </w:r>
            <w:r>
              <w:t>Annual Percent</w:t>
            </w:r>
            <w:r w:rsidRPr="00C20B19">
              <w:t xml:space="preserve"> </w:t>
            </w:r>
            <w:r>
              <w:t>C</w:t>
            </w:r>
            <w:r w:rsidRPr="00C20B19">
              <w:t>hange</w:t>
            </w:r>
            <w:r>
              <w:t>:</w:t>
            </w:r>
            <w:r w:rsidRPr="00C20B19">
              <w:t xml:space="preserve"> 201</w:t>
            </w:r>
            <w:r>
              <w:t>3</w:t>
            </w:r>
            <w:r w:rsidRPr="00F76D54">
              <w:t>–</w:t>
            </w:r>
            <w:r w:rsidRPr="00C20B19">
              <w:t>1</w:t>
            </w:r>
            <w:r>
              <w:t>4</w:t>
            </w:r>
            <w:r w:rsidRPr="00C20B19">
              <w:t xml:space="preserve"> </w:t>
            </w:r>
            <w:r w:rsidR="00346F80">
              <w:t>Through</w:t>
            </w:r>
            <w:r w:rsidR="00346F80" w:rsidRPr="00C20B19">
              <w:t xml:space="preserve"> </w:t>
            </w:r>
            <w:r w:rsidRPr="00C20B19">
              <w:t>2023</w:t>
            </w:r>
            <w:r w:rsidRPr="00F76D54">
              <w:t>–</w:t>
            </w:r>
            <w:r w:rsidRPr="00C20B19">
              <w:t>24</w:t>
            </w:r>
          </w:p>
        </w:tc>
        <w:tc>
          <w:tcPr>
            <w:tcW w:w="1890" w:type="dxa"/>
            <w:tcBorders>
              <w:bottom w:val="single" w:sz="4" w:space="0" w:color="auto"/>
            </w:tcBorders>
          </w:tcPr>
          <w:p w:rsidR="00C157EC" w:rsidRDefault="00C157EC" w:rsidP="0016679C">
            <w:pPr>
              <w:pStyle w:val="TableTextCentered"/>
              <w:rPr>
                <w:rFonts w:ascii="Times New Roman" w:hAnsi="Times New Roman"/>
                <w:sz w:val="24"/>
                <w:szCs w:val="24"/>
              </w:rPr>
            </w:pPr>
            <w:r>
              <w:t>O</w:t>
            </w:r>
            <w:r w:rsidRPr="00C20B19">
              <w:t xml:space="preserve">verall </w:t>
            </w:r>
            <w:r>
              <w:t>Percent</w:t>
            </w:r>
            <w:r w:rsidRPr="00C20B19">
              <w:t xml:space="preserve"> </w:t>
            </w:r>
            <w:r>
              <w:t>C</w:t>
            </w:r>
            <w:r w:rsidRPr="00C20B19">
              <w:t>hange</w:t>
            </w:r>
            <w:r>
              <w:t>:</w:t>
            </w:r>
            <w:r w:rsidRPr="00C20B19">
              <w:t xml:space="preserve"> 201</w:t>
            </w:r>
            <w:r>
              <w:t>3</w:t>
            </w:r>
            <w:r w:rsidRPr="00F76D54">
              <w:t>–</w:t>
            </w:r>
            <w:r w:rsidRPr="00C20B19">
              <w:t>1</w:t>
            </w:r>
            <w:r>
              <w:t>4</w:t>
            </w:r>
            <w:r w:rsidRPr="00C20B19">
              <w:t xml:space="preserve"> </w:t>
            </w:r>
            <w:r w:rsidR="00346F80">
              <w:t>Through</w:t>
            </w:r>
            <w:r w:rsidR="00346F80" w:rsidRPr="00C20B19">
              <w:t xml:space="preserve"> </w:t>
            </w:r>
            <w:r w:rsidRPr="00C20B19">
              <w:t>2023</w:t>
            </w:r>
            <w:r w:rsidRPr="00F76D54">
              <w:t>–</w:t>
            </w:r>
            <w:r w:rsidRPr="00C20B19">
              <w:t>24</w:t>
            </w:r>
          </w:p>
        </w:tc>
        <w:tc>
          <w:tcPr>
            <w:tcW w:w="1885" w:type="dxa"/>
            <w:tcBorders>
              <w:bottom w:val="single" w:sz="4" w:space="0" w:color="auto"/>
            </w:tcBorders>
          </w:tcPr>
          <w:p w:rsidR="00C157EC" w:rsidRDefault="00C157EC" w:rsidP="0016679C">
            <w:pPr>
              <w:pStyle w:val="TableTextCentered"/>
              <w:rPr>
                <w:rFonts w:ascii="Times New Roman" w:hAnsi="Times New Roman"/>
                <w:sz w:val="24"/>
                <w:szCs w:val="24"/>
              </w:rPr>
            </w:pPr>
            <w:r>
              <w:t>O</w:t>
            </w:r>
            <w:r w:rsidRPr="00C20B19">
              <w:t xml:space="preserve">verall </w:t>
            </w:r>
            <w:r>
              <w:t>A</w:t>
            </w:r>
            <w:r w:rsidRPr="00C20B19">
              <w:t xml:space="preserve">bsolute </w:t>
            </w:r>
            <w:r>
              <w:t>C</w:t>
            </w:r>
            <w:r w:rsidRPr="00C20B19">
              <w:t>hange</w:t>
            </w:r>
            <w:r>
              <w:t xml:space="preserve">: </w:t>
            </w:r>
            <w:r w:rsidRPr="00C20B19">
              <w:t>201</w:t>
            </w:r>
            <w:r>
              <w:t>3</w:t>
            </w:r>
            <w:r w:rsidRPr="00F76D54">
              <w:t>–</w:t>
            </w:r>
            <w:r w:rsidRPr="00C20B19">
              <w:t>1</w:t>
            </w:r>
            <w:r>
              <w:t>4</w:t>
            </w:r>
            <w:r w:rsidRPr="00C20B19">
              <w:t xml:space="preserve"> </w:t>
            </w:r>
            <w:r w:rsidR="00346F80">
              <w:t>Through</w:t>
            </w:r>
            <w:r w:rsidR="00346F80" w:rsidRPr="00C20B19">
              <w:t xml:space="preserve"> </w:t>
            </w:r>
            <w:r w:rsidRPr="00C20B19">
              <w:t>2023</w:t>
            </w:r>
            <w:r w:rsidRPr="00F76D54">
              <w:t>–</w:t>
            </w:r>
            <w:r w:rsidRPr="00C20B19">
              <w:t>24</w:t>
            </w:r>
          </w:p>
        </w:tc>
      </w:tr>
      <w:tr w:rsidR="0016679C" w:rsidTr="00346F80">
        <w:tc>
          <w:tcPr>
            <w:tcW w:w="2965" w:type="dxa"/>
            <w:tcBorders>
              <w:bottom w:val="single" w:sz="4" w:space="0" w:color="auto"/>
            </w:tcBorders>
          </w:tcPr>
          <w:p w:rsidR="00C157EC" w:rsidRPr="003C0CB5" w:rsidRDefault="00C157EC" w:rsidP="00346F80">
            <w:pPr>
              <w:pStyle w:val="TableText"/>
              <w:jc w:val="center"/>
            </w:pPr>
            <w:r w:rsidRPr="003C0CB5">
              <w:t>American International College</w:t>
            </w:r>
          </w:p>
        </w:tc>
        <w:tc>
          <w:tcPr>
            <w:tcW w:w="2610" w:type="dxa"/>
            <w:tcBorders>
              <w:bottom w:val="single" w:sz="4" w:space="0" w:color="auto"/>
            </w:tcBorders>
          </w:tcPr>
          <w:p w:rsidR="00C157EC" w:rsidRPr="003C0CB5" w:rsidRDefault="00C157EC" w:rsidP="0016679C">
            <w:pPr>
              <w:pStyle w:val="TableTextCentered"/>
            </w:pPr>
            <w:r w:rsidRPr="003C0CB5">
              <w:t>0.15%</w:t>
            </w:r>
          </w:p>
        </w:tc>
        <w:tc>
          <w:tcPr>
            <w:tcW w:w="1890" w:type="dxa"/>
            <w:tcBorders>
              <w:bottom w:val="single" w:sz="4" w:space="0" w:color="auto"/>
            </w:tcBorders>
          </w:tcPr>
          <w:p w:rsidR="00C157EC" w:rsidRPr="003C0CB5" w:rsidRDefault="00C157EC" w:rsidP="0016679C">
            <w:pPr>
              <w:pStyle w:val="TableTextCentered"/>
            </w:pPr>
            <w:r w:rsidRPr="003C0CB5">
              <w:t>1.52%</w:t>
            </w:r>
          </w:p>
        </w:tc>
        <w:tc>
          <w:tcPr>
            <w:tcW w:w="1885" w:type="dxa"/>
            <w:tcBorders>
              <w:bottom w:val="single" w:sz="4" w:space="0" w:color="auto"/>
            </w:tcBorders>
          </w:tcPr>
          <w:p w:rsidR="00C157EC" w:rsidRPr="003C0CB5" w:rsidRDefault="00C157EC" w:rsidP="0016679C">
            <w:pPr>
              <w:pStyle w:val="TableTextCentered"/>
            </w:pPr>
            <w:r w:rsidRPr="003C0CB5">
              <w:t>85</w:t>
            </w:r>
          </w:p>
        </w:tc>
      </w:tr>
      <w:tr w:rsidR="00C157EC" w:rsidTr="00346F80">
        <w:tc>
          <w:tcPr>
            <w:tcW w:w="2965" w:type="dxa"/>
            <w:tcBorders>
              <w:bottom w:val="single" w:sz="4" w:space="0" w:color="auto"/>
            </w:tcBorders>
          </w:tcPr>
          <w:p w:rsidR="00C157EC" w:rsidRPr="003C0CB5" w:rsidRDefault="00C157EC" w:rsidP="00346F80">
            <w:pPr>
              <w:pStyle w:val="TableText"/>
              <w:jc w:val="center"/>
            </w:pPr>
            <w:r w:rsidRPr="003C0CB5">
              <w:t>Boston University</w:t>
            </w:r>
          </w:p>
        </w:tc>
        <w:tc>
          <w:tcPr>
            <w:tcW w:w="2610" w:type="dxa"/>
            <w:tcBorders>
              <w:bottom w:val="single" w:sz="4" w:space="0" w:color="auto"/>
            </w:tcBorders>
          </w:tcPr>
          <w:p w:rsidR="00C157EC" w:rsidRPr="003C0CB5" w:rsidRDefault="00C157EC" w:rsidP="0016679C">
            <w:pPr>
              <w:pStyle w:val="TableTextCentered"/>
            </w:pPr>
            <w:r w:rsidRPr="003C0CB5">
              <w:t>-0.18%</w:t>
            </w:r>
          </w:p>
        </w:tc>
        <w:tc>
          <w:tcPr>
            <w:tcW w:w="1890" w:type="dxa"/>
            <w:tcBorders>
              <w:bottom w:val="single" w:sz="4" w:space="0" w:color="auto"/>
            </w:tcBorders>
          </w:tcPr>
          <w:p w:rsidR="00C157EC" w:rsidRPr="003C0CB5" w:rsidRDefault="00C157EC" w:rsidP="0016679C">
            <w:pPr>
              <w:pStyle w:val="TableTextCentered"/>
            </w:pPr>
            <w:r w:rsidRPr="003C0CB5">
              <w:t>-1.78%</w:t>
            </w:r>
          </w:p>
        </w:tc>
        <w:tc>
          <w:tcPr>
            <w:tcW w:w="1885" w:type="dxa"/>
            <w:tcBorders>
              <w:bottom w:val="single" w:sz="4" w:space="0" w:color="auto"/>
            </w:tcBorders>
          </w:tcPr>
          <w:p w:rsidR="00C157EC" w:rsidRPr="003C0CB5" w:rsidRDefault="00C157EC" w:rsidP="0016679C">
            <w:pPr>
              <w:pStyle w:val="TableTextCentered"/>
            </w:pPr>
            <w:r w:rsidRPr="003C0CB5">
              <w:t>-714</w:t>
            </w:r>
          </w:p>
        </w:tc>
      </w:tr>
      <w:tr w:rsidR="0016679C" w:rsidTr="00346F80">
        <w:tc>
          <w:tcPr>
            <w:tcW w:w="2965" w:type="dxa"/>
            <w:tcBorders>
              <w:bottom w:val="single" w:sz="4" w:space="0" w:color="auto"/>
            </w:tcBorders>
          </w:tcPr>
          <w:p w:rsidR="00C157EC" w:rsidRPr="003C0CB5" w:rsidRDefault="00C157EC" w:rsidP="00346F80">
            <w:pPr>
              <w:pStyle w:val="TableText"/>
              <w:jc w:val="center"/>
            </w:pPr>
            <w:r w:rsidRPr="003C0CB5">
              <w:t>Bridgewater State</w:t>
            </w:r>
          </w:p>
        </w:tc>
        <w:tc>
          <w:tcPr>
            <w:tcW w:w="2610" w:type="dxa"/>
            <w:tcBorders>
              <w:bottom w:val="single" w:sz="4" w:space="0" w:color="auto"/>
            </w:tcBorders>
          </w:tcPr>
          <w:p w:rsidR="00C157EC" w:rsidRPr="003C0CB5" w:rsidRDefault="00C157EC" w:rsidP="0016679C">
            <w:pPr>
              <w:pStyle w:val="TableTextCentered"/>
            </w:pPr>
            <w:r w:rsidRPr="003C0CB5">
              <w:t>-0.07%</w:t>
            </w:r>
          </w:p>
        </w:tc>
        <w:tc>
          <w:tcPr>
            <w:tcW w:w="1890" w:type="dxa"/>
            <w:tcBorders>
              <w:bottom w:val="single" w:sz="4" w:space="0" w:color="auto"/>
            </w:tcBorders>
          </w:tcPr>
          <w:p w:rsidR="00C157EC" w:rsidRPr="003C0CB5" w:rsidRDefault="00C157EC" w:rsidP="0016679C">
            <w:pPr>
              <w:pStyle w:val="TableTextCentered"/>
            </w:pPr>
            <w:r w:rsidRPr="003C0CB5">
              <w:t>-0.66%</w:t>
            </w:r>
          </w:p>
        </w:tc>
        <w:tc>
          <w:tcPr>
            <w:tcW w:w="1885" w:type="dxa"/>
            <w:tcBorders>
              <w:bottom w:val="single" w:sz="4" w:space="0" w:color="auto"/>
            </w:tcBorders>
          </w:tcPr>
          <w:p w:rsidR="00C157EC" w:rsidRPr="003C0CB5" w:rsidRDefault="00C157EC" w:rsidP="0016679C">
            <w:pPr>
              <w:pStyle w:val="TableTextCentered"/>
            </w:pPr>
            <w:r w:rsidRPr="003C0CB5">
              <w:t>-171</w:t>
            </w:r>
          </w:p>
        </w:tc>
      </w:tr>
      <w:tr w:rsidR="00C157EC" w:rsidTr="00346F80">
        <w:tc>
          <w:tcPr>
            <w:tcW w:w="2965" w:type="dxa"/>
            <w:tcBorders>
              <w:bottom w:val="single" w:sz="4" w:space="0" w:color="auto"/>
            </w:tcBorders>
          </w:tcPr>
          <w:p w:rsidR="00C157EC" w:rsidRPr="003C0CB5" w:rsidRDefault="00C157EC" w:rsidP="00346F80">
            <w:pPr>
              <w:pStyle w:val="TableText"/>
              <w:jc w:val="center"/>
            </w:pPr>
            <w:r w:rsidRPr="003C0CB5">
              <w:t>Lesley University</w:t>
            </w:r>
          </w:p>
        </w:tc>
        <w:tc>
          <w:tcPr>
            <w:tcW w:w="2610" w:type="dxa"/>
            <w:tcBorders>
              <w:bottom w:val="single" w:sz="4" w:space="0" w:color="auto"/>
            </w:tcBorders>
          </w:tcPr>
          <w:p w:rsidR="00C157EC" w:rsidRPr="003C0CB5" w:rsidRDefault="00C157EC" w:rsidP="0016679C">
            <w:pPr>
              <w:pStyle w:val="TableTextCentered"/>
            </w:pPr>
            <w:r w:rsidRPr="003C0CB5">
              <w:t>-0.69%</w:t>
            </w:r>
          </w:p>
        </w:tc>
        <w:tc>
          <w:tcPr>
            <w:tcW w:w="1890" w:type="dxa"/>
            <w:tcBorders>
              <w:bottom w:val="single" w:sz="4" w:space="0" w:color="auto"/>
            </w:tcBorders>
          </w:tcPr>
          <w:p w:rsidR="00C157EC" w:rsidRPr="003C0CB5" w:rsidRDefault="00C157EC" w:rsidP="0016679C">
            <w:pPr>
              <w:pStyle w:val="TableTextCentered"/>
            </w:pPr>
            <w:r w:rsidRPr="003C0CB5">
              <w:t>-6.68%</w:t>
            </w:r>
          </w:p>
        </w:tc>
        <w:tc>
          <w:tcPr>
            <w:tcW w:w="1885" w:type="dxa"/>
            <w:tcBorders>
              <w:bottom w:val="single" w:sz="4" w:space="0" w:color="auto"/>
            </w:tcBorders>
          </w:tcPr>
          <w:p w:rsidR="00C157EC" w:rsidRPr="003C0CB5" w:rsidRDefault="00C157EC" w:rsidP="0016679C">
            <w:pPr>
              <w:pStyle w:val="TableTextCentered"/>
            </w:pPr>
            <w:r w:rsidRPr="003C0CB5">
              <w:t>-1,054</w:t>
            </w:r>
          </w:p>
        </w:tc>
      </w:tr>
      <w:tr w:rsidR="0016679C" w:rsidTr="00346F80">
        <w:tc>
          <w:tcPr>
            <w:tcW w:w="2965" w:type="dxa"/>
            <w:tcBorders>
              <w:bottom w:val="single" w:sz="4" w:space="0" w:color="auto"/>
            </w:tcBorders>
          </w:tcPr>
          <w:p w:rsidR="00C157EC" w:rsidRPr="003C0CB5" w:rsidRDefault="00C157EC" w:rsidP="00346F80">
            <w:pPr>
              <w:pStyle w:val="TableText"/>
              <w:jc w:val="center"/>
            </w:pPr>
            <w:r w:rsidRPr="003C0CB5">
              <w:t>Salem State University</w:t>
            </w:r>
          </w:p>
        </w:tc>
        <w:tc>
          <w:tcPr>
            <w:tcW w:w="2610" w:type="dxa"/>
            <w:tcBorders>
              <w:bottom w:val="single" w:sz="4" w:space="0" w:color="auto"/>
            </w:tcBorders>
          </w:tcPr>
          <w:p w:rsidR="00C157EC" w:rsidRPr="003C0CB5" w:rsidRDefault="00C157EC" w:rsidP="0016679C">
            <w:pPr>
              <w:pStyle w:val="TableTextCentered"/>
            </w:pPr>
            <w:r w:rsidRPr="003C0CB5">
              <w:t>-0.05%</w:t>
            </w:r>
          </w:p>
        </w:tc>
        <w:tc>
          <w:tcPr>
            <w:tcW w:w="1890" w:type="dxa"/>
            <w:tcBorders>
              <w:bottom w:val="single" w:sz="4" w:space="0" w:color="auto"/>
            </w:tcBorders>
          </w:tcPr>
          <w:p w:rsidR="00C157EC" w:rsidRPr="003C0CB5" w:rsidRDefault="00C157EC" w:rsidP="0016679C">
            <w:pPr>
              <w:pStyle w:val="TableTextCentered"/>
            </w:pPr>
            <w:r w:rsidRPr="003C0CB5">
              <w:t>-0.50%</w:t>
            </w:r>
          </w:p>
        </w:tc>
        <w:tc>
          <w:tcPr>
            <w:tcW w:w="1885" w:type="dxa"/>
            <w:tcBorders>
              <w:bottom w:val="single" w:sz="4" w:space="0" w:color="auto"/>
            </w:tcBorders>
          </w:tcPr>
          <w:p w:rsidR="00C157EC" w:rsidRPr="003C0CB5" w:rsidRDefault="00C157EC" w:rsidP="0016679C">
            <w:pPr>
              <w:pStyle w:val="TableTextCentered"/>
            </w:pPr>
            <w:r w:rsidRPr="003C0CB5">
              <w:t>-131</w:t>
            </w:r>
          </w:p>
        </w:tc>
      </w:tr>
      <w:tr w:rsidR="003E4995" w:rsidTr="00346F80">
        <w:tc>
          <w:tcPr>
            <w:tcW w:w="2965" w:type="dxa"/>
          </w:tcPr>
          <w:p w:rsidR="003E4995" w:rsidRPr="003C0CB5" w:rsidRDefault="003E4995" w:rsidP="00346F80">
            <w:pPr>
              <w:pStyle w:val="TableText"/>
              <w:jc w:val="center"/>
            </w:pPr>
            <w:r w:rsidRPr="003C0CB5">
              <w:t>Statewide</w:t>
            </w:r>
          </w:p>
        </w:tc>
        <w:tc>
          <w:tcPr>
            <w:tcW w:w="2610" w:type="dxa"/>
          </w:tcPr>
          <w:p w:rsidR="003E4995" w:rsidRPr="003C0CB5" w:rsidRDefault="003E4995" w:rsidP="003E4995">
            <w:pPr>
              <w:pStyle w:val="TableTextCentered"/>
            </w:pPr>
            <w:r w:rsidRPr="00281D9B">
              <w:rPr>
                <w:rFonts w:cstheme="majorHAnsi"/>
              </w:rPr>
              <w:t>-</w:t>
            </w:r>
            <w:r>
              <w:rPr>
                <w:rFonts w:cstheme="majorHAnsi"/>
              </w:rPr>
              <w:t>0</w:t>
            </w:r>
            <w:r w:rsidRPr="00281D9B">
              <w:rPr>
                <w:rFonts w:cstheme="majorHAnsi"/>
              </w:rPr>
              <w:t>.18</w:t>
            </w:r>
            <w:r>
              <w:rPr>
                <w:rFonts w:cstheme="majorHAnsi"/>
              </w:rPr>
              <w:t>%</w:t>
            </w:r>
          </w:p>
        </w:tc>
        <w:tc>
          <w:tcPr>
            <w:tcW w:w="1890" w:type="dxa"/>
          </w:tcPr>
          <w:p w:rsidR="003E4995" w:rsidRPr="003C0CB5" w:rsidRDefault="003E4995" w:rsidP="003E4995">
            <w:pPr>
              <w:pStyle w:val="TableTextCentered"/>
            </w:pPr>
            <w:r w:rsidRPr="00281D9B">
              <w:rPr>
                <w:rFonts w:cstheme="majorHAnsi"/>
              </w:rPr>
              <w:t>-1.76</w:t>
            </w:r>
            <w:r>
              <w:rPr>
                <w:rFonts w:cstheme="majorHAnsi"/>
              </w:rPr>
              <w:t>%</w:t>
            </w:r>
          </w:p>
        </w:tc>
        <w:tc>
          <w:tcPr>
            <w:tcW w:w="1885" w:type="dxa"/>
          </w:tcPr>
          <w:p w:rsidR="003E4995" w:rsidRPr="003C0CB5" w:rsidRDefault="003E4995" w:rsidP="003E4995">
            <w:pPr>
              <w:pStyle w:val="TableTextCentered"/>
            </w:pPr>
            <w:r w:rsidRPr="00281D9B">
              <w:rPr>
                <w:rFonts w:cstheme="majorHAnsi"/>
              </w:rPr>
              <w:t>-1,174</w:t>
            </w:r>
          </w:p>
        </w:tc>
      </w:tr>
    </w:tbl>
    <w:p w:rsidR="00C157EC" w:rsidRPr="00B81E92" w:rsidRDefault="00C157EC" w:rsidP="00B81E92">
      <w:pPr>
        <w:pStyle w:val="BodyText"/>
      </w:pPr>
      <w:r w:rsidRPr="002877B7">
        <w:t>The size of the projected decl</w:t>
      </w:r>
      <w:r>
        <w:t>ine for districts near</w:t>
      </w:r>
      <w:r w:rsidRPr="002877B7">
        <w:t xml:space="preserve"> </w:t>
      </w:r>
      <w:r>
        <w:t>Lesley</w:t>
      </w:r>
      <w:r w:rsidRPr="002877B7">
        <w:t xml:space="preserve"> University is note</w:t>
      </w:r>
      <w:r>
        <w:t>worthy because the expected drop in demand for these districts over the period is slightly smaller, suggesting there may be shortages in these districts. However, the expected difference is so slight that it may prove to be negligible. This finding is discussed further below.</w:t>
      </w:r>
    </w:p>
    <w:p w:rsidR="00C157EC" w:rsidRPr="00EB58A1" w:rsidRDefault="00C157EC" w:rsidP="00A46F58">
      <w:pPr>
        <w:pStyle w:val="BodyText"/>
        <w:rPr>
          <w:rFonts w:cstheme="majorHAnsi"/>
        </w:rPr>
      </w:pPr>
      <w:r w:rsidRPr="00A46F58">
        <w:rPr>
          <w:rFonts w:asciiTheme="majorHAnsi" w:hAnsiTheme="majorHAnsi" w:cstheme="majorHAnsi"/>
          <w:b/>
        </w:rPr>
        <w:t>Major Metropolitan Areas</w:t>
      </w:r>
    </w:p>
    <w:p w:rsidR="00C157EC" w:rsidRPr="00B81E92" w:rsidRDefault="00C157EC" w:rsidP="00B81E92">
      <w:pPr>
        <w:pStyle w:val="BodyText"/>
      </w:pPr>
      <w:r>
        <w:t>We also calculated aggregated supply projections for groups defined by those districts in the major metropolitan areas of the state (</w:t>
      </w:r>
      <w:r w:rsidR="00CA243F">
        <w:t>Table</w:t>
      </w:r>
      <w:r>
        <w:t xml:space="preserve"> </w:t>
      </w:r>
      <w:r w:rsidR="00CA243F">
        <w:t>B20</w:t>
      </w:r>
      <w:r>
        <w:t>). We found that most of these areas are expected to see a decline in supply between 2013</w:t>
      </w:r>
      <w:r w:rsidRPr="00F76D54">
        <w:t>–</w:t>
      </w:r>
      <w:r>
        <w:t>14 and 2023</w:t>
      </w:r>
      <w:r w:rsidRPr="00F76D54">
        <w:t>–</w:t>
      </w:r>
      <w:r>
        <w:t>24. Specifically, the Boston, Worcester, and Lowell/Lawrence metropolitan areas are all expected to decline, with the largest change in Worcester, where a decrease of 959 FTEs (11.32 percent) is expected over the period. The change seen in Lowell/Lawrence is, in part, explained by the large discrepancy between the most recent year of historical data and the first year of projected data (</w:t>
      </w:r>
      <w:r w:rsidR="00CA243F">
        <w:t>Figure</w:t>
      </w:r>
      <w:r>
        <w:t xml:space="preserve"> </w:t>
      </w:r>
      <w:r w:rsidR="00CA243F">
        <w:t>B1</w:t>
      </w:r>
      <w:r>
        <w:t>2). Although the trend over projected years of supply for Lowell/Lawrence is still likely to decline, the average year-over-year trend for projected years is much smaller when the most recent year of historical data is omitted. Only the Springfield metropolitan area is expected to see a modest increase in supply of 146 FTEs (1.87 percent) over the period.</w:t>
      </w:r>
    </w:p>
    <w:p w:rsidR="00C157EC" w:rsidRDefault="00CA243F" w:rsidP="00A46F58">
      <w:pPr>
        <w:pStyle w:val="ExhibitTitle"/>
      </w:pPr>
      <w:r>
        <w:t>Table</w:t>
      </w:r>
      <w:r w:rsidR="00C157EC" w:rsidRPr="000331C5">
        <w:t xml:space="preserve"> </w:t>
      </w:r>
      <w:r w:rsidR="00C157EC">
        <w:t>B</w:t>
      </w:r>
      <w:r>
        <w:t>20</w:t>
      </w:r>
      <w:r w:rsidR="00C157EC" w:rsidRPr="000331C5">
        <w:t>.</w:t>
      </w:r>
      <w:r w:rsidR="00C157EC">
        <w:t xml:space="preserve"> </w:t>
      </w:r>
      <w:r w:rsidR="00C157EC" w:rsidRPr="002B58FC">
        <w:t xml:space="preserve">Projected Percent </w:t>
      </w:r>
      <w:r w:rsidR="00C157EC">
        <w:t xml:space="preserve">and Absolute </w:t>
      </w:r>
      <w:r w:rsidR="00C157EC" w:rsidRPr="002B58FC">
        <w:t xml:space="preserve">Changes in Statewide </w:t>
      </w:r>
      <w:r w:rsidR="00C157EC">
        <w:t>Supply</w:t>
      </w:r>
      <w:r w:rsidR="00C157EC" w:rsidRPr="002B58FC">
        <w:t xml:space="preserve"> </w:t>
      </w:r>
      <w:r w:rsidR="00C157EC">
        <w:t>by Major Metropolitan Area</w:t>
      </w:r>
      <w:r w:rsidR="00D41F40">
        <w:t>,</w:t>
      </w:r>
      <w:r w:rsidR="00C157EC">
        <w:t xml:space="preserve"> 2013</w:t>
      </w:r>
      <w:r w:rsidR="00C157EC" w:rsidRPr="00235005">
        <w:t>–</w:t>
      </w:r>
      <w:r w:rsidR="00C157EC">
        <w:t>14</w:t>
      </w:r>
      <w:r w:rsidR="0092042A">
        <w:t xml:space="preserve"> </w:t>
      </w:r>
      <w:proofErr w:type="gramStart"/>
      <w:r w:rsidR="0092042A">
        <w:t>Through</w:t>
      </w:r>
      <w:proofErr w:type="gramEnd"/>
      <w:r w:rsidR="0092042A">
        <w:t xml:space="preserve"> </w:t>
      </w:r>
      <w:r w:rsidR="00C157EC">
        <w:t>2023</w:t>
      </w:r>
      <w:r w:rsidR="00C157EC" w:rsidRPr="00235005">
        <w:t>–</w:t>
      </w:r>
      <w:r w:rsidR="00D41F40">
        <w:t>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3042"/>
        <w:gridCol w:w="2676"/>
        <w:gridCol w:w="1939"/>
        <w:gridCol w:w="1933"/>
      </w:tblGrid>
      <w:tr w:rsidR="00B81E92" w:rsidTr="00346F80">
        <w:trPr>
          <w:cnfStyle w:val="100000000000"/>
        </w:trPr>
        <w:tc>
          <w:tcPr>
            <w:tcW w:w="1586" w:type="pct"/>
            <w:tcBorders>
              <w:bottom w:val="single" w:sz="4" w:space="0" w:color="auto"/>
            </w:tcBorders>
          </w:tcPr>
          <w:p w:rsidR="00C157EC" w:rsidRDefault="00C157EC" w:rsidP="00346F80">
            <w:pPr>
              <w:pStyle w:val="TableText"/>
              <w:jc w:val="center"/>
              <w:rPr>
                <w:rFonts w:ascii="Times New Roman" w:hAnsi="Times New Roman"/>
                <w:sz w:val="24"/>
                <w:szCs w:val="24"/>
              </w:rPr>
            </w:pPr>
            <w:r>
              <w:t>Major Metropolitan Area</w:t>
            </w:r>
          </w:p>
        </w:tc>
        <w:tc>
          <w:tcPr>
            <w:tcW w:w="1395" w:type="pct"/>
            <w:tcBorders>
              <w:bottom w:val="single" w:sz="4" w:space="0" w:color="auto"/>
            </w:tcBorders>
          </w:tcPr>
          <w:p w:rsidR="00C157EC" w:rsidRDefault="00C157EC" w:rsidP="00346F80">
            <w:pPr>
              <w:pStyle w:val="TableTextCentered"/>
              <w:rPr>
                <w:rFonts w:ascii="Times New Roman" w:hAnsi="Times New Roman"/>
                <w:sz w:val="24"/>
                <w:szCs w:val="24"/>
              </w:rPr>
            </w:pPr>
            <w:r>
              <w:t>A</w:t>
            </w:r>
            <w:r w:rsidRPr="00C20B19">
              <w:t xml:space="preserve">verage </w:t>
            </w:r>
            <w:r>
              <w:t>Annual Percent</w:t>
            </w:r>
            <w:r w:rsidRPr="00C20B19">
              <w:t xml:space="preserve"> </w:t>
            </w:r>
            <w:r>
              <w:t>C</w:t>
            </w:r>
            <w:r w:rsidRPr="00C20B19">
              <w:t>hange</w:t>
            </w:r>
            <w:r>
              <w:t>:</w:t>
            </w:r>
            <w:r w:rsidRPr="00C20B19">
              <w:t xml:space="preserve"> 201</w:t>
            </w:r>
            <w:r>
              <w:t>3</w:t>
            </w:r>
            <w:r w:rsidRPr="00235005">
              <w:t>–</w:t>
            </w:r>
            <w:r w:rsidRPr="00C20B19">
              <w:t>1</w:t>
            </w:r>
            <w:r>
              <w:t>4</w:t>
            </w:r>
            <w:r w:rsidRPr="00C20B19">
              <w:t xml:space="preserve"> </w:t>
            </w:r>
            <w:r w:rsidR="00346F80">
              <w:t xml:space="preserve">Through </w:t>
            </w:r>
            <w:r w:rsidRPr="00C20B19">
              <w:t>2023</w:t>
            </w:r>
            <w:r w:rsidRPr="00235005">
              <w:t>–</w:t>
            </w:r>
            <w:r w:rsidRPr="00C20B19">
              <w:t>24</w:t>
            </w:r>
          </w:p>
        </w:tc>
        <w:tc>
          <w:tcPr>
            <w:tcW w:w="1011" w:type="pct"/>
            <w:tcBorders>
              <w:bottom w:val="single" w:sz="4" w:space="0" w:color="auto"/>
            </w:tcBorders>
          </w:tcPr>
          <w:p w:rsidR="00C157EC" w:rsidRDefault="00C157EC" w:rsidP="00346F80">
            <w:pPr>
              <w:pStyle w:val="TableTextCentered"/>
              <w:rPr>
                <w:rFonts w:ascii="Times New Roman" w:hAnsi="Times New Roman"/>
                <w:sz w:val="24"/>
                <w:szCs w:val="24"/>
              </w:rPr>
            </w:pPr>
            <w:r>
              <w:t>O</w:t>
            </w:r>
            <w:r w:rsidRPr="00C20B19">
              <w:t xml:space="preserve">verall </w:t>
            </w:r>
            <w:r>
              <w:t>Percent</w:t>
            </w:r>
            <w:r w:rsidRPr="00C20B19">
              <w:t xml:space="preserve"> </w:t>
            </w:r>
            <w:r>
              <w:t>C</w:t>
            </w:r>
            <w:r w:rsidRPr="00C20B19">
              <w:t>hange</w:t>
            </w:r>
            <w:r>
              <w:t>:</w:t>
            </w:r>
            <w:r w:rsidRPr="00C20B19">
              <w:t xml:space="preserve"> 201</w:t>
            </w:r>
            <w:r>
              <w:t>3</w:t>
            </w:r>
            <w:r w:rsidRPr="00235005">
              <w:t>–</w:t>
            </w:r>
            <w:r w:rsidRPr="00C20B19">
              <w:t>1</w:t>
            </w:r>
            <w:r>
              <w:t>4</w:t>
            </w:r>
            <w:r w:rsidRPr="00C20B19">
              <w:t xml:space="preserve"> </w:t>
            </w:r>
            <w:r w:rsidR="00346F80">
              <w:t xml:space="preserve">Through </w:t>
            </w:r>
            <w:r w:rsidRPr="00C20B19">
              <w:t>2023</w:t>
            </w:r>
            <w:r w:rsidRPr="00235005">
              <w:t>–</w:t>
            </w:r>
            <w:r w:rsidRPr="00C20B19">
              <w:t>24</w:t>
            </w:r>
          </w:p>
        </w:tc>
        <w:tc>
          <w:tcPr>
            <w:tcW w:w="1008" w:type="pct"/>
            <w:tcBorders>
              <w:bottom w:val="single" w:sz="4" w:space="0" w:color="auto"/>
            </w:tcBorders>
          </w:tcPr>
          <w:p w:rsidR="00C157EC" w:rsidRDefault="00C157EC" w:rsidP="00346F80">
            <w:pPr>
              <w:pStyle w:val="TableTextCentered"/>
              <w:rPr>
                <w:rFonts w:ascii="Times New Roman" w:hAnsi="Times New Roman"/>
                <w:sz w:val="24"/>
                <w:szCs w:val="24"/>
              </w:rPr>
            </w:pPr>
            <w:r>
              <w:t>O</w:t>
            </w:r>
            <w:r w:rsidRPr="00C20B19">
              <w:t xml:space="preserve">verall </w:t>
            </w:r>
            <w:r>
              <w:t>A</w:t>
            </w:r>
            <w:r w:rsidRPr="00C20B19">
              <w:t xml:space="preserve">bsolute </w:t>
            </w:r>
            <w:r>
              <w:t>C</w:t>
            </w:r>
            <w:r w:rsidRPr="00C20B19">
              <w:t>hange</w:t>
            </w:r>
            <w:r>
              <w:t xml:space="preserve">: </w:t>
            </w:r>
            <w:r w:rsidRPr="00C20B19">
              <w:t>201</w:t>
            </w:r>
            <w:r>
              <w:t>3</w:t>
            </w:r>
            <w:r w:rsidRPr="00235005">
              <w:t>–</w:t>
            </w:r>
            <w:r w:rsidRPr="00C20B19">
              <w:t>1</w:t>
            </w:r>
            <w:r>
              <w:t>4</w:t>
            </w:r>
            <w:r w:rsidR="00346F80">
              <w:t xml:space="preserve"> Through </w:t>
            </w:r>
            <w:r w:rsidRPr="00C20B19">
              <w:t>2023</w:t>
            </w:r>
            <w:r w:rsidRPr="00235005">
              <w:t>–</w:t>
            </w:r>
            <w:r w:rsidRPr="00C20B19">
              <w:t>24</w:t>
            </w:r>
          </w:p>
        </w:tc>
      </w:tr>
      <w:tr w:rsidR="00B81E92" w:rsidTr="00346F80">
        <w:tc>
          <w:tcPr>
            <w:tcW w:w="1586" w:type="pct"/>
            <w:tcBorders>
              <w:bottom w:val="single" w:sz="4" w:space="0" w:color="auto"/>
            </w:tcBorders>
          </w:tcPr>
          <w:p w:rsidR="00C157EC" w:rsidRPr="003C0CB5" w:rsidRDefault="00C157EC" w:rsidP="00346F80">
            <w:pPr>
              <w:pStyle w:val="TableText"/>
              <w:jc w:val="center"/>
            </w:pPr>
            <w:r w:rsidRPr="003C0CB5">
              <w:t>Boston</w:t>
            </w:r>
          </w:p>
        </w:tc>
        <w:tc>
          <w:tcPr>
            <w:tcW w:w="1395" w:type="pct"/>
            <w:tcBorders>
              <w:bottom w:val="single" w:sz="4" w:space="0" w:color="auto"/>
            </w:tcBorders>
          </w:tcPr>
          <w:p w:rsidR="00C157EC" w:rsidRPr="003C0CB5" w:rsidRDefault="00C157EC" w:rsidP="00B81E92">
            <w:pPr>
              <w:pStyle w:val="TableTextCentered"/>
            </w:pPr>
            <w:r w:rsidRPr="003C0CB5">
              <w:t>-0.26%</w:t>
            </w:r>
          </w:p>
        </w:tc>
        <w:tc>
          <w:tcPr>
            <w:tcW w:w="1011" w:type="pct"/>
            <w:tcBorders>
              <w:bottom w:val="single" w:sz="4" w:space="0" w:color="auto"/>
            </w:tcBorders>
          </w:tcPr>
          <w:p w:rsidR="00C157EC" w:rsidRPr="003C0CB5" w:rsidRDefault="00C157EC" w:rsidP="00B81E92">
            <w:pPr>
              <w:pStyle w:val="TableTextCentered"/>
            </w:pPr>
            <w:r w:rsidRPr="003C0CB5">
              <w:t>-2.53%</w:t>
            </w:r>
          </w:p>
        </w:tc>
        <w:tc>
          <w:tcPr>
            <w:tcW w:w="1008" w:type="pct"/>
            <w:tcBorders>
              <w:bottom w:val="single" w:sz="4" w:space="0" w:color="auto"/>
            </w:tcBorders>
          </w:tcPr>
          <w:p w:rsidR="00C157EC" w:rsidRPr="003C0CB5" w:rsidRDefault="00C157EC" w:rsidP="00B81E92">
            <w:pPr>
              <w:pStyle w:val="TableTextCentered"/>
            </w:pPr>
            <w:r w:rsidRPr="003C0CB5">
              <w:t>-455</w:t>
            </w:r>
          </w:p>
        </w:tc>
      </w:tr>
      <w:tr w:rsidR="00B81E92" w:rsidTr="00346F80">
        <w:tc>
          <w:tcPr>
            <w:tcW w:w="1586" w:type="pct"/>
            <w:tcBorders>
              <w:bottom w:val="single" w:sz="4" w:space="0" w:color="auto"/>
            </w:tcBorders>
          </w:tcPr>
          <w:p w:rsidR="00C157EC" w:rsidRPr="003C0CB5" w:rsidRDefault="00C157EC" w:rsidP="00346F80">
            <w:pPr>
              <w:pStyle w:val="TableText"/>
              <w:jc w:val="center"/>
            </w:pPr>
            <w:r w:rsidRPr="003C0CB5">
              <w:t>Worcester</w:t>
            </w:r>
          </w:p>
        </w:tc>
        <w:tc>
          <w:tcPr>
            <w:tcW w:w="1395" w:type="pct"/>
            <w:tcBorders>
              <w:bottom w:val="single" w:sz="4" w:space="0" w:color="auto"/>
            </w:tcBorders>
          </w:tcPr>
          <w:p w:rsidR="00C157EC" w:rsidRPr="003C0CB5" w:rsidRDefault="00C157EC" w:rsidP="00B81E92">
            <w:pPr>
              <w:pStyle w:val="TableTextCentered"/>
            </w:pPr>
            <w:r w:rsidRPr="003C0CB5">
              <w:t>-1.19%</w:t>
            </w:r>
          </w:p>
        </w:tc>
        <w:tc>
          <w:tcPr>
            <w:tcW w:w="1011" w:type="pct"/>
            <w:tcBorders>
              <w:bottom w:val="single" w:sz="4" w:space="0" w:color="auto"/>
            </w:tcBorders>
          </w:tcPr>
          <w:p w:rsidR="00C157EC" w:rsidRPr="003C0CB5" w:rsidRDefault="00C157EC" w:rsidP="00B81E92">
            <w:pPr>
              <w:pStyle w:val="TableTextCentered"/>
            </w:pPr>
            <w:r w:rsidRPr="003C0CB5">
              <w:t>-11.32%</w:t>
            </w:r>
          </w:p>
        </w:tc>
        <w:tc>
          <w:tcPr>
            <w:tcW w:w="1008" w:type="pct"/>
            <w:tcBorders>
              <w:bottom w:val="single" w:sz="4" w:space="0" w:color="auto"/>
            </w:tcBorders>
          </w:tcPr>
          <w:p w:rsidR="00C157EC" w:rsidRPr="003C0CB5" w:rsidRDefault="00C157EC" w:rsidP="00B81E92">
            <w:pPr>
              <w:pStyle w:val="TableTextCentered"/>
            </w:pPr>
            <w:r w:rsidRPr="003C0CB5">
              <w:t>-959</w:t>
            </w:r>
          </w:p>
        </w:tc>
      </w:tr>
      <w:tr w:rsidR="00B81E92" w:rsidTr="00346F80">
        <w:tc>
          <w:tcPr>
            <w:tcW w:w="1586" w:type="pct"/>
            <w:tcBorders>
              <w:bottom w:val="single" w:sz="4" w:space="0" w:color="auto"/>
            </w:tcBorders>
          </w:tcPr>
          <w:p w:rsidR="00C157EC" w:rsidRPr="003C0CB5" w:rsidRDefault="00C157EC" w:rsidP="00346F80">
            <w:pPr>
              <w:pStyle w:val="TableText"/>
              <w:jc w:val="center"/>
            </w:pPr>
            <w:r w:rsidRPr="003C0CB5">
              <w:t>Springfield</w:t>
            </w:r>
          </w:p>
        </w:tc>
        <w:tc>
          <w:tcPr>
            <w:tcW w:w="1395" w:type="pct"/>
            <w:tcBorders>
              <w:bottom w:val="single" w:sz="4" w:space="0" w:color="auto"/>
            </w:tcBorders>
          </w:tcPr>
          <w:p w:rsidR="00C157EC" w:rsidRPr="003C0CB5" w:rsidRDefault="00C157EC" w:rsidP="00B81E92">
            <w:pPr>
              <w:pStyle w:val="TableTextCentered"/>
            </w:pPr>
            <w:r w:rsidRPr="003C0CB5">
              <w:t>0.19%</w:t>
            </w:r>
          </w:p>
        </w:tc>
        <w:tc>
          <w:tcPr>
            <w:tcW w:w="1011" w:type="pct"/>
            <w:tcBorders>
              <w:bottom w:val="single" w:sz="4" w:space="0" w:color="auto"/>
            </w:tcBorders>
          </w:tcPr>
          <w:p w:rsidR="00C157EC" w:rsidRPr="003C0CB5" w:rsidRDefault="00C157EC" w:rsidP="00B81E92">
            <w:pPr>
              <w:pStyle w:val="TableTextCentered"/>
            </w:pPr>
            <w:r w:rsidRPr="003C0CB5">
              <w:t>1.87%</w:t>
            </w:r>
          </w:p>
        </w:tc>
        <w:tc>
          <w:tcPr>
            <w:tcW w:w="1008" w:type="pct"/>
            <w:tcBorders>
              <w:bottom w:val="single" w:sz="4" w:space="0" w:color="auto"/>
            </w:tcBorders>
          </w:tcPr>
          <w:p w:rsidR="00C157EC" w:rsidRPr="003C0CB5" w:rsidRDefault="00C157EC" w:rsidP="00B81E92">
            <w:pPr>
              <w:pStyle w:val="TableTextCentered"/>
            </w:pPr>
            <w:r w:rsidRPr="003C0CB5">
              <w:t>146</w:t>
            </w:r>
          </w:p>
        </w:tc>
      </w:tr>
      <w:tr w:rsidR="00B81E92" w:rsidTr="00346F80">
        <w:tc>
          <w:tcPr>
            <w:tcW w:w="1586" w:type="pct"/>
            <w:tcBorders>
              <w:bottom w:val="single" w:sz="4" w:space="0" w:color="auto"/>
            </w:tcBorders>
          </w:tcPr>
          <w:p w:rsidR="00C157EC" w:rsidRPr="003C0CB5" w:rsidRDefault="00C157EC" w:rsidP="00346F80">
            <w:pPr>
              <w:pStyle w:val="TableText"/>
              <w:jc w:val="center"/>
            </w:pPr>
            <w:r w:rsidRPr="003C0CB5">
              <w:t>Lowell/Lawrence</w:t>
            </w:r>
          </w:p>
        </w:tc>
        <w:tc>
          <w:tcPr>
            <w:tcW w:w="1395" w:type="pct"/>
            <w:tcBorders>
              <w:bottom w:val="single" w:sz="4" w:space="0" w:color="auto"/>
            </w:tcBorders>
          </w:tcPr>
          <w:p w:rsidR="00C157EC" w:rsidRPr="003C0CB5" w:rsidRDefault="00C157EC" w:rsidP="00B81E92">
            <w:pPr>
              <w:pStyle w:val="TableTextCentered"/>
            </w:pPr>
            <w:r w:rsidRPr="003C0CB5">
              <w:t>-1.43%</w:t>
            </w:r>
          </w:p>
        </w:tc>
        <w:tc>
          <w:tcPr>
            <w:tcW w:w="1011" w:type="pct"/>
            <w:tcBorders>
              <w:bottom w:val="single" w:sz="4" w:space="0" w:color="auto"/>
            </w:tcBorders>
          </w:tcPr>
          <w:p w:rsidR="00C157EC" w:rsidRPr="003C0CB5" w:rsidRDefault="00C157EC" w:rsidP="00B81E92">
            <w:pPr>
              <w:pStyle w:val="TableTextCentered"/>
            </w:pPr>
            <w:r w:rsidRPr="003C0CB5">
              <w:t>-13.55%</w:t>
            </w:r>
          </w:p>
        </w:tc>
        <w:tc>
          <w:tcPr>
            <w:tcW w:w="1008" w:type="pct"/>
            <w:tcBorders>
              <w:bottom w:val="single" w:sz="4" w:space="0" w:color="auto"/>
            </w:tcBorders>
          </w:tcPr>
          <w:p w:rsidR="00C157EC" w:rsidRPr="003C0CB5" w:rsidRDefault="00C157EC" w:rsidP="00B81E92">
            <w:pPr>
              <w:pStyle w:val="TableTextCentered"/>
            </w:pPr>
            <w:r w:rsidRPr="003C0CB5">
              <w:t>-315</w:t>
            </w:r>
          </w:p>
        </w:tc>
      </w:tr>
      <w:tr w:rsidR="003E4995" w:rsidTr="00346F80">
        <w:tc>
          <w:tcPr>
            <w:tcW w:w="1586" w:type="pct"/>
          </w:tcPr>
          <w:p w:rsidR="003E4995" w:rsidRPr="003C0CB5" w:rsidRDefault="003E4995" w:rsidP="00346F80">
            <w:pPr>
              <w:pStyle w:val="TableText"/>
              <w:jc w:val="center"/>
            </w:pPr>
            <w:r w:rsidRPr="003C0CB5">
              <w:t>Statewide</w:t>
            </w:r>
          </w:p>
        </w:tc>
        <w:tc>
          <w:tcPr>
            <w:tcW w:w="1395" w:type="pct"/>
          </w:tcPr>
          <w:p w:rsidR="003E4995" w:rsidRPr="003C0CB5" w:rsidRDefault="003E4995" w:rsidP="003E4995">
            <w:pPr>
              <w:pStyle w:val="TableTextCentered"/>
            </w:pPr>
            <w:r w:rsidRPr="00281D9B">
              <w:rPr>
                <w:rFonts w:cstheme="majorHAnsi"/>
              </w:rPr>
              <w:t>-</w:t>
            </w:r>
            <w:r>
              <w:rPr>
                <w:rFonts w:cstheme="majorHAnsi"/>
              </w:rPr>
              <w:t>0</w:t>
            </w:r>
            <w:r w:rsidRPr="00281D9B">
              <w:rPr>
                <w:rFonts w:cstheme="majorHAnsi"/>
              </w:rPr>
              <w:t>.18</w:t>
            </w:r>
            <w:r>
              <w:rPr>
                <w:rFonts w:cstheme="majorHAnsi"/>
              </w:rPr>
              <w:t>%</w:t>
            </w:r>
          </w:p>
        </w:tc>
        <w:tc>
          <w:tcPr>
            <w:tcW w:w="1011" w:type="pct"/>
          </w:tcPr>
          <w:p w:rsidR="003E4995" w:rsidRPr="003C0CB5" w:rsidRDefault="003E4995" w:rsidP="003E4995">
            <w:pPr>
              <w:pStyle w:val="TableTextCentered"/>
            </w:pPr>
            <w:r w:rsidRPr="00281D9B">
              <w:rPr>
                <w:rFonts w:cstheme="majorHAnsi"/>
              </w:rPr>
              <w:t>-1.76</w:t>
            </w:r>
            <w:r>
              <w:rPr>
                <w:rFonts w:cstheme="majorHAnsi"/>
              </w:rPr>
              <w:t>%</w:t>
            </w:r>
          </w:p>
        </w:tc>
        <w:tc>
          <w:tcPr>
            <w:tcW w:w="1008" w:type="pct"/>
          </w:tcPr>
          <w:p w:rsidR="003E4995" w:rsidRPr="003C0CB5" w:rsidRDefault="003E4995" w:rsidP="003E4995">
            <w:pPr>
              <w:pStyle w:val="TableTextCentered"/>
            </w:pPr>
            <w:r w:rsidRPr="00281D9B">
              <w:rPr>
                <w:rFonts w:cstheme="majorHAnsi"/>
              </w:rPr>
              <w:t>-1,174</w:t>
            </w:r>
          </w:p>
        </w:tc>
      </w:tr>
    </w:tbl>
    <w:p w:rsidR="00C157EC" w:rsidRDefault="00CA243F" w:rsidP="00A46F58">
      <w:pPr>
        <w:pStyle w:val="ExhibitTitle"/>
      </w:pPr>
      <w:r>
        <w:t>Figure</w:t>
      </w:r>
      <w:r w:rsidR="00C157EC" w:rsidRPr="006D0A7C">
        <w:t xml:space="preserve"> </w:t>
      </w:r>
      <w:r w:rsidR="00C157EC">
        <w:t>B</w:t>
      </w:r>
      <w:r>
        <w:t>1</w:t>
      </w:r>
      <w:r w:rsidR="00C157EC">
        <w:t>2</w:t>
      </w:r>
      <w:r w:rsidR="00C157EC" w:rsidRPr="006D0A7C">
        <w:t xml:space="preserve">. </w:t>
      </w:r>
      <w:r w:rsidR="00C157EC" w:rsidRPr="002B58FC">
        <w:t>Historical and Projected</w:t>
      </w:r>
      <w:r w:rsidR="00C157EC">
        <w:t xml:space="preserve"> Supply of Teachers in the Lowell/Lawrence Area in Terms of FTEs</w:t>
      </w:r>
      <w:r w:rsidR="00D41F40">
        <w:t>,</w:t>
      </w:r>
      <w:r w:rsidR="00C157EC" w:rsidRPr="002B58FC">
        <w:t xml:space="preserve"> 20</w:t>
      </w:r>
      <w:r w:rsidR="00C157EC">
        <w:t>08</w:t>
      </w:r>
      <w:r w:rsidR="00C157EC" w:rsidRPr="00235005">
        <w:t>–</w:t>
      </w:r>
      <w:r w:rsidR="00C157EC" w:rsidRPr="002B58FC">
        <w:t xml:space="preserve">09 </w:t>
      </w:r>
      <w:proofErr w:type="gramStart"/>
      <w:r w:rsidR="00C157EC">
        <w:t>T</w:t>
      </w:r>
      <w:r w:rsidR="00C157EC" w:rsidRPr="002B58FC">
        <w:t>hrough</w:t>
      </w:r>
      <w:proofErr w:type="gramEnd"/>
      <w:r w:rsidR="00C157EC" w:rsidRPr="002B58FC">
        <w:t xml:space="preserve"> 20</w:t>
      </w:r>
      <w:r w:rsidR="00C157EC">
        <w:t>23</w:t>
      </w:r>
      <w:r w:rsidR="00C157EC" w:rsidRPr="00235005">
        <w:t>–</w:t>
      </w:r>
      <w:r w:rsidR="00C157EC" w:rsidRPr="002B58FC">
        <w:t>24</w:t>
      </w:r>
    </w:p>
    <w:p w:rsidR="00C157EC" w:rsidRDefault="00C157EC" w:rsidP="00B81E92">
      <w:pPr>
        <w:pStyle w:val="FigurePlacement"/>
      </w:pPr>
      <w:r w:rsidRPr="00D22F0B">
        <w:rPr>
          <w:noProof/>
          <w:lang w:eastAsia="zh-CN" w:bidi="km-KH"/>
        </w:rPr>
        <w:drawing>
          <wp:inline distT="0" distB="0" distL="0" distR="0">
            <wp:extent cx="5610225" cy="3656965"/>
            <wp:effectExtent l="19050" t="0" r="9525" b="0"/>
            <wp:docPr id="60" name="Picture 60" descr="Figure B12. Historical and Projected Supply of Teachers in the Lowell/Lawrence Area in Terms of FTE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7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33" t="3728" r="5130" b="7273"/>
                    <a:stretch/>
                  </pic:blipFill>
                  <pic:spPr bwMode="auto">
                    <a:xfrm>
                      <a:off x="0" y="0"/>
                      <a:ext cx="5611199"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Pr="00AB046F" w:rsidRDefault="00C157EC" w:rsidP="00B81E92">
      <w:pPr>
        <w:pStyle w:val="BodyText"/>
      </w:pPr>
      <w:r w:rsidRPr="00AB046F">
        <w:t xml:space="preserve">The size of the decline in supply for districts in </w:t>
      </w:r>
      <w:r>
        <w:t>the Worcester metropolitan area is noteworthy because it is larger than the projected decline in demand for these districts. This drop suggests there may be shortages over the projected years. This finding will be discussed further below.</w:t>
      </w:r>
    </w:p>
    <w:p w:rsidR="00B81E92" w:rsidRDefault="00B81E92" w:rsidP="00C157EC">
      <w:pPr>
        <w:pStyle w:val="Heading2"/>
        <w:sectPr w:rsidR="00B81E92" w:rsidSect="00787A89">
          <w:footerReference w:type="default" r:id="rId76"/>
          <w:pgSz w:w="12240" w:h="15840" w:code="1"/>
          <w:pgMar w:top="1440" w:right="1440" w:bottom="1440" w:left="1440" w:header="720" w:footer="720" w:gutter="0"/>
          <w:pgNumType w:start="1"/>
          <w:cols w:space="720"/>
          <w:docGrid w:linePitch="360"/>
        </w:sectPr>
      </w:pPr>
      <w:bookmarkStart w:id="174" w:name="_Toc435461202"/>
      <w:bookmarkStart w:id="175" w:name="_Toc436724318"/>
      <w:bookmarkEnd w:id="130"/>
    </w:p>
    <w:p w:rsidR="00C157EC" w:rsidRPr="00F10480" w:rsidRDefault="00C157EC" w:rsidP="00C157EC">
      <w:pPr>
        <w:pStyle w:val="Heading2"/>
      </w:pPr>
      <w:bookmarkStart w:id="176" w:name="_Toc437285006"/>
      <w:r>
        <w:t xml:space="preserve">Appendix C: </w:t>
      </w:r>
      <w:r w:rsidRPr="00F10480">
        <w:t>Validation Testing</w:t>
      </w:r>
      <w:bookmarkEnd w:id="174"/>
      <w:bookmarkEnd w:id="175"/>
      <w:bookmarkEnd w:id="176"/>
    </w:p>
    <w:p w:rsidR="00C157EC" w:rsidRDefault="00C157EC" w:rsidP="00185B4B">
      <w:pPr>
        <w:pStyle w:val="BodyText"/>
      </w:pPr>
      <w:r>
        <w:t xml:space="preserve">The research team conducted a number of tests to determine the validity of the estimated projections. Specifically, we considered the average percent errors (APEs) and mean absolute percent errors (MAPEs) for all projections based on a comparison of actual and projected values. We also considered the 95 percent confidence intervals around the regression-based projections as applicable. Below is a detailed summary of these tests and the results for each analysis. </w:t>
      </w:r>
    </w:p>
    <w:p w:rsidR="00C157EC" w:rsidRDefault="00C157EC" w:rsidP="00DB5F20">
      <w:pPr>
        <w:pStyle w:val="Heading3NoTOC"/>
      </w:pPr>
      <w:bookmarkStart w:id="177" w:name="_Toc436724319"/>
      <w:r>
        <w:t>Average Percent Errors (APEs) and Mean Absolute Percent Errors (MAPEs)</w:t>
      </w:r>
      <w:bookmarkEnd w:id="177"/>
    </w:p>
    <w:p w:rsidR="00C157EC" w:rsidRPr="00414B72" w:rsidRDefault="00C157EC" w:rsidP="00C157EC">
      <w:pPr>
        <w:pStyle w:val="BodyText"/>
      </w:pPr>
      <w:r w:rsidRPr="00414B72">
        <w:t xml:space="preserve">To test for the bias and accuracy of </w:t>
      </w:r>
      <w:r>
        <w:t>our</w:t>
      </w:r>
      <w:r w:rsidRPr="00414B72">
        <w:t xml:space="preserve"> projections, we compared projected valu</w:t>
      </w:r>
      <w:r>
        <w:t>es with actual values in historical years</w:t>
      </w:r>
      <w:r w:rsidRPr="00414B72">
        <w:t>. Specifically, we calculated two metrics commonly used to assess validity, the APE, and</w:t>
      </w:r>
      <w:r w:rsidR="00BD7B11">
        <w:t xml:space="preserve"> </w:t>
      </w:r>
      <w:r w:rsidRPr="00414B72">
        <w:t xml:space="preserve">MAPE. APEs generally are used to determine whether projected values are biased in a particular direction, while MAPEs are used to assess the magnitude of the discrepancy. The equations we used to calculate these metrics are displayed </w:t>
      </w:r>
      <w:r>
        <w:t xml:space="preserve">in </w:t>
      </w:r>
      <w:r w:rsidR="00CA243F">
        <w:t>Box</w:t>
      </w:r>
      <w:r>
        <w:t xml:space="preserve"> C1.</w:t>
      </w:r>
    </w:p>
    <w:p w:rsidR="00C157EC" w:rsidRPr="00414B72" w:rsidRDefault="00CA243F" w:rsidP="00185B4B">
      <w:pPr>
        <w:pStyle w:val="ExhibitTitle"/>
      </w:pPr>
      <w:r>
        <w:t>Box</w:t>
      </w:r>
      <w:r w:rsidR="00C157EC">
        <w:t xml:space="preserve"> C1.</w:t>
      </w:r>
      <w:r w:rsidR="00C157EC" w:rsidRPr="00414B72">
        <w:t xml:space="preserve"> Equations Used to Calculate the APE and MAPE Metrics</w:t>
      </w:r>
    </w:p>
    <w:tbl>
      <w:tblPr>
        <w:tblW w:w="0" w:type="auto"/>
        <w:tblBorders>
          <w:top w:val="single" w:sz="18" w:space="0" w:color="auto"/>
          <w:left w:val="single" w:sz="18" w:space="0" w:color="auto"/>
          <w:bottom w:val="single" w:sz="18" w:space="0" w:color="auto"/>
          <w:right w:val="single" w:sz="18" w:space="0" w:color="auto"/>
        </w:tblBorders>
        <w:tblLook w:val="04A0"/>
      </w:tblPr>
      <w:tblGrid>
        <w:gridCol w:w="9576"/>
      </w:tblGrid>
      <w:tr w:rsidR="00C157EC" w:rsidRPr="00DB15B7" w:rsidTr="00A63F22">
        <w:tc>
          <w:tcPr>
            <w:tcW w:w="9576" w:type="dxa"/>
            <w:tcBorders>
              <w:top w:val="single" w:sz="4" w:space="0" w:color="auto"/>
              <w:left w:val="single" w:sz="4" w:space="0" w:color="auto"/>
              <w:bottom w:val="single" w:sz="4" w:space="0" w:color="auto"/>
              <w:right w:val="single" w:sz="4" w:space="0" w:color="auto"/>
            </w:tcBorders>
          </w:tcPr>
          <w:p w:rsidR="00C157EC" w:rsidRPr="00E45232" w:rsidRDefault="00F86C51" w:rsidP="00FC31F1">
            <w:pPr>
              <w:spacing w:before="240"/>
              <w:jc w:val="center"/>
              <w:rPr>
                <w:i/>
              </w:rPr>
            </w:pPr>
            <m:oMathPara>
              <m:oMath>
                <m:r>
                  <w:rPr>
                    <w:rFonts w:ascii="Cambria Math" w:hAnsi="Cambria Math"/>
                  </w:rPr>
                  <m:t>APE=</m:t>
                </m:r>
                <m:f>
                  <m:fPr>
                    <m:ctrlPr>
                      <w:rPr>
                        <w:rFonts w:ascii="Cambria Math" w:hAnsi="Cambria Math"/>
                        <w:i/>
                      </w:rPr>
                    </m:ctrlPr>
                  </m:fPr>
                  <m:num>
                    <m:d>
                      <m:dPr>
                        <m:ctrlPr>
                          <w:rPr>
                            <w:rFonts w:ascii="Cambria Math" w:hAnsi="Cambria Math"/>
                            <w:i/>
                          </w:rPr>
                        </m:ctrlPr>
                      </m:dPr>
                      <m:e>
                        <m:r>
                          <w:rPr>
                            <w:rFonts w:ascii="Cambria Math" w:hAnsi="Cambria Math"/>
                          </w:rPr>
                          <m:t>predicted-actual</m:t>
                        </m:r>
                      </m:e>
                    </m:d>
                  </m:num>
                  <m:den>
                    <m:r>
                      <w:rPr>
                        <w:rFonts w:ascii="Cambria Math" w:hAnsi="Cambria Math"/>
                      </w:rPr>
                      <m:t>actual</m:t>
                    </m:r>
                  </m:den>
                </m:f>
              </m:oMath>
            </m:oMathPara>
          </w:p>
          <w:p w:rsidR="00C157EC" w:rsidRPr="00DB15B7" w:rsidRDefault="00C157EC" w:rsidP="00FC31F1">
            <w:pPr>
              <w:jc w:val="center"/>
              <w:rPr>
                <w:i/>
              </w:rPr>
            </w:pPr>
          </w:p>
        </w:tc>
      </w:tr>
      <w:tr w:rsidR="00C157EC" w:rsidRPr="00DB15B7" w:rsidTr="00A63F22">
        <w:trPr>
          <w:trHeight w:val="593"/>
        </w:trPr>
        <w:tc>
          <w:tcPr>
            <w:tcW w:w="9576" w:type="dxa"/>
            <w:tcBorders>
              <w:top w:val="single" w:sz="4" w:space="0" w:color="auto"/>
              <w:left w:val="single" w:sz="4" w:space="0" w:color="auto"/>
              <w:bottom w:val="single" w:sz="4" w:space="0" w:color="auto"/>
              <w:right w:val="single" w:sz="4" w:space="0" w:color="auto"/>
            </w:tcBorders>
          </w:tcPr>
          <w:p w:rsidR="00C157EC" w:rsidRPr="00591CFB" w:rsidRDefault="00C157EC" w:rsidP="00FC31F1">
            <w:pPr>
              <w:jc w:val="center"/>
              <w:rPr>
                <w:i/>
              </w:rPr>
            </w:pPr>
          </w:p>
          <w:p w:rsidR="00C157EC" w:rsidRPr="00E45232" w:rsidRDefault="00F86C51" w:rsidP="00FC31F1">
            <w:pPr>
              <w:jc w:val="center"/>
              <w:rPr>
                <w:i/>
              </w:rPr>
            </w:pPr>
            <m:oMathPara>
              <m:oMath>
                <m:r>
                  <w:rPr>
                    <w:rFonts w:ascii="Cambria Math" w:hAnsi="Cambria Math"/>
                  </w:rPr>
                  <m:t>MAPE=</m:t>
                </m:r>
                <m:f>
                  <m:fPr>
                    <m:ctrlPr>
                      <w:rPr>
                        <w:rFonts w:ascii="Cambria Math" w:hAnsi="Cambria Math"/>
                        <w:i/>
                      </w:rPr>
                    </m:ctrlPr>
                  </m:fPr>
                  <m:num>
                    <m:r>
                      <w:rPr>
                        <w:rFonts w:ascii="Cambria Math" w:hAnsi="Cambria Math"/>
                      </w:rPr>
                      <m:t>|</m:t>
                    </m:r>
                    <m:d>
                      <m:dPr>
                        <m:ctrlPr>
                          <w:rPr>
                            <w:rFonts w:ascii="Cambria Math" w:hAnsi="Cambria Math"/>
                            <w:i/>
                          </w:rPr>
                        </m:ctrlPr>
                      </m:dPr>
                      <m:e>
                        <m:r>
                          <w:rPr>
                            <w:rFonts w:ascii="Cambria Math" w:hAnsi="Cambria Math"/>
                          </w:rPr>
                          <m:t>predicted-actual</m:t>
                        </m:r>
                      </m:e>
                    </m:d>
                    <m:r>
                      <w:rPr>
                        <w:rFonts w:ascii="Cambria Math" w:hAnsi="Cambria Math"/>
                      </w:rPr>
                      <m:t>|</m:t>
                    </m:r>
                  </m:num>
                  <m:den>
                    <m:r>
                      <w:rPr>
                        <w:rFonts w:ascii="Cambria Math" w:hAnsi="Cambria Math"/>
                      </w:rPr>
                      <m:t>actual</m:t>
                    </m:r>
                  </m:den>
                </m:f>
              </m:oMath>
            </m:oMathPara>
          </w:p>
          <w:p w:rsidR="00C157EC" w:rsidRPr="00DB15B7" w:rsidRDefault="00C157EC" w:rsidP="00FC31F1">
            <w:pPr>
              <w:jc w:val="center"/>
              <w:rPr>
                <w:i/>
              </w:rPr>
            </w:pPr>
          </w:p>
        </w:tc>
      </w:tr>
    </w:tbl>
    <w:p w:rsidR="00C157EC" w:rsidRPr="00414B72" w:rsidRDefault="00C157EC" w:rsidP="00C157EC">
      <w:pPr>
        <w:pStyle w:val="BodyText"/>
      </w:pPr>
      <w:r w:rsidRPr="00414B72">
        <w:t xml:space="preserve">While no industry standard exists for an acceptable amount of bias and inaccuracy that we are aware of, others have suggested some guidelines. </w:t>
      </w:r>
      <w:proofErr w:type="spellStart"/>
      <w:r w:rsidRPr="00414B72">
        <w:t>Berk</w:t>
      </w:r>
      <w:proofErr w:type="spellEnd"/>
      <w:r w:rsidRPr="00414B72">
        <w:t xml:space="preserve"> and </w:t>
      </w:r>
      <w:proofErr w:type="spellStart"/>
      <w:r w:rsidRPr="00414B72">
        <w:t>Hodgins</w:t>
      </w:r>
      <w:proofErr w:type="spellEnd"/>
      <w:r w:rsidRPr="00414B72" w:rsidDel="008C0A68">
        <w:t xml:space="preserve"> </w:t>
      </w:r>
      <w:r w:rsidRPr="00414B72">
        <w:t xml:space="preserve">(2008) suggest that a MAPE of more than 10 percent suggests that future projections should be interpreted with caution. </w:t>
      </w:r>
      <w:r>
        <w:t>T</w:t>
      </w:r>
      <w:r w:rsidRPr="00414B72">
        <w:t xml:space="preserve">he </w:t>
      </w:r>
      <w:r w:rsidRPr="00414B72">
        <w:rPr>
          <w:i/>
        </w:rPr>
        <w:t>Minnesota Teacher Supply and Demand Report</w:t>
      </w:r>
      <w:r w:rsidRPr="00414B72">
        <w:t xml:space="preserve"> found that for three- and five-year enrollment projections, the best method tested produced MAPEs no higher than 5 percent. With these reports in mind, we have chosen to consider a MAPE of 7.5 percent high enough to warrant caution.</w:t>
      </w:r>
    </w:p>
    <w:p w:rsidR="00C157EC" w:rsidRDefault="00C157EC" w:rsidP="00185B4B">
      <w:pPr>
        <w:pStyle w:val="BodyText"/>
      </w:pPr>
      <w:r w:rsidRPr="00C01A6F">
        <w:t>The results of these tests for each projection analy</w:t>
      </w:r>
      <w:r>
        <w:t xml:space="preserve">sis are displayed in </w:t>
      </w:r>
      <w:r w:rsidR="00CA243F">
        <w:t xml:space="preserve">Table </w:t>
      </w:r>
      <w:r>
        <w:t>C</w:t>
      </w:r>
      <w:r w:rsidR="00CA243F">
        <w:t>1</w:t>
      </w:r>
      <w:r w:rsidRPr="00C01A6F">
        <w:t xml:space="preserve">. </w:t>
      </w:r>
      <w:r w:rsidR="00616EF3">
        <w:t xml:space="preserve">The metrics below represent APEs and MAPEs calculated at the level of analysis and averaged across </w:t>
      </w:r>
      <w:r w:rsidR="00603331">
        <w:t xml:space="preserve">all </w:t>
      </w:r>
      <w:r w:rsidR="00616EF3">
        <w:t xml:space="preserve">historical years. The only </w:t>
      </w:r>
      <w:proofErr w:type="gramStart"/>
      <w:r w:rsidR="00616EF3">
        <w:t>exception to this are</w:t>
      </w:r>
      <w:proofErr w:type="gramEnd"/>
      <w:r w:rsidR="00616EF3">
        <w:t xml:space="preserve"> enrollment projections, for which the error in each historical projected year is given. </w:t>
      </w:r>
      <w:r w:rsidRPr="00C01A6F">
        <w:t xml:space="preserve">Those MAPEs that exceed the 7.5 percent threshold have been </w:t>
      </w:r>
      <w:r>
        <w:t>bolded in red</w:t>
      </w:r>
      <w:r w:rsidRPr="00C01A6F">
        <w:t>.</w:t>
      </w:r>
    </w:p>
    <w:p w:rsidR="00C157EC" w:rsidRPr="00341E2E" w:rsidRDefault="00CA243F" w:rsidP="00185B4B">
      <w:pPr>
        <w:pStyle w:val="ExhibitTitle"/>
        <w:pageBreakBefore/>
      </w:pPr>
      <w:r>
        <w:t xml:space="preserve">Table </w:t>
      </w:r>
      <w:r w:rsidR="00C157EC">
        <w:t>C</w:t>
      </w:r>
      <w:r>
        <w:t>1</w:t>
      </w:r>
      <w:r w:rsidR="00C157EC">
        <w:t>.</w:t>
      </w:r>
      <w:r w:rsidR="00C157EC" w:rsidRPr="00341E2E">
        <w:t xml:space="preserve"> Relative Difference between the Projected and Actual </w:t>
      </w:r>
      <w:r w:rsidR="00C6217B">
        <w:t>Measures by Research Question (Averages Taken Across All Projected Years Except for Enrollments)</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6782"/>
        <w:gridCol w:w="1258"/>
        <w:gridCol w:w="1550"/>
      </w:tblGrid>
      <w:tr w:rsidR="00C157EC" w:rsidTr="00A2777B">
        <w:trPr>
          <w:cnfStyle w:val="100000000000"/>
          <w:trHeight w:val="485"/>
          <w:tblHeader/>
        </w:trPr>
        <w:tc>
          <w:tcPr>
            <w:tcW w:w="3536" w:type="pct"/>
            <w:tcBorders>
              <w:bottom w:val="single" w:sz="4" w:space="0" w:color="auto"/>
            </w:tcBorders>
          </w:tcPr>
          <w:p w:rsidR="00C157EC" w:rsidRPr="001749F6" w:rsidRDefault="00C157EC" w:rsidP="00A97FBB">
            <w:pPr>
              <w:pStyle w:val="TableText"/>
            </w:pPr>
            <w:r>
              <w:t>Research Question and Analysis</w:t>
            </w:r>
          </w:p>
        </w:tc>
        <w:tc>
          <w:tcPr>
            <w:tcW w:w="656" w:type="pct"/>
            <w:tcBorders>
              <w:bottom w:val="single" w:sz="4" w:space="0" w:color="auto"/>
            </w:tcBorders>
          </w:tcPr>
          <w:p w:rsidR="00C157EC" w:rsidRPr="001749F6" w:rsidRDefault="00C157EC" w:rsidP="00A97FBB">
            <w:pPr>
              <w:pStyle w:val="TableTextCentered"/>
            </w:pPr>
            <w:r w:rsidRPr="001749F6">
              <w:t>APE</w:t>
            </w:r>
          </w:p>
        </w:tc>
        <w:tc>
          <w:tcPr>
            <w:tcW w:w="808" w:type="pct"/>
            <w:tcBorders>
              <w:bottom w:val="single" w:sz="4" w:space="0" w:color="auto"/>
            </w:tcBorders>
          </w:tcPr>
          <w:p w:rsidR="00C157EC" w:rsidRPr="001749F6" w:rsidRDefault="00C157EC" w:rsidP="00A97FBB">
            <w:pPr>
              <w:pStyle w:val="TableTextCentered"/>
            </w:pPr>
            <w:r w:rsidRPr="001749F6">
              <w:t>MAPE</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RQ1: 1-Year Enrollment Projections</w:t>
            </w:r>
          </w:p>
        </w:tc>
        <w:tc>
          <w:tcPr>
            <w:tcW w:w="656" w:type="pct"/>
            <w:tcBorders>
              <w:bottom w:val="single" w:sz="4" w:space="0" w:color="auto"/>
            </w:tcBorders>
          </w:tcPr>
          <w:p w:rsidR="00C157EC" w:rsidRPr="001749F6" w:rsidRDefault="00C157EC" w:rsidP="00185B4B">
            <w:pPr>
              <w:pStyle w:val="TableTextCentered"/>
            </w:pPr>
            <w:r w:rsidRPr="001749F6">
              <w:t>0.38%</w:t>
            </w:r>
          </w:p>
        </w:tc>
        <w:tc>
          <w:tcPr>
            <w:tcW w:w="808" w:type="pct"/>
            <w:tcBorders>
              <w:bottom w:val="single" w:sz="4" w:space="0" w:color="auto"/>
            </w:tcBorders>
          </w:tcPr>
          <w:p w:rsidR="00C157EC" w:rsidRPr="001749F6" w:rsidRDefault="00C157EC" w:rsidP="00185B4B">
            <w:pPr>
              <w:pStyle w:val="TableTextCentered"/>
            </w:pPr>
            <w:r w:rsidRPr="001749F6">
              <w:t>0.38%</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RQ1: 2-Year Enrollment Projections</w:t>
            </w:r>
          </w:p>
        </w:tc>
        <w:tc>
          <w:tcPr>
            <w:tcW w:w="656" w:type="pct"/>
            <w:tcBorders>
              <w:bottom w:val="single" w:sz="4" w:space="0" w:color="auto"/>
            </w:tcBorders>
          </w:tcPr>
          <w:p w:rsidR="00C157EC" w:rsidRPr="001749F6" w:rsidRDefault="00C157EC" w:rsidP="00185B4B">
            <w:pPr>
              <w:pStyle w:val="TableTextCentered"/>
            </w:pPr>
            <w:r w:rsidRPr="001749F6">
              <w:t>0.74%</w:t>
            </w:r>
          </w:p>
        </w:tc>
        <w:tc>
          <w:tcPr>
            <w:tcW w:w="808" w:type="pct"/>
            <w:tcBorders>
              <w:bottom w:val="single" w:sz="4" w:space="0" w:color="auto"/>
            </w:tcBorders>
          </w:tcPr>
          <w:p w:rsidR="00C157EC" w:rsidRPr="001749F6" w:rsidRDefault="00C157EC" w:rsidP="00185B4B">
            <w:pPr>
              <w:pStyle w:val="TableTextCentered"/>
            </w:pPr>
            <w:r w:rsidRPr="001749F6">
              <w:t>0.74%</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RQ1: 3-Year Enrollment Projections</w:t>
            </w:r>
          </w:p>
        </w:tc>
        <w:tc>
          <w:tcPr>
            <w:tcW w:w="656" w:type="pct"/>
            <w:tcBorders>
              <w:bottom w:val="single" w:sz="4" w:space="0" w:color="auto"/>
            </w:tcBorders>
          </w:tcPr>
          <w:p w:rsidR="00C157EC" w:rsidRPr="001749F6" w:rsidRDefault="00C157EC" w:rsidP="00185B4B">
            <w:pPr>
              <w:pStyle w:val="TableTextCentered"/>
            </w:pPr>
            <w:r w:rsidRPr="001749F6">
              <w:t>0.82%</w:t>
            </w:r>
          </w:p>
        </w:tc>
        <w:tc>
          <w:tcPr>
            <w:tcW w:w="808" w:type="pct"/>
            <w:tcBorders>
              <w:bottom w:val="single" w:sz="4" w:space="0" w:color="auto"/>
            </w:tcBorders>
          </w:tcPr>
          <w:p w:rsidR="00C157EC" w:rsidRPr="001749F6" w:rsidRDefault="00C157EC" w:rsidP="00185B4B">
            <w:pPr>
              <w:pStyle w:val="TableTextCentered"/>
            </w:pPr>
            <w:r w:rsidRPr="001749F6">
              <w:t>0.82%</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RQ1: 4-Year Enrollment Projections</w:t>
            </w:r>
          </w:p>
        </w:tc>
        <w:tc>
          <w:tcPr>
            <w:tcW w:w="656" w:type="pct"/>
            <w:tcBorders>
              <w:bottom w:val="single" w:sz="4" w:space="0" w:color="auto"/>
            </w:tcBorders>
          </w:tcPr>
          <w:p w:rsidR="00C157EC" w:rsidRPr="001749F6" w:rsidRDefault="00C157EC" w:rsidP="00185B4B">
            <w:pPr>
              <w:pStyle w:val="TableTextCentered"/>
            </w:pPr>
            <w:r w:rsidRPr="001749F6">
              <w:t>1.07%</w:t>
            </w:r>
          </w:p>
        </w:tc>
        <w:tc>
          <w:tcPr>
            <w:tcW w:w="808" w:type="pct"/>
            <w:tcBorders>
              <w:bottom w:val="single" w:sz="4" w:space="0" w:color="auto"/>
            </w:tcBorders>
          </w:tcPr>
          <w:p w:rsidR="00C157EC" w:rsidRPr="001749F6" w:rsidRDefault="00C157EC" w:rsidP="00185B4B">
            <w:pPr>
              <w:pStyle w:val="TableTextCentered"/>
            </w:pPr>
            <w:r w:rsidRPr="001749F6">
              <w:t>1.07%</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RQ1: 5-Year Enrollment Projections</w:t>
            </w:r>
          </w:p>
        </w:tc>
        <w:tc>
          <w:tcPr>
            <w:tcW w:w="656" w:type="pct"/>
            <w:tcBorders>
              <w:bottom w:val="single" w:sz="4" w:space="0" w:color="auto"/>
            </w:tcBorders>
          </w:tcPr>
          <w:p w:rsidR="00C157EC" w:rsidRPr="001749F6" w:rsidRDefault="00C157EC" w:rsidP="00185B4B">
            <w:pPr>
              <w:pStyle w:val="TableTextCentered"/>
            </w:pPr>
            <w:r w:rsidRPr="001749F6">
              <w:t>0.93%</w:t>
            </w:r>
          </w:p>
        </w:tc>
        <w:tc>
          <w:tcPr>
            <w:tcW w:w="808" w:type="pct"/>
            <w:tcBorders>
              <w:bottom w:val="single" w:sz="4" w:space="0" w:color="auto"/>
            </w:tcBorders>
          </w:tcPr>
          <w:p w:rsidR="00C157EC" w:rsidRPr="001749F6" w:rsidRDefault="00C157EC" w:rsidP="00185B4B">
            <w:pPr>
              <w:pStyle w:val="TableTextCentered"/>
            </w:pPr>
            <w:r w:rsidRPr="001749F6">
              <w:t>0.93%</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RQ1: 6-Year Enrollment Projections</w:t>
            </w:r>
          </w:p>
        </w:tc>
        <w:tc>
          <w:tcPr>
            <w:tcW w:w="656" w:type="pct"/>
            <w:tcBorders>
              <w:bottom w:val="single" w:sz="4" w:space="0" w:color="auto"/>
            </w:tcBorders>
          </w:tcPr>
          <w:p w:rsidR="00C157EC" w:rsidRPr="001749F6" w:rsidRDefault="00C157EC" w:rsidP="00185B4B">
            <w:pPr>
              <w:pStyle w:val="TableTextCentered"/>
            </w:pPr>
            <w:r w:rsidRPr="001749F6">
              <w:t>0.71%</w:t>
            </w:r>
          </w:p>
        </w:tc>
        <w:tc>
          <w:tcPr>
            <w:tcW w:w="808" w:type="pct"/>
            <w:tcBorders>
              <w:bottom w:val="single" w:sz="4" w:space="0" w:color="auto"/>
            </w:tcBorders>
          </w:tcPr>
          <w:p w:rsidR="00C157EC" w:rsidRPr="001749F6" w:rsidRDefault="00C157EC" w:rsidP="00185B4B">
            <w:pPr>
              <w:pStyle w:val="TableTextCentered"/>
            </w:pPr>
            <w:r w:rsidRPr="001749F6">
              <w:t>0.71%</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RQ1: 7-Year Enrollment Projections</w:t>
            </w:r>
          </w:p>
        </w:tc>
        <w:tc>
          <w:tcPr>
            <w:tcW w:w="656" w:type="pct"/>
            <w:tcBorders>
              <w:bottom w:val="single" w:sz="4" w:space="0" w:color="auto"/>
            </w:tcBorders>
          </w:tcPr>
          <w:p w:rsidR="00C157EC" w:rsidRPr="001749F6" w:rsidRDefault="00C157EC" w:rsidP="00185B4B">
            <w:pPr>
              <w:pStyle w:val="TableTextCentered"/>
            </w:pPr>
            <w:r w:rsidRPr="001749F6">
              <w:t>0.34%</w:t>
            </w:r>
          </w:p>
        </w:tc>
        <w:tc>
          <w:tcPr>
            <w:tcW w:w="808" w:type="pct"/>
            <w:tcBorders>
              <w:bottom w:val="single" w:sz="4" w:space="0" w:color="auto"/>
            </w:tcBorders>
          </w:tcPr>
          <w:p w:rsidR="00C157EC" w:rsidRPr="001749F6" w:rsidRDefault="00C157EC" w:rsidP="00185B4B">
            <w:pPr>
              <w:pStyle w:val="TableTextCentered"/>
            </w:pPr>
            <w:r w:rsidRPr="001749F6">
              <w:t>0.34%</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RQ1: 8-Year Enrollment Projections</w:t>
            </w:r>
          </w:p>
        </w:tc>
        <w:tc>
          <w:tcPr>
            <w:tcW w:w="656" w:type="pct"/>
            <w:tcBorders>
              <w:bottom w:val="single" w:sz="4" w:space="0" w:color="auto"/>
            </w:tcBorders>
          </w:tcPr>
          <w:p w:rsidR="00C157EC" w:rsidRPr="001749F6" w:rsidRDefault="00C157EC" w:rsidP="00185B4B">
            <w:pPr>
              <w:pStyle w:val="TableTextCentered"/>
            </w:pPr>
            <w:r w:rsidRPr="001749F6">
              <w:t>0.35%</w:t>
            </w:r>
          </w:p>
        </w:tc>
        <w:tc>
          <w:tcPr>
            <w:tcW w:w="808" w:type="pct"/>
            <w:tcBorders>
              <w:bottom w:val="single" w:sz="4" w:space="0" w:color="auto"/>
            </w:tcBorders>
          </w:tcPr>
          <w:p w:rsidR="00C157EC" w:rsidRPr="001749F6" w:rsidRDefault="00C157EC" w:rsidP="00185B4B">
            <w:pPr>
              <w:pStyle w:val="TableTextCentered"/>
            </w:pPr>
            <w:r w:rsidRPr="001749F6">
              <w:t>0.35%</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RQ1: 9-Year Enrollment Projections</w:t>
            </w:r>
          </w:p>
        </w:tc>
        <w:tc>
          <w:tcPr>
            <w:tcW w:w="656" w:type="pct"/>
            <w:tcBorders>
              <w:bottom w:val="single" w:sz="4" w:space="0" w:color="auto"/>
            </w:tcBorders>
          </w:tcPr>
          <w:p w:rsidR="00C157EC" w:rsidRPr="001749F6" w:rsidRDefault="00C157EC" w:rsidP="00185B4B">
            <w:pPr>
              <w:pStyle w:val="TableTextCentered"/>
            </w:pPr>
            <w:r w:rsidRPr="001749F6">
              <w:t>-0.08%</w:t>
            </w:r>
          </w:p>
        </w:tc>
        <w:tc>
          <w:tcPr>
            <w:tcW w:w="808" w:type="pct"/>
            <w:tcBorders>
              <w:bottom w:val="single" w:sz="4" w:space="0" w:color="auto"/>
            </w:tcBorders>
          </w:tcPr>
          <w:p w:rsidR="00C157EC" w:rsidRPr="001749F6" w:rsidRDefault="00C157EC" w:rsidP="00185B4B">
            <w:pPr>
              <w:pStyle w:val="TableTextCentered"/>
            </w:pPr>
            <w:r w:rsidRPr="001749F6">
              <w:t>0.08%</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RQ1: 10-Year Enrollment Projections</w:t>
            </w:r>
          </w:p>
        </w:tc>
        <w:tc>
          <w:tcPr>
            <w:tcW w:w="656" w:type="pct"/>
            <w:tcBorders>
              <w:bottom w:val="single" w:sz="4" w:space="0" w:color="auto"/>
            </w:tcBorders>
          </w:tcPr>
          <w:p w:rsidR="00C157EC" w:rsidRPr="001749F6" w:rsidRDefault="00C157EC" w:rsidP="00185B4B">
            <w:pPr>
              <w:pStyle w:val="TableTextCentered"/>
            </w:pPr>
            <w:r w:rsidRPr="001749F6">
              <w:t>-0.28%</w:t>
            </w:r>
          </w:p>
        </w:tc>
        <w:tc>
          <w:tcPr>
            <w:tcW w:w="808" w:type="pct"/>
            <w:tcBorders>
              <w:bottom w:val="single" w:sz="4" w:space="0" w:color="auto"/>
            </w:tcBorders>
          </w:tcPr>
          <w:p w:rsidR="00C157EC" w:rsidRPr="001749F6" w:rsidRDefault="00C157EC" w:rsidP="00185B4B">
            <w:pPr>
              <w:pStyle w:val="TableTextCentered"/>
            </w:pPr>
            <w:r w:rsidRPr="001749F6">
              <w:t>0.28%</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RQ2: Supply Total</w:t>
            </w:r>
          </w:p>
        </w:tc>
        <w:tc>
          <w:tcPr>
            <w:tcW w:w="656" w:type="pct"/>
            <w:tcBorders>
              <w:bottom w:val="single" w:sz="4" w:space="0" w:color="auto"/>
            </w:tcBorders>
          </w:tcPr>
          <w:p w:rsidR="00C157EC" w:rsidRPr="001749F6" w:rsidRDefault="00C157EC" w:rsidP="00185B4B">
            <w:pPr>
              <w:pStyle w:val="TableTextCentered"/>
            </w:pPr>
            <w:r w:rsidRPr="001749F6">
              <w:t>-0.11%</w:t>
            </w:r>
          </w:p>
        </w:tc>
        <w:tc>
          <w:tcPr>
            <w:tcW w:w="808" w:type="pct"/>
            <w:tcBorders>
              <w:bottom w:val="single" w:sz="4" w:space="0" w:color="auto"/>
            </w:tcBorders>
          </w:tcPr>
          <w:p w:rsidR="00C157EC" w:rsidRPr="001749F6" w:rsidRDefault="00C157EC" w:rsidP="00185B4B">
            <w:pPr>
              <w:pStyle w:val="TableTextCentered"/>
            </w:pPr>
            <w:r w:rsidRPr="001749F6">
              <w:t>0.79%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RQ2: Supply Teacher Counts</w:t>
            </w:r>
          </w:p>
        </w:tc>
        <w:tc>
          <w:tcPr>
            <w:tcW w:w="656" w:type="pct"/>
            <w:tcBorders>
              <w:bottom w:val="single" w:sz="4" w:space="0" w:color="auto"/>
            </w:tcBorders>
          </w:tcPr>
          <w:p w:rsidR="00C157EC" w:rsidRPr="001749F6" w:rsidRDefault="00C157EC" w:rsidP="00185B4B">
            <w:pPr>
              <w:pStyle w:val="TableTextCentered"/>
            </w:pPr>
            <w:r w:rsidRPr="001749F6">
              <w:t>-0.06%</w:t>
            </w:r>
          </w:p>
        </w:tc>
        <w:tc>
          <w:tcPr>
            <w:tcW w:w="808" w:type="pct"/>
            <w:tcBorders>
              <w:bottom w:val="single" w:sz="4" w:space="0" w:color="auto"/>
            </w:tcBorders>
          </w:tcPr>
          <w:p w:rsidR="00C157EC" w:rsidRPr="001749F6" w:rsidRDefault="00C157EC" w:rsidP="00185B4B">
            <w:pPr>
              <w:pStyle w:val="TableTextCentered"/>
            </w:pPr>
            <w:r w:rsidRPr="001749F6">
              <w:t>0.40%</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RQ2: Supply Retention</w:t>
            </w:r>
          </w:p>
        </w:tc>
        <w:tc>
          <w:tcPr>
            <w:tcW w:w="656" w:type="pct"/>
            <w:tcBorders>
              <w:bottom w:val="single" w:sz="4" w:space="0" w:color="auto"/>
            </w:tcBorders>
          </w:tcPr>
          <w:p w:rsidR="00C157EC" w:rsidRPr="001749F6" w:rsidRDefault="00C157EC" w:rsidP="00185B4B">
            <w:pPr>
              <w:pStyle w:val="TableTextCentered"/>
            </w:pPr>
            <w:r w:rsidRPr="001749F6">
              <w:t>-0.01%</w:t>
            </w:r>
          </w:p>
        </w:tc>
        <w:tc>
          <w:tcPr>
            <w:tcW w:w="808" w:type="pct"/>
            <w:tcBorders>
              <w:bottom w:val="single" w:sz="4" w:space="0" w:color="auto"/>
            </w:tcBorders>
          </w:tcPr>
          <w:p w:rsidR="00C157EC" w:rsidRPr="001749F6" w:rsidRDefault="00C157EC" w:rsidP="00185B4B">
            <w:pPr>
              <w:pStyle w:val="TableTextCentered"/>
            </w:pPr>
            <w:r w:rsidRPr="001749F6">
              <w:t>0.40%</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RQ2: Supply New Entrants</w:t>
            </w:r>
          </w:p>
        </w:tc>
        <w:tc>
          <w:tcPr>
            <w:tcW w:w="656" w:type="pct"/>
            <w:tcBorders>
              <w:bottom w:val="single" w:sz="4" w:space="0" w:color="auto"/>
            </w:tcBorders>
          </w:tcPr>
          <w:p w:rsidR="00C157EC" w:rsidRPr="001749F6" w:rsidRDefault="00C157EC" w:rsidP="00185B4B">
            <w:pPr>
              <w:pStyle w:val="TableTextCentered"/>
            </w:pPr>
            <w:r w:rsidRPr="001749F6">
              <w:t>0.46%</w:t>
            </w:r>
          </w:p>
        </w:tc>
        <w:tc>
          <w:tcPr>
            <w:tcW w:w="808" w:type="pct"/>
            <w:tcBorders>
              <w:bottom w:val="single" w:sz="4" w:space="0" w:color="auto"/>
            </w:tcBorders>
          </w:tcPr>
          <w:p w:rsidR="00C157EC" w:rsidRPr="001749F6" w:rsidRDefault="00C157EC" w:rsidP="00185B4B">
            <w:pPr>
              <w:pStyle w:val="TableTextCentered"/>
            </w:pPr>
            <w:r w:rsidRPr="001749F6">
              <w:t>4.13%</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 xml:space="preserve">RQ3a: </w:t>
            </w:r>
            <w:r>
              <w:t>General E</w:t>
            </w:r>
            <w:r w:rsidRPr="0044505A">
              <w:t>ducation</w:t>
            </w:r>
            <w:r w:rsidRPr="001749F6">
              <w:t xml:space="preserve"> Demand</w:t>
            </w:r>
          </w:p>
        </w:tc>
        <w:tc>
          <w:tcPr>
            <w:tcW w:w="656" w:type="pct"/>
            <w:tcBorders>
              <w:bottom w:val="single" w:sz="4" w:space="0" w:color="auto"/>
            </w:tcBorders>
          </w:tcPr>
          <w:p w:rsidR="00C157EC" w:rsidRPr="001749F6" w:rsidRDefault="00C157EC" w:rsidP="00185B4B">
            <w:pPr>
              <w:pStyle w:val="TableTextCentered"/>
            </w:pPr>
            <w:r w:rsidRPr="001749F6">
              <w:t>0.12%</w:t>
            </w:r>
          </w:p>
        </w:tc>
        <w:tc>
          <w:tcPr>
            <w:tcW w:w="808" w:type="pct"/>
            <w:tcBorders>
              <w:bottom w:val="single" w:sz="4" w:space="0" w:color="auto"/>
            </w:tcBorders>
          </w:tcPr>
          <w:p w:rsidR="00C157EC" w:rsidRPr="001749F6" w:rsidRDefault="00C157EC" w:rsidP="00185B4B">
            <w:pPr>
              <w:pStyle w:val="TableTextCentered"/>
            </w:pPr>
            <w:r w:rsidRPr="001749F6">
              <w:t>0.50%</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 xml:space="preserve">RQ3a: </w:t>
            </w:r>
            <w:r>
              <w:t>Special Education</w:t>
            </w:r>
            <w:r w:rsidRPr="001749F6">
              <w:t xml:space="preserve"> Demand</w:t>
            </w:r>
          </w:p>
        </w:tc>
        <w:tc>
          <w:tcPr>
            <w:tcW w:w="656" w:type="pct"/>
            <w:tcBorders>
              <w:bottom w:val="single" w:sz="4" w:space="0" w:color="auto"/>
            </w:tcBorders>
          </w:tcPr>
          <w:p w:rsidR="00C157EC" w:rsidRPr="001749F6" w:rsidRDefault="00C157EC" w:rsidP="00185B4B">
            <w:pPr>
              <w:pStyle w:val="TableTextCentered"/>
            </w:pPr>
            <w:r w:rsidRPr="001749F6">
              <w:t>-1.07%</w:t>
            </w:r>
          </w:p>
        </w:tc>
        <w:tc>
          <w:tcPr>
            <w:tcW w:w="808" w:type="pct"/>
            <w:tcBorders>
              <w:bottom w:val="single" w:sz="4" w:space="0" w:color="auto"/>
            </w:tcBorders>
          </w:tcPr>
          <w:p w:rsidR="00C157EC" w:rsidRPr="001749F6" w:rsidRDefault="00C157EC" w:rsidP="00185B4B">
            <w:pPr>
              <w:pStyle w:val="TableTextCentered"/>
            </w:pPr>
            <w:r w:rsidRPr="001749F6">
              <w:t>4.11%</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RQ3a: CTE Demand</w:t>
            </w:r>
          </w:p>
        </w:tc>
        <w:tc>
          <w:tcPr>
            <w:tcW w:w="656" w:type="pct"/>
            <w:tcBorders>
              <w:bottom w:val="single" w:sz="4" w:space="0" w:color="auto"/>
            </w:tcBorders>
          </w:tcPr>
          <w:p w:rsidR="00C157EC" w:rsidRPr="001749F6" w:rsidRDefault="00C157EC" w:rsidP="00185B4B">
            <w:pPr>
              <w:pStyle w:val="TableTextCentered"/>
            </w:pPr>
            <w:r w:rsidRPr="001749F6">
              <w:t>0.13%</w:t>
            </w:r>
          </w:p>
        </w:tc>
        <w:tc>
          <w:tcPr>
            <w:tcW w:w="808" w:type="pct"/>
            <w:tcBorders>
              <w:bottom w:val="single" w:sz="4" w:space="0" w:color="auto"/>
            </w:tcBorders>
          </w:tcPr>
          <w:p w:rsidR="00C157EC" w:rsidRPr="001749F6" w:rsidRDefault="00C157EC" w:rsidP="00185B4B">
            <w:pPr>
              <w:pStyle w:val="TableTextCentered"/>
            </w:pPr>
            <w:r w:rsidRPr="001749F6">
              <w:t>1.49%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RQ3a: ELL Demand</w:t>
            </w:r>
          </w:p>
        </w:tc>
        <w:tc>
          <w:tcPr>
            <w:tcW w:w="656" w:type="pct"/>
            <w:tcBorders>
              <w:bottom w:val="single" w:sz="4" w:space="0" w:color="auto"/>
            </w:tcBorders>
          </w:tcPr>
          <w:p w:rsidR="00C157EC" w:rsidRPr="001749F6" w:rsidRDefault="00C157EC" w:rsidP="00185B4B">
            <w:pPr>
              <w:pStyle w:val="TableTextCentered"/>
            </w:pPr>
            <w:r w:rsidRPr="001749F6">
              <w:t>4.64%</w:t>
            </w:r>
          </w:p>
        </w:tc>
        <w:tc>
          <w:tcPr>
            <w:tcW w:w="808" w:type="pct"/>
            <w:tcBorders>
              <w:bottom w:val="single" w:sz="4" w:space="0" w:color="auto"/>
            </w:tcBorders>
          </w:tcPr>
          <w:p w:rsidR="00C157EC" w:rsidRPr="00872D4B" w:rsidRDefault="00C157EC" w:rsidP="00185B4B">
            <w:pPr>
              <w:pStyle w:val="TableTextCentered"/>
              <w:rPr>
                <w:b/>
                <w:color w:val="FF0000"/>
              </w:rPr>
            </w:pPr>
            <w:r w:rsidRPr="00872D4B">
              <w:rPr>
                <w:b/>
                <w:color w:val="FF0000"/>
              </w:rPr>
              <w:t>7.84%</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 xml:space="preserve">RQ3b: </w:t>
            </w:r>
            <w:r>
              <w:t>General E</w:t>
            </w:r>
            <w:r w:rsidRPr="0044505A">
              <w:t>ducation</w:t>
            </w:r>
            <w:r w:rsidRPr="001749F6">
              <w:t xml:space="preserve"> Supply</w:t>
            </w:r>
          </w:p>
        </w:tc>
        <w:tc>
          <w:tcPr>
            <w:tcW w:w="656" w:type="pct"/>
            <w:tcBorders>
              <w:bottom w:val="single" w:sz="4" w:space="0" w:color="auto"/>
            </w:tcBorders>
          </w:tcPr>
          <w:p w:rsidR="00C157EC" w:rsidRPr="001749F6" w:rsidRDefault="00C157EC" w:rsidP="00185B4B">
            <w:pPr>
              <w:pStyle w:val="TableTextCentered"/>
            </w:pPr>
            <w:r w:rsidRPr="001749F6">
              <w:t>0.01%</w:t>
            </w:r>
          </w:p>
        </w:tc>
        <w:tc>
          <w:tcPr>
            <w:tcW w:w="808" w:type="pct"/>
            <w:tcBorders>
              <w:bottom w:val="single" w:sz="4" w:space="0" w:color="auto"/>
            </w:tcBorders>
          </w:tcPr>
          <w:p w:rsidR="00C157EC" w:rsidRPr="001749F6" w:rsidRDefault="00C157EC" w:rsidP="00185B4B">
            <w:pPr>
              <w:pStyle w:val="TableTextCentered"/>
            </w:pPr>
            <w:r w:rsidRPr="001749F6">
              <w:t>0.38%</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 xml:space="preserve">RQ3b: </w:t>
            </w:r>
            <w:r>
              <w:t>Special Education</w:t>
            </w:r>
            <w:r w:rsidRPr="001749F6">
              <w:t xml:space="preserve"> Supply</w:t>
            </w:r>
          </w:p>
        </w:tc>
        <w:tc>
          <w:tcPr>
            <w:tcW w:w="656" w:type="pct"/>
            <w:tcBorders>
              <w:bottom w:val="single" w:sz="4" w:space="0" w:color="auto"/>
            </w:tcBorders>
          </w:tcPr>
          <w:p w:rsidR="00C157EC" w:rsidRPr="001749F6" w:rsidRDefault="00C157EC" w:rsidP="00185B4B">
            <w:pPr>
              <w:pStyle w:val="TableTextCentered"/>
            </w:pPr>
            <w:r w:rsidRPr="001749F6">
              <w:t>0.16%</w:t>
            </w:r>
          </w:p>
        </w:tc>
        <w:tc>
          <w:tcPr>
            <w:tcW w:w="808" w:type="pct"/>
            <w:tcBorders>
              <w:bottom w:val="single" w:sz="4" w:space="0" w:color="auto"/>
            </w:tcBorders>
          </w:tcPr>
          <w:p w:rsidR="00C157EC" w:rsidRPr="001749F6" w:rsidRDefault="00C157EC" w:rsidP="00185B4B">
            <w:pPr>
              <w:pStyle w:val="TableTextCentered"/>
            </w:pPr>
            <w:r w:rsidRPr="001749F6">
              <w:t>3.45%</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RQ3b: CTE Supply</w:t>
            </w:r>
          </w:p>
        </w:tc>
        <w:tc>
          <w:tcPr>
            <w:tcW w:w="656" w:type="pct"/>
            <w:tcBorders>
              <w:bottom w:val="single" w:sz="4" w:space="0" w:color="auto"/>
            </w:tcBorders>
          </w:tcPr>
          <w:p w:rsidR="00C157EC" w:rsidRPr="001749F6" w:rsidRDefault="00C157EC" w:rsidP="00185B4B">
            <w:pPr>
              <w:pStyle w:val="TableTextCentered"/>
            </w:pPr>
            <w:r w:rsidRPr="001749F6">
              <w:t>0.46%</w:t>
            </w:r>
          </w:p>
        </w:tc>
        <w:tc>
          <w:tcPr>
            <w:tcW w:w="808" w:type="pct"/>
            <w:tcBorders>
              <w:bottom w:val="single" w:sz="4" w:space="0" w:color="auto"/>
            </w:tcBorders>
          </w:tcPr>
          <w:p w:rsidR="00C157EC" w:rsidRPr="001749F6" w:rsidRDefault="00C157EC" w:rsidP="00185B4B">
            <w:pPr>
              <w:pStyle w:val="TableTextCentered"/>
            </w:pPr>
            <w:r w:rsidRPr="001749F6">
              <w:t>2.01%</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RQ3b: ELL Supply</w:t>
            </w:r>
          </w:p>
        </w:tc>
        <w:tc>
          <w:tcPr>
            <w:tcW w:w="656" w:type="pct"/>
            <w:tcBorders>
              <w:bottom w:val="single" w:sz="4" w:space="0" w:color="auto"/>
            </w:tcBorders>
          </w:tcPr>
          <w:p w:rsidR="00C157EC" w:rsidRPr="001749F6" w:rsidRDefault="00C157EC" w:rsidP="00185B4B">
            <w:pPr>
              <w:pStyle w:val="TableTextCentered"/>
            </w:pPr>
            <w:r w:rsidRPr="001749F6">
              <w:t>1.29%</w:t>
            </w:r>
          </w:p>
        </w:tc>
        <w:tc>
          <w:tcPr>
            <w:tcW w:w="808" w:type="pct"/>
            <w:tcBorders>
              <w:bottom w:val="single" w:sz="4" w:space="0" w:color="auto"/>
            </w:tcBorders>
          </w:tcPr>
          <w:p w:rsidR="00C157EC" w:rsidRPr="00872D4B" w:rsidRDefault="00C157EC" w:rsidP="00185B4B">
            <w:pPr>
              <w:pStyle w:val="TableTextCentered"/>
              <w:rPr>
                <w:b/>
                <w:color w:val="FF0000"/>
              </w:rPr>
            </w:pPr>
            <w:r w:rsidRPr="00872D4B">
              <w:rPr>
                <w:b/>
                <w:color w:val="FF0000"/>
              </w:rPr>
              <w:t>8.42%</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 xml:space="preserve">RQ3b: </w:t>
            </w:r>
            <w:r>
              <w:t>General Education</w:t>
            </w:r>
            <w:r w:rsidRPr="001749F6">
              <w:t xml:space="preserve"> Retained</w:t>
            </w:r>
          </w:p>
        </w:tc>
        <w:tc>
          <w:tcPr>
            <w:tcW w:w="656" w:type="pct"/>
            <w:tcBorders>
              <w:bottom w:val="single" w:sz="4" w:space="0" w:color="auto"/>
            </w:tcBorders>
          </w:tcPr>
          <w:p w:rsidR="00C157EC" w:rsidRPr="001749F6" w:rsidRDefault="00C157EC" w:rsidP="00185B4B">
            <w:pPr>
              <w:pStyle w:val="TableTextCentered"/>
            </w:pPr>
            <w:r w:rsidRPr="001749F6">
              <w:t>0.05%</w:t>
            </w:r>
          </w:p>
        </w:tc>
        <w:tc>
          <w:tcPr>
            <w:tcW w:w="808" w:type="pct"/>
            <w:tcBorders>
              <w:bottom w:val="single" w:sz="4" w:space="0" w:color="auto"/>
            </w:tcBorders>
          </w:tcPr>
          <w:p w:rsidR="00C157EC" w:rsidRPr="001749F6" w:rsidRDefault="00C157EC" w:rsidP="00185B4B">
            <w:pPr>
              <w:pStyle w:val="TableTextCentered"/>
            </w:pPr>
            <w:r w:rsidRPr="001749F6">
              <w:t>0.34%</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 xml:space="preserve">RQ3b: </w:t>
            </w:r>
            <w:r>
              <w:t>Special Education</w:t>
            </w:r>
            <w:r w:rsidRPr="001749F6">
              <w:t xml:space="preserve"> Retained</w:t>
            </w:r>
          </w:p>
        </w:tc>
        <w:tc>
          <w:tcPr>
            <w:tcW w:w="656" w:type="pct"/>
            <w:tcBorders>
              <w:bottom w:val="single" w:sz="4" w:space="0" w:color="auto"/>
            </w:tcBorders>
          </w:tcPr>
          <w:p w:rsidR="00C157EC" w:rsidRPr="001749F6" w:rsidRDefault="00C157EC" w:rsidP="00185B4B">
            <w:pPr>
              <w:pStyle w:val="TableTextCentered"/>
            </w:pPr>
            <w:r w:rsidRPr="001749F6">
              <w:t>0.18%</w:t>
            </w:r>
          </w:p>
        </w:tc>
        <w:tc>
          <w:tcPr>
            <w:tcW w:w="808" w:type="pct"/>
            <w:tcBorders>
              <w:bottom w:val="single" w:sz="4" w:space="0" w:color="auto"/>
            </w:tcBorders>
          </w:tcPr>
          <w:p w:rsidR="00C157EC" w:rsidRPr="001749F6" w:rsidRDefault="00C157EC" w:rsidP="00185B4B">
            <w:pPr>
              <w:pStyle w:val="TableTextCentered"/>
            </w:pPr>
            <w:r w:rsidRPr="001749F6">
              <w:t>3.68%</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RQ3b: CTE Retained</w:t>
            </w:r>
          </w:p>
        </w:tc>
        <w:tc>
          <w:tcPr>
            <w:tcW w:w="656" w:type="pct"/>
            <w:tcBorders>
              <w:bottom w:val="single" w:sz="4" w:space="0" w:color="auto"/>
            </w:tcBorders>
          </w:tcPr>
          <w:p w:rsidR="00C157EC" w:rsidRPr="001749F6" w:rsidRDefault="00C157EC" w:rsidP="00185B4B">
            <w:pPr>
              <w:pStyle w:val="TableTextCentered"/>
            </w:pPr>
            <w:r w:rsidRPr="001749F6">
              <w:t>0.44%</w:t>
            </w:r>
          </w:p>
        </w:tc>
        <w:tc>
          <w:tcPr>
            <w:tcW w:w="808" w:type="pct"/>
            <w:tcBorders>
              <w:bottom w:val="single" w:sz="4" w:space="0" w:color="auto"/>
            </w:tcBorders>
          </w:tcPr>
          <w:p w:rsidR="00C157EC" w:rsidRPr="001749F6" w:rsidRDefault="00C157EC" w:rsidP="00185B4B">
            <w:pPr>
              <w:pStyle w:val="TableTextCentered"/>
            </w:pPr>
            <w:r w:rsidRPr="001749F6">
              <w:t>1.84%</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RQ3b: ELL Retained</w:t>
            </w:r>
          </w:p>
        </w:tc>
        <w:tc>
          <w:tcPr>
            <w:tcW w:w="656" w:type="pct"/>
            <w:tcBorders>
              <w:bottom w:val="single" w:sz="4" w:space="0" w:color="auto"/>
            </w:tcBorders>
          </w:tcPr>
          <w:p w:rsidR="00C157EC" w:rsidRPr="001749F6" w:rsidRDefault="00C157EC" w:rsidP="00185B4B">
            <w:pPr>
              <w:pStyle w:val="TableTextCentered"/>
            </w:pPr>
            <w:r w:rsidRPr="001749F6">
              <w:t>1.24%</w:t>
            </w:r>
          </w:p>
        </w:tc>
        <w:tc>
          <w:tcPr>
            <w:tcW w:w="808" w:type="pct"/>
            <w:tcBorders>
              <w:bottom w:val="single" w:sz="4" w:space="0" w:color="auto"/>
            </w:tcBorders>
          </w:tcPr>
          <w:p w:rsidR="00C157EC" w:rsidRPr="00872D4B" w:rsidRDefault="00C157EC" w:rsidP="00185B4B">
            <w:pPr>
              <w:pStyle w:val="TableTextCentered"/>
              <w:rPr>
                <w:b/>
                <w:color w:val="FF0000"/>
              </w:rPr>
            </w:pPr>
            <w:r w:rsidRPr="00872D4B">
              <w:rPr>
                <w:b/>
                <w:color w:val="FF0000"/>
              </w:rPr>
              <w:t>8.17%</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RQ4a: Minority Demand</w:t>
            </w:r>
          </w:p>
        </w:tc>
        <w:tc>
          <w:tcPr>
            <w:tcW w:w="656" w:type="pct"/>
            <w:tcBorders>
              <w:bottom w:val="single" w:sz="4" w:space="0" w:color="auto"/>
            </w:tcBorders>
          </w:tcPr>
          <w:p w:rsidR="00C157EC" w:rsidRPr="001749F6" w:rsidRDefault="00C157EC" w:rsidP="00185B4B">
            <w:pPr>
              <w:pStyle w:val="TableTextCentered"/>
            </w:pPr>
            <w:r w:rsidRPr="001749F6">
              <w:t>0.69%</w:t>
            </w:r>
          </w:p>
        </w:tc>
        <w:tc>
          <w:tcPr>
            <w:tcW w:w="808" w:type="pct"/>
            <w:tcBorders>
              <w:bottom w:val="single" w:sz="4" w:space="0" w:color="auto"/>
            </w:tcBorders>
          </w:tcPr>
          <w:p w:rsidR="00C157EC" w:rsidRPr="001749F6" w:rsidRDefault="00C157EC" w:rsidP="00185B4B">
            <w:pPr>
              <w:pStyle w:val="TableTextCentered"/>
            </w:pPr>
            <w:r w:rsidRPr="001749F6">
              <w:t>0.88%</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RQ4a: White Demand</w:t>
            </w:r>
          </w:p>
        </w:tc>
        <w:tc>
          <w:tcPr>
            <w:tcW w:w="656" w:type="pct"/>
            <w:tcBorders>
              <w:bottom w:val="single" w:sz="4" w:space="0" w:color="auto"/>
            </w:tcBorders>
          </w:tcPr>
          <w:p w:rsidR="00C157EC" w:rsidRPr="001749F6" w:rsidRDefault="00C157EC" w:rsidP="00185B4B">
            <w:pPr>
              <w:pStyle w:val="TableTextCentered"/>
            </w:pPr>
            <w:r w:rsidRPr="001749F6">
              <w:t>-0.06%</w:t>
            </w:r>
          </w:p>
        </w:tc>
        <w:tc>
          <w:tcPr>
            <w:tcW w:w="808" w:type="pct"/>
            <w:tcBorders>
              <w:bottom w:val="single" w:sz="4" w:space="0" w:color="auto"/>
            </w:tcBorders>
          </w:tcPr>
          <w:p w:rsidR="00C157EC" w:rsidRPr="001749F6" w:rsidRDefault="00C157EC" w:rsidP="00185B4B">
            <w:pPr>
              <w:pStyle w:val="TableTextCentered"/>
            </w:pPr>
            <w:r w:rsidRPr="001749F6">
              <w:t>0.07%</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RQ4a: Minority Supply</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0.05</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1.40</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RQ4a: White Supply</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-0.02</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0.56</w:t>
            </w:r>
            <w:r>
              <w:rPr>
                <w:rFonts w:cstheme="majorHAnsi"/>
              </w:rPr>
              <w:t>%</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RQ4a: Minority Retention</w:t>
            </w:r>
          </w:p>
        </w:tc>
        <w:tc>
          <w:tcPr>
            <w:tcW w:w="656" w:type="pct"/>
            <w:tcBorders>
              <w:bottom w:val="single" w:sz="4" w:space="0" w:color="auto"/>
            </w:tcBorders>
          </w:tcPr>
          <w:p w:rsidR="00C157EC" w:rsidRPr="001749F6" w:rsidRDefault="00C157EC" w:rsidP="00185B4B">
            <w:pPr>
              <w:pStyle w:val="TableTextCentered"/>
            </w:pPr>
            <w:r w:rsidRPr="001749F6">
              <w:t>0.02%</w:t>
            </w:r>
          </w:p>
        </w:tc>
        <w:tc>
          <w:tcPr>
            <w:tcW w:w="808" w:type="pct"/>
            <w:tcBorders>
              <w:bottom w:val="single" w:sz="4" w:space="0" w:color="auto"/>
            </w:tcBorders>
          </w:tcPr>
          <w:p w:rsidR="00C157EC" w:rsidRPr="001749F6" w:rsidRDefault="00C157EC" w:rsidP="00185B4B">
            <w:pPr>
              <w:pStyle w:val="TableTextCentered"/>
            </w:pPr>
            <w:r w:rsidRPr="001749F6">
              <w:t>1.19%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RQ4a: White Retention</w:t>
            </w:r>
          </w:p>
        </w:tc>
        <w:tc>
          <w:tcPr>
            <w:tcW w:w="656" w:type="pct"/>
            <w:tcBorders>
              <w:bottom w:val="single" w:sz="4" w:space="0" w:color="auto"/>
            </w:tcBorders>
          </w:tcPr>
          <w:p w:rsidR="00C157EC" w:rsidRPr="001749F6" w:rsidRDefault="00C157EC" w:rsidP="00185B4B">
            <w:pPr>
              <w:pStyle w:val="TableTextCentered"/>
            </w:pPr>
            <w:r w:rsidRPr="001749F6">
              <w:t>-0.01%</w:t>
            </w:r>
          </w:p>
        </w:tc>
        <w:tc>
          <w:tcPr>
            <w:tcW w:w="808" w:type="pct"/>
            <w:tcBorders>
              <w:bottom w:val="single" w:sz="4" w:space="0" w:color="auto"/>
            </w:tcBorders>
          </w:tcPr>
          <w:p w:rsidR="00C157EC" w:rsidRPr="001749F6" w:rsidRDefault="00C157EC" w:rsidP="00185B4B">
            <w:pPr>
              <w:pStyle w:val="TableTextCentered"/>
            </w:pPr>
            <w:r w:rsidRPr="001749F6">
              <w:t>0.89%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RQ4a: Minority New Entrants</w:t>
            </w:r>
          </w:p>
        </w:tc>
        <w:tc>
          <w:tcPr>
            <w:tcW w:w="656" w:type="pct"/>
            <w:tcBorders>
              <w:bottom w:val="single" w:sz="4" w:space="0" w:color="auto"/>
            </w:tcBorders>
          </w:tcPr>
          <w:p w:rsidR="00C157EC" w:rsidRPr="001749F6" w:rsidRDefault="00C157EC" w:rsidP="00185B4B">
            <w:pPr>
              <w:pStyle w:val="TableTextCentered"/>
            </w:pPr>
            <w:r w:rsidRPr="001749F6">
              <w:t>0.37%</w:t>
            </w:r>
          </w:p>
        </w:tc>
        <w:tc>
          <w:tcPr>
            <w:tcW w:w="808" w:type="pct"/>
            <w:tcBorders>
              <w:bottom w:val="single" w:sz="4" w:space="0" w:color="auto"/>
            </w:tcBorders>
          </w:tcPr>
          <w:p w:rsidR="00C157EC" w:rsidRPr="001749F6" w:rsidRDefault="00C157EC" w:rsidP="00185B4B">
            <w:pPr>
              <w:pStyle w:val="TableTextCentered"/>
            </w:pPr>
            <w:r w:rsidRPr="001749F6">
              <w:t>5.71%</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RQ4a: White New Entrants</w:t>
            </w:r>
          </w:p>
        </w:tc>
        <w:tc>
          <w:tcPr>
            <w:tcW w:w="656" w:type="pct"/>
            <w:tcBorders>
              <w:bottom w:val="single" w:sz="4" w:space="0" w:color="auto"/>
            </w:tcBorders>
          </w:tcPr>
          <w:p w:rsidR="00C157EC" w:rsidRPr="001749F6" w:rsidRDefault="00C157EC" w:rsidP="00185B4B">
            <w:pPr>
              <w:pStyle w:val="TableTextCentered"/>
            </w:pPr>
            <w:r w:rsidRPr="001749F6">
              <w:t>0.29%</w:t>
            </w:r>
          </w:p>
        </w:tc>
        <w:tc>
          <w:tcPr>
            <w:tcW w:w="808" w:type="pct"/>
            <w:tcBorders>
              <w:bottom w:val="single" w:sz="4" w:space="0" w:color="auto"/>
            </w:tcBorders>
          </w:tcPr>
          <w:p w:rsidR="00C157EC" w:rsidRPr="001749F6" w:rsidRDefault="00C157EC" w:rsidP="00185B4B">
            <w:pPr>
              <w:pStyle w:val="TableTextCentered"/>
            </w:pPr>
            <w:r w:rsidRPr="001749F6">
              <w:t>4.15%</w:t>
            </w:r>
          </w:p>
        </w:tc>
      </w:tr>
      <w:tr w:rsidR="00C157EC" w:rsidTr="00185B4B">
        <w:tc>
          <w:tcPr>
            <w:tcW w:w="3536" w:type="pct"/>
            <w:tcBorders>
              <w:bottom w:val="single" w:sz="4" w:space="0" w:color="auto"/>
            </w:tcBorders>
          </w:tcPr>
          <w:p w:rsidR="00C157EC" w:rsidRPr="001749F6" w:rsidRDefault="00C157EC" w:rsidP="00617CD2">
            <w:pPr>
              <w:pStyle w:val="TableText"/>
            </w:pPr>
            <w:r w:rsidRPr="001749F6">
              <w:t xml:space="preserve">RQ4b: Demand </w:t>
            </w:r>
            <w:r>
              <w:t>Under</w:t>
            </w:r>
            <w:r w:rsidR="00617CD2">
              <w:t xml:space="preserve"> 26</w:t>
            </w:r>
          </w:p>
        </w:tc>
        <w:tc>
          <w:tcPr>
            <w:tcW w:w="656" w:type="pct"/>
            <w:tcBorders>
              <w:bottom w:val="single" w:sz="4" w:space="0" w:color="auto"/>
            </w:tcBorders>
          </w:tcPr>
          <w:p w:rsidR="00C157EC" w:rsidRPr="001749F6" w:rsidRDefault="00C157EC" w:rsidP="00185B4B">
            <w:pPr>
              <w:pStyle w:val="TableTextCentered"/>
            </w:pPr>
            <w:r w:rsidRPr="001749F6">
              <w:t>-2.73%</w:t>
            </w:r>
          </w:p>
        </w:tc>
        <w:tc>
          <w:tcPr>
            <w:tcW w:w="808" w:type="pct"/>
            <w:tcBorders>
              <w:bottom w:val="single" w:sz="4" w:space="0" w:color="auto"/>
            </w:tcBorders>
          </w:tcPr>
          <w:p w:rsidR="00C157EC" w:rsidRPr="001749F6" w:rsidRDefault="00C157EC" w:rsidP="00185B4B">
            <w:pPr>
              <w:pStyle w:val="TableTextCentered"/>
            </w:pPr>
            <w:r w:rsidRPr="001749F6">
              <w:t>5.03%</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RQ4b: Demand 26</w:t>
            </w:r>
            <w:r>
              <w:t>–</w:t>
            </w:r>
            <w:r w:rsidRPr="001749F6">
              <w:t>32</w:t>
            </w:r>
          </w:p>
        </w:tc>
        <w:tc>
          <w:tcPr>
            <w:tcW w:w="656" w:type="pct"/>
            <w:tcBorders>
              <w:bottom w:val="single" w:sz="4" w:space="0" w:color="auto"/>
            </w:tcBorders>
          </w:tcPr>
          <w:p w:rsidR="00C157EC" w:rsidRPr="001749F6" w:rsidRDefault="00C157EC" w:rsidP="00185B4B">
            <w:pPr>
              <w:pStyle w:val="TableTextCentered"/>
            </w:pPr>
            <w:r w:rsidRPr="001749F6">
              <w:t>-2.54%</w:t>
            </w:r>
          </w:p>
        </w:tc>
        <w:tc>
          <w:tcPr>
            <w:tcW w:w="808" w:type="pct"/>
            <w:tcBorders>
              <w:bottom w:val="single" w:sz="4" w:space="0" w:color="auto"/>
            </w:tcBorders>
          </w:tcPr>
          <w:p w:rsidR="00C157EC" w:rsidRPr="001749F6" w:rsidRDefault="00C157EC" w:rsidP="00185B4B">
            <w:pPr>
              <w:pStyle w:val="TableTextCentered"/>
            </w:pPr>
            <w:r w:rsidRPr="001749F6">
              <w:t>2.54%</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RQ4b: Demand 33</w:t>
            </w:r>
            <w:r>
              <w:t>–</w:t>
            </w:r>
            <w:r w:rsidRPr="001749F6">
              <w:t>40</w:t>
            </w:r>
          </w:p>
        </w:tc>
        <w:tc>
          <w:tcPr>
            <w:tcW w:w="656" w:type="pct"/>
            <w:tcBorders>
              <w:bottom w:val="single" w:sz="4" w:space="0" w:color="auto"/>
            </w:tcBorders>
          </w:tcPr>
          <w:p w:rsidR="00C157EC" w:rsidRPr="001749F6" w:rsidRDefault="00C157EC" w:rsidP="00185B4B">
            <w:pPr>
              <w:pStyle w:val="TableTextCentered"/>
            </w:pPr>
            <w:r w:rsidRPr="001749F6">
              <w:t>1.06%</w:t>
            </w:r>
          </w:p>
        </w:tc>
        <w:tc>
          <w:tcPr>
            <w:tcW w:w="808" w:type="pct"/>
            <w:tcBorders>
              <w:bottom w:val="single" w:sz="4" w:space="0" w:color="auto"/>
            </w:tcBorders>
          </w:tcPr>
          <w:p w:rsidR="00C157EC" w:rsidRPr="001749F6" w:rsidRDefault="00C157EC" w:rsidP="00185B4B">
            <w:pPr>
              <w:pStyle w:val="TableTextCentered"/>
            </w:pPr>
            <w:r w:rsidRPr="001749F6">
              <w:t>1.16%</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RQ4b: Demand 41</w:t>
            </w:r>
            <w:r>
              <w:t>–</w:t>
            </w:r>
            <w:r w:rsidRPr="001749F6">
              <w:t>48</w:t>
            </w:r>
          </w:p>
        </w:tc>
        <w:tc>
          <w:tcPr>
            <w:tcW w:w="656" w:type="pct"/>
            <w:tcBorders>
              <w:bottom w:val="single" w:sz="4" w:space="0" w:color="auto"/>
            </w:tcBorders>
          </w:tcPr>
          <w:p w:rsidR="00C157EC" w:rsidRPr="001749F6" w:rsidRDefault="00C157EC" w:rsidP="00185B4B">
            <w:pPr>
              <w:pStyle w:val="TableTextCentered"/>
            </w:pPr>
            <w:r w:rsidRPr="001749F6">
              <w:t>1.71%</w:t>
            </w:r>
          </w:p>
        </w:tc>
        <w:tc>
          <w:tcPr>
            <w:tcW w:w="808" w:type="pct"/>
            <w:tcBorders>
              <w:bottom w:val="single" w:sz="4" w:space="0" w:color="auto"/>
            </w:tcBorders>
          </w:tcPr>
          <w:p w:rsidR="00C157EC" w:rsidRPr="001749F6" w:rsidRDefault="00C157EC" w:rsidP="00185B4B">
            <w:pPr>
              <w:pStyle w:val="TableTextCentered"/>
            </w:pPr>
            <w:r w:rsidRPr="001749F6">
              <w:t>1.71%</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RQ4b: Demand 49</w:t>
            </w:r>
            <w:r>
              <w:t>–</w:t>
            </w:r>
            <w:r w:rsidRPr="001749F6">
              <w:t>56</w:t>
            </w:r>
          </w:p>
        </w:tc>
        <w:tc>
          <w:tcPr>
            <w:tcW w:w="656" w:type="pct"/>
            <w:tcBorders>
              <w:bottom w:val="single" w:sz="4" w:space="0" w:color="auto"/>
            </w:tcBorders>
          </w:tcPr>
          <w:p w:rsidR="00C157EC" w:rsidRPr="001749F6" w:rsidRDefault="00C157EC" w:rsidP="00185B4B">
            <w:pPr>
              <w:pStyle w:val="TableTextCentered"/>
            </w:pPr>
            <w:r w:rsidRPr="001749F6">
              <w:t>0.53%</w:t>
            </w:r>
          </w:p>
        </w:tc>
        <w:tc>
          <w:tcPr>
            <w:tcW w:w="808" w:type="pct"/>
            <w:tcBorders>
              <w:bottom w:val="single" w:sz="4" w:space="0" w:color="auto"/>
            </w:tcBorders>
          </w:tcPr>
          <w:p w:rsidR="00C157EC" w:rsidRPr="001749F6" w:rsidRDefault="00C157EC" w:rsidP="00185B4B">
            <w:pPr>
              <w:pStyle w:val="TableTextCentered"/>
            </w:pPr>
            <w:r w:rsidRPr="001749F6">
              <w:t>1.38%</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RQ4b: Demand 57</w:t>
            </w:r>
            <w:r>
              <w:t>–</w:t>
            </w:r>
            <w:r w:rsidRPr="001749F6">
              <w:t>64</w:t>
            </w:r>
          </w:p>
        </w:tc>
        <w:tc>
          <w:tcPr>
            <w:tcW w:w="656" w:type="pct"/>
            <w:tcBorders>
              <w:bottom w:val="single" w:sz="4" w:space="0" w:color="auto"/>
            </w:tcBorders>
          </w:tcPr>
          <w:p w:rsidR="00C157EC" w:rsidRPr="001749F6" w:rsidRDefault="00C157EC" w:rsidP="00185B4B">
            <w:pPr>
              <w:pStyle w:val="TableTextCentered"/>
            </w:pPr>
            <w:r w:rsidRPr="001749F6">
              <w:t>0.11%</w:t>
            </w:r>
          </w:p>
        </w:tc>
        <w:tc>
          <w:tcPr>
            <w:tcW w:w="808" w:type="pct"/>
            <w:tcBorders>
              <w:bottom w:val="single" w:sz="4" w:space="0" w:color="auto"/>
            </w:tcBorders>
          </w:tcPr>
          <w:p w:rsidR="00C157EC" w:rsidRPr="001749F6" w:rsidRDefault="00C157EC" w:rsidP="00185B4B">
            <w:pPr>
              <w:pStyle w:val="TableTextCentered"/>
            </w:pPr>
            <w:r w:rsidRPr="001749F6">
              <w:t>2.68%</w:t>
            </w:r>
          </w:p>
        </w:tc>
      </w:tr>
      <w:tr w:rsidR="00C157EC" w:rsidTr="00185B4B">
        <w:tc>
          <w:tcPr>
            <w:tcW w:w="3536" w:type="pct"/>
            <w:tcBorders>
              <w:bottom w:val="single" w:sz="4" w:space="0" w:color="auto"/>
            </w:tcBorders>
          </w:tcPr>
          <w:p w:rsidR="00C157EC" w:rsidRPr="001749F6" w:rsidRDefault="00C157EC" w:rsidP="00617CD2">
            <w:pPr>
              <w:pStyle w:val="TableText"/>
            </w:pPr>
            <w:r w:rsidRPr="001749F6">
              <w:t xml:space="preserve">RQ4b: Demand </w:t>
            </w:r>
            <w:r>
              <w:t>Over</w:t>
            </w:r>
            <w:r w:rsidR="00617CD2">
              <w:t xml:space="preserve"> 64</w:t>
            </w:r>
          </w:p>
        </w:tc>
        <w:tc>
          <w:tcPr>
            <w:tcW w:w="656" w:type="pct"/>
            <w:tcBorders>
              <w:bottom w:val="single" w:sz="4" w:space="0" w:color="auto"/>
            </w:tcBorders>
          </w:tcPr>
          <w:p w:rsidR="00C157EC" w:rsidRPr="001749F6" w:rsidRDefault="00C157EC" w:rsidP="00185B4B">
            <w:pPr>
              <w:pStyle w:val="TableTextCentered"/>
            </w:pPr>
            <w:r w:rsidRPr="001749F6">
              <w:t>-2.48%</w:t>
            </w:r>
          </w:p>
        </w:tc>
        <w:tc>
          <w:tcPr>
            <w:tcW w:w="808" w:type="pct"/>
            <w:tcBorders>
              <w:bottom w:val="single" w:sz="4" w:space="0" w:color="auto"/>
            </w:tcBorders>
          </w:tcPr>
          <w:p w:rsidR="00C157EC" w:rsidRPr="001749F6" w:rsidRDefault="00C157EC" w:rsidP="00185B4B">
            <w:pPr>
              <w:pStyle w:val="TableTextCentered"/>
            </w:pPr>
            <w:r w:rsidRPr="001749F6">
              <w:t>3.21%</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 xml:space="preserve">RQ4b: Supply </w:t>
            </w:r>
            <w:r>
              <w:t>Under 26</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0.20</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5.88</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RQ4b: Supply 26</w:t>
            </w:r>
            <w:r>
              <w:t>–</w:t>
            </w:r>
            <w:r w:rsidRPr="001749F6">
              <w:t>32</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-0.20</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0.85</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RQ4b: Supply 3</w:t>
            </w:r>
            <w:r>
              <w:t>–</w:t>
            </w:r>
            <w:r w:rsidRPr="001749F6">
              <w:t>-40</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-0.04</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0.51</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RQ4b: Supply 41</w:t>
            </w:r>
            <w:r>
              <w:t>–</w:t>
            </w:r>
            <w:r w:rsidRPr="001749F6">
              <w:t>48</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-0.13</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1.18</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RQ4b: Supply 49</w:t>
            </w:r>
            <w:r>
              <w:t>–</w:t>
            </w:r>
            <w:r w:rsidRPr="001749F6">
              <w:t>56</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0.25</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1.28</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RQ4b: Supply 57</w:t>
            </w:r>
            <w:r>
              <w:t>–</w:t>
            </w:r>
            <w:r w:rsidRPr="001749F6">
              <w:t>64</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0.20</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2.65</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 xml:space="preserve">RQ4b: Supply </w:t>
            </w:r>
            <w:r>
              <w:t>Over 64</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0.12</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1.80</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 xml:space="preserve">RQ4b: Retention </w:t>
            </w:r>
            <w:r>
              <w:t>Under 26</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0.35</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6.54</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RQ4b: Retention 26</w:t>
            </w:r>
            <w:r>
              <w:t>–</w:t>
            </w:r>
            <w:r w:rsidRPr="001749F6">
              <w:t>32</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-0.19</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1.16</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RQ4b: Retention 33</w:t>
            </w:r>
            <w:r>
              <w:t>–</w:t>
            </w:r>
            <w:r w:rsidRPr="001749F6">
              <w:t>40</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-0.03</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0.76</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RQ4b: Retention 41</w:t>
            </w:r>
            <w:r>
              <w:t>–</w:t>
            </w:r>
            <w:r w:rsidRPr="001749F6">
              <w:t>48</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-0.14</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1.47</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RQ4b: Retention 49</w:t>
            </w:r>
            <w:r>
              <w:t>–</w:t>
            </w:r>
            <w:r w:rsidRPr="001749F6">
              <w:t>56</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0.24</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1.61</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RQ4b: Retention 57</w:t>
            </w:r>
            <w:r>
              <w:t>–</w:t>
            </w:r>
            <w:r w:rsidRPr="001749F6">
              <w:t>64</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0.19</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2.57</w:t>
            </w:r>
            <w:r>
              <w:rPr>
                <w:rFonts w:cstheme="majorHAnsi"/>
              </w:rPr>
              <w:t>%</w:t>
            </w:r>
          </w:p>
        </w:tc>
      </w:tr>
      <w:tr w:rsidR="008333F9" w:rsidTr="00085539">
        <w:tc>
          <w:tcPr>
            <w:tcW w:w="3536" w:type="pct"/>
            <w:tcBorders>
              <w:bottom w:val="single" w:sz="4" w:space="0" w:color="auto"/>
            </w:tcBorders>
          </w:tcPr>
          <w:p w:rsidR="008333F9" w:rsidRPr="001749F6" w:rsidRDefault="008333F9" w:rsidP="008333F9">
            <w:pPr>
              <w:pStyle w:val="TableText"/>
            </w:pPr>
            <w:r w:rsidRPr="001749F6">
              <w:t xml:space="preserve">RQ4b: Retention </w:t>
            </w:r>
            <w:r>
              <w:t>Over 64</w:t>
            </w:r>
          </w:p>
        </w:tc>
        <w:tc>
          <w:tcPr>
            <w:tcW w:w="656"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0.14</w:t>
            </w:r>
            <w:r>
              <w:rPr>
                <w:rFonts w:cstheme="majorHAnsi"/>
              </w:rPr>
              <w:t>%</w:t>
            </w:r>
          </w:p>
        </w:tc>
        <w:tc>
          <w:tcPr>
            <w:tcW w:w="808" w:type="pct"/>
            <w:tcBorders>
              <w:bottom w:val="single" w:sz="4" w:space="0" w:color="auto"/>
            </w:tcBorders>
            <w:vAlign w:val="top"/>
          </w:tcPr>
          <w:p w:rsidR="008333F9" w:rsidRPr="008333F9" w:rsidRDefault="008333F9" w:rsidP="008333F9">
            <w:pPr>
              <w:pStyle w:val="TableTextCentered"/>
              <w:rPr>
                <w:rFonts w:cstheme="majorHAnsi"/>
              </w:rPr>
            </w:pPr>
            <w:r w:rsidRPr="00085539">
              <w:rPr>
                <w:rFonts w:cstheme="majorHAnsi"/>
              </w:rPr>
              <w:t>2.34</w:t>
            </w:r>
            <w:r>
              <w:rPr>
                <w:rFonts w:cstheme="majorHAnsi"/>
              </w:rPr>
              <w:t>%</w:t>
            </w:r>
          </w:p>
        </w:tc>
      </w:tr>
      <w:tr w:rsidR="00C157EC" w:rsidTr="00185B4B">
        <w:tc>
          <w:tcPr>
            <w:tcW w:w="3536" w:type="pct"/>
            <w:tcBorders>
              <w:bottom w:val="single" w:sz="4" w:space="0" w:color="auto"/>
            </w:tcBorders>
          </w:tcPr>
          <w:p w:rsidR="00C157EC" w:rsidRPr="001749F6" w:rsidRDefault="00C157EC" w:rsidP="00617CD2">
            <w:pPr>
              <w:pStyle w:val="TableText"/>
            </w:pPr>
            <w:r w:rsidRPr="001749F6">
              <w:t xml:space="preserve">RQ4b: New Entrants </w:t>
            </w:r>
            <w:r>
              <w:t>Under</w:t>
            </w:r>
            <w:r w:rsidR="00617CD2">
              <w:t xml:space="preserve"> 26</w:t>
            </w:r>
          </w:p>
        </w:tc>
        <w:tc>
          <w:tcPr>
            <w:tcW w:w="656" w:type="pct"/>
            <w:tcBorders>
              <w:bottom w:val="single" w:sz="4" w:space="0" w:color="auto"/>
            </w:tcBorders>
          </w:tcPr>
          <w:p w:rsidR="00C157EC" w:rsidRPr="001749F6" w:rsidRDefault="00C157EC" w:rsidP="00185B4B">
            <w:pPr>
              <w:pStyle w:val="TableTextCentered"/>
            </w:pPr>
            <w:r w:rsidRPr="001749F6">
              <w:t>0.17%</w:t>
            </w:r>
          </w:p>
        </w:tc>
        <w:tc>
          <w:tcPr>
            <w:tcW w:w="808" w:type="pct"/>
            <w:tcBorders>
              <w:bottom w:val="single" w:sz="4" w:space="0" w:color="auto"/>
            </w:tcBorders>
          </w:tcPr>
          <w:p w:rsidR="00C157EC" w:rsidRPr="001749F6" w:rsidRDefault="00C157EC" w:rsidP="00185B4B">
            <w:pPr>
              <w:pStyle w:val="TableTextCentered"/>
            </w:pPr>
            <w:r w:rsidRPr="001749F6">
              <w:t>3.95%</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RQ4b: New Entrants 26</w:t>
            </w:r>
            <w:r>
              <w:t>–</w:t>
            </w:r>
            <w:r w:rsidRPr="001749F6">
              <w:t>32</w:t>
            </w:r>
          </w:p>
        </w:tc>
        <w:tc>
          <w:tcPr>
            <w:tcW w:w="656" w:type="pct"/>
            <w:tcBorders>
              <w:bottom w:val="single" w:sz="4" w:space="0" w:color="auto"/>
            </w:tcBorders>
          </w:tcPr>
          <w:p w:rsidR="00C157EC" w:rsidRPr="001749F6" w:rsidRDefault="00C157EC" w:rsidP="00185B4B">
            <w:pPr>
              <w:pStyle w:val="TableTextCentered"/>
            </w:pPr>
            <w:r w:rsidRPr="001749F6">
              <w:t>0.17%</w:t>
            </w:r>
          </w:p>
        </w:tc>
        <w:tc>
          <w:tcPr>
            <w:tcW w:w="808" w:type="pct"/>
            <w:tcBorders>
              <w:bottom w:val="single" w:sz="4" w:space="0" w:color="auto"/>
            </w:tcBorders>
          </w:tcPr>
          <w:p w:rsidR="00C157EC" w:rsidRPr="001749F6" w:rsidRDefault="00C157EC" w:rsidP="00185B4B">
            <w:pPr>
              <w:pStyle w:val="TableTextCentered"/>
            </w:pPr>
            <w:r w:rsidRPr="001749F6">
              <w:t>3.95%</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RQ4b: New Entrants 33</w:t>
            </w:r>
            <w:r>
              <w:t>–</w:t>
            </w:r>
            <w:r w:rsidRPr="001749F6">
              <w:t>40</w:t>
            </w:r>
          </w:p>
        </w:tc>
        <w:tc>
          <w:tcPr>
            <w:tcW w:w="656" w:type="pct"/>
            <w:tcBorders>
              <w:bottom w:val="single" w:sz="4" w:space="0" w:color="auto"/>
            </w:tcBorders>
          </w:tcPr>
          <w:p w:rsidR="00C157EC" w:rsidRPr="001749F6" w:rsidRDefault="00C157EC" w:rsidP="00185B4B">
            <w:pPr>
              <w:pStyle w:val="TableTextCentered"/>
            </w:pPr>
            <w:r w:rsidRPr="001749F6">
              <w:t>0.17%</w:t>
            </w:r>
          </w:p>
        </w:tc>
        <w:tc>
          <w:tcPr>
            <w:tcW w:w="808" w:type="pct"/>
            <w:tcBorders>
              <w:bottom w:val="single" w:sz="4" w:space="0" w:color="auto"/>
            </w:tcBorders>
          </w:tcPr>
          <w:p w:rsidR="00C157EC" w:rsidRPr="001749F6" w:rsidRDefault="00C157EC" w:rsidP="00185B4B">
            <w:pPr>
              <w:pStyle w:val="TableTextCentered"/>
            </w:pPr>
            <w:r w:rsidRPr="001749F6">
              <w:t>3.95%</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RQ4b: New Entrants 41</w:t>
            </w:r>
            <w:r>
              <w:t>–</w:t>
            </w:r>
            <w:r w:rsidRPr="001749F6">
              <w:t>48</w:t>
            </w:r>
          </w:p>
        </w:tc>
        <w:tc>
          <w:tcPr>
            <w:tcW w:w="656" w:type="pct"/>
            <w:tcBorders>
              <w:bottom w:val="single" w:sz="4" w:space="0" w:color="auto"/>
            </w:tcBorders>
          </w:tcPr>
          <w:p w:rsidR="00C157EC" w:rsidRPr="001749F6" w:rsidRDefault="00C157EC" w:rsidP="00185B4B">
            <w:pPr>
              <w:pStyle w:val="TableTextCentered"/>
            </w:pPr>
            <w:r w:rsidRPr="001749F6">
              <w:t>0.17%</w:t>
            </w:r>
          </w:p>
        </w:tc>
        <w:tc>
          <w:tcPr>
            <w:tcW w:w="808" w:type="pct"/>
            <w:tcBorders>
              <w:bottom w:val="single" w:sz="4" w:space="0" w:color="auto"/>
            </w:tcBorders>
          </w:tcPr>
          <w:p w:rsidR="00C157EC" w:rsidRPr="001749F6" w:rsidRDefault="00C157EC" w:rsidP="00185B4B">
            <w:pPr>
              <w:pStyle w:val="TableTextCentered"/>
            </w:pPr>
            <w:r w:rsidRPr="001749F6">
              <w:t>3.95%</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RQ4b: New Entrants 49</w:t>
            </w:r>
            <w:r>
              <w:t>–</w:t>
            </w:r>
            <w:r w:rsidRPr="001749F6">
              <w:t>56</w:t>
            </w:r>
          </w:p>
        </w:tc>
        <w:tc>
          <w:tcPr>
            <w:tcW w:w="656" w:type="pct"/>
            <w:tcBorders>
              <w:bottom w:val="single" w:sz="4" w:space="0" w:color="auto"/>
            </w:tcBorders>
          </w:tcPr>
          <w:p w:rsidR="00C157EC" w:rsidRPr="001749F6" w:rsidRDefault="00C157EC" w:rsidP="00185B4B">
            <w:pPr>
              <w:pStyle w:val="TableTextCentered"/>
            </w:pPr>
            <w:r w:rsidRPr="001749F6">
              <w:t>0.17%</w:t>
            </w:r>
          </w:p>
        </w:tc>
        <w:tc>
          <w:tcPr>
            <w:tcW w:w="808" w:type="pct"/>
            <w:tcBorders>
              <w:bottom w:val="single" w:sz="4" w:space="0" w:color="auto"/>
            </w:tcBorders>
          </w:tcPr>
          <w:p w:rsidR="00C157EC" w:rsidRPr="001749F6" w:rsidRDefault="00C157EC" w:rsidP="00185B4B">
            <w:pPr>
              <w:pStyle w:val="TableTextCentered"/>
            </w:pPr>
            <w:r w:rsidRPr="001749F6">
              <w:t>3.95%</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RQ4b: New Entrants 57</w:t>
            </w:r>
            <w:r>
              <w:t>–</w:t>
            </w:r>
            <w:r w:rsidRPr="001749F6">
              <w:t>64</w:t>
            </w:r>
          </w:p>
        </w:tc>
        <w:tc>
          <w:tcPr>
            <w:tcW w:w="656" w:type="pct"/>
            <w:tcBorders>
              <w:bottom w:val="single" w:sz="4" w:space="0" w:color="auto"/>
            </w:tcBorders>
          </w:tcPr>
          <w:p w:rsidR="00C157EC" w:rsidRPr="001749F6" w:rsidRDefault="00C157EC" w:rsidP="00185B4B">
            <w:pPr>
              <w:pStyle w:val="TableTextCentered"/>
            </w:pPr>
            <w:r w:rsidRPr="001749F6">
              <w:t>0.17%</w:t>
            </w:r>
          </w:p>
        </w:tc>
        <w:tc>
          <w:tcPr>
            <w:tcW w:w="808" w:type="pct"/>
            <w:tcBorders>
              <w:bottom w:val="single" w:sz="4" w:space="0" w:color="auto"/>
            </w:tcBorders>
          </w:tcPr>
          <w:p w:rsidR="00C157EC" w:rsidRPr="001749F6" w:rsidRDefault="00C157EC" w:rsidP="00185B4B">
            <w:pPr>
              <w:pStyle w:val="TableTextCentered"/>
            </w:pPr>
            <w:r w:rsidRPr="001749F6">
              <w:t>3.95%</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Demand Berkshires +</w:t>
            </w:r>
          </w:p>
        </w:tc>
        <w:tc>
          <w:tcPr>
            <w:tcW w:w="656" w:type="pct"/>
            <w:tcBorders>
              <w:bottom w:val="single" w:sz="4" w:space="0" w:color="auto"/>
            </w:tcBorders>
          </w:tcPr>
          <w:p w:rsidR="00C157EC" w:rsidRPr="001749F6" w:rsidRDefault="00C157EC" w:rsidP="00185B4B">
            <w:pPr>
              <w:pStyle w:val="TableTextCentered"/>
            </w:pPr>
            <w:r w:rsidRPr="001749F6">
              <w:t>1.17%</w:t>
            </w:r>
          </w:p>
        </w:tc>
        <w:tc>
          <w:tcPr>
            <w:tcW w:w="808" w:type="pct"/>
            <w:tcBorders>
              <w:bottom w:val="single" w:sz="4" w:space="0" w:color="auto"/>
            </w:tcBorders>
          </w:tcPr>
          <w:p w:rsidR="00C157EC" w:rsidRPr="001749F6" w:rsidRDefault="00C157EC" w:rsidP="00185B4B">
            <w:pPr>
              <w:pStyle w:val="TableTextCentered"/>
            </w:pPr>
            <w:r w:rsidRPr="001749F6">
              <w:t>1.20%</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Demand Central</w:t>
            </w:r>
          </w:p>
        </w:tc>
        <w:tc>
          <w:tcPr>
            <w:tcW w:w="656" w:type="pct"/>
            <w:tcBorders>
              <w:bottom w:val="single" w:sz="4" w:space="0" w:color="auto"/>
            </w:tcBorders>
          </w:tcPr>
          <w:p w:rsidR="00C157EC" w:rsidRPr="001749F6" w:rsidRDefault="00C157EC" w:rsidP="00185B4B">
            <w:pPr>
              <w:pStyle w:val="TableTextCentered"/>
            </w:pPr>
            <w:r w:rsidRPr="001749F6">
              <w:t>2.41%</w:t>
            </w:r>
          </w:p>
        </w:tc>
        <w:tc>
          <w:tcPr>
            <w:tcW w:w="808" w:type="pct"/>
            <w:tcBorders>
              <w:bottom w:val="single" w:sz="4" w:space="0" w:color="auto"/>
            </w:tcBorders>
          </w:tcPr>
          <w:p w:rsidR="00C157EC" w:rsidRPr="001749F6" w:rsidRDefault="00C157EC" w:rsidP="00185B4B">
            <w:pPr>
              <w:pStyle w:val="TableTextCentered"/>
            </w:pPr>
            <w:r w:rsidRPr="001749F6">
              <w:t>2.41%</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Demand Commissioner's</w:t>
            </w:r>
          </w:p>
        </w:tc>
        <w:tc>
          <w:tcPr>
            <w:tcW w:w="656" w:type="pct"/>
            <w:tcBorders>
              <w:bottom w:val="single" w:sz="4" w:space="0" w:color="auto"/>
            </w:tcBorders>
          </w:tcPr>
          <w:p w:rsidR="00C157EC" w:rsidRPr="001749F6" w:rsidRDefault="00C157EC" w:rsidP="00185B4B">
            <w:pPr>
              <w:pStyle w:val="TableTextCentered"/>
            </w:pPr>
            <w:r w:rsidRPr="001749F6">
              <w:t>2.32%</w:t>
            </w:r>
          </w:p>
        </w:tc>
        <w:tc>
          <w:tcPr>
            <w:tcW w:w="808" w:type="pct"/>
            <w:tcBorders>
              <w:bottom w:val="single" w:sz="4" w:space="0" w:color="auto"/>
            </w:tcBorders>
          </w:tcPr>
          <w:p w:rsidR="00C157EC" w:rsidRPr="001749F6" w:rsidRDefault="00C157EC" w:rsidP="00185B4B">
            <w:pPr>
              <w:pStyle w:val="TableTextCentered"/>
            </w:pPr>
            <w:r w:rsidRPr="001749F6">
              <w:t>2.58%</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Demand Greater Boston</w:t>
            </w:r>
          </w:p>
        </w:tc>
        <w:tc>
          <w:tcPr>
            <w:tcW w:w="656" w:type="pct"/>
            <w:tcBorders>
              <w:bottom w:val="single" w:sz="4" w:space="0" w:color="auto"/>
            </w:tcBorders>
          </w:tcPr>
          <w:p w:rsidR="00C157EC" w:rsidRPr="001749F6" w:rsidRDefault="00C157EC" w:rsidP="00185B4B">
            <w:pPr>
              <w:pStyle w:val="TableTextCentered"/>
            </w:pPr>
            <w:r w:rsidRPr="001749F6">
              <w:t>-4.28%</w:t>
            </w:r>
          </w:p>
        </w:tc>
        <w:tc>
          <w:tcPr>
            <w:tcW w:w="808" w:type="pct"/>
            <w:tcBorders>
              <w:bottom w:val="single" w:sz="4" w:space="0" w:color="auto"/>
            </w:tcBorders>
          </w:tcPr>
          <w:p w:rsidR="00C157EC" w:rsidRPr="001749F6" w:rsidRDefault="00C157EC" w:rsidP="00185B4B">
            <w:pPr>
              <w:pStyle w:val="TableTextCentered"/>
            </w:pPr>
            <w:r w:rsidRPr="001749F6">
              <w:t>4.31%</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Demand Northeast</w:t>
            </w:r>
          </w:p>
        </w:tc>
        <w:tc>
          <w:tcPr>
            <w:tcW w:w="656" w:type="pct"/>
            <w:tcBorders>
              <w:bottom w:val="single" w:sz="4" w:space="0" w:color="auto"/>
            </w:tcBorders>
          </w:tcPr>
          <w:p w:rsidR="00C157EC" w:rsidRPr="001749F6" w:rsidRDefault="00C157EC" w:rsidP="00185B4B">
            <w:pPr>
              <w:pStyle w:val="TableTextCentered"/>
            </w:pPr>
            <w:r w:rsidRPr="001749F6">
              <w:t>1.24%</w:t>
            </w:r>
          </w:p>
        </w:tc>
        <w:tc>
          <w:tcPr>
            <w:tcW w:w="808" w:type="pct"/>
            <w:tcBorders>
              <w:bottom w:val="single" w:sz="4" w:space="0" w:color="auto"/>
            </w:tcBorders>
          </w:tcPr>
          <w:p w:rsidR="00C157EC" w:rsidRPr="001749F6" w:rsidRDefault="00C157EC" w:rsidP="00185B4B">
            <w:pPr>
              <w:pStyle w:val="TableTextCentered"/>
            </w:pPr>
            <w:r w:rsidRPr="001749F6">
              <w:t>1.24%</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Demand Pioneer Valley</w:t>
            </w:r>
          </w:p>
        </w:tc>
        <w:tc>
          <w:tcPr>
            <w:tcW w:w="656" w:type="pct"/>
            <w:tcBorders>
              <w:bottom w:val="single" w:sz="4" w:space="0" w:color="auto"/>
            </w:tcBorders>
          </w:tcPr>
          <w:p w:rsidR="00C157EC" w:rsidRPr="001749F6" w:rsidRDefault="00C157EC" w:rsidP="00185B4B">
            <w:pPr>
              <w:pStyle w:val="TableTextCentered"/>
            </w:pPr>
            <w:r w:rsidRPr="001749F6">
              <w:t>1.60%</w:t>
            </w:r>
          </w:p>
        </w:tc>
        <w:tc>
          <w:tcPr>
            <w:tcW w:w="808" w:type="pct"/>
            <w:tcBorders>
              <w:bottom w:val="single" w:sz="4" w:space="0" w:color="auto"/>
            </w:tcBorders>
          </w:tcPr>
          <w:p w:rsidR="00C157EC" w:rsidRPr="001749F6" w:rsidRDefault="00C157EC" w:rsidP="00185B4B">
            <w:pPr>
              <w:pStyle w:val="TableTextCentered"/>
            </w:pPr>
            <w:r w:rsidRPr="001749F6">
              <w:t>1.60%</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Demand Southeast</w:t>
            </w:r>
          </w:p>
        </w:tc>
        <w:tc>
          <w:tcPr>
            <w:tcW w:w="656" w:type="pct"/>
            <w:tcBorders>
              <w:bottom w:val="single" w:sz="4" w:space="0" w:color="auto"/>
            </w:tcBorders>
          </w:tcPr>
          <w:p w:rsidR="00C157EC" w:rsidRPr="001749F6" w:rsidRDefault="00C157EC" w:rsidP="00185B4B">
            <w:pPr>
              <w:pStyle w:val="TableTextCentered"/>
            </w:pPr>
            <w:r w:rsidRPr="001749F6">
              <w:t>0.99%</w:t>
            </w:r>
          </w:p>
        </w:tc>
        <w:tc>
          <w:tcPr>
            <w:tcW w:w="808" w:type="pct"/>
            <w:tcBorders>
              <w:bottom w:val="single" w:sz="4" w:space="0" w:color="auto"/>
            </w:tcBorders>
          </w:tcPr>
          <w:p w:rsidR="00C157EC" w:rsidRPr="001749F6" w:rsidRDefault="00C157EC" w:rsidP="00185B4B">
            <w:pPr>
              <w:pStyle w:val="TableTextCentered"/>
            </w:pPr>
            <w:r w:rsidRPr="001749F6">
              <w:t>0.99%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Supply Berkshires +</w:t>
            </w:r>
          </w:p>
        </w:tc>
        <w:tc>
          <w:tcPr>
            <w:tcW w:w="656" w:type="pct"/>
            <w:tcBorders>
              <w:bottom w:val="single" w:sz="4" w:space="0" w:color="auto"/>
            </w:tcBorders>
          </w:tcPr>
          <w:p w:rsidR="00C157EC" w:rsidRPr="001749F6" w:rsidRDefault="00C157EC" w:rsidP="00185B4B">
            <w:pPr>
              <w:pStyle w:val="TableTextCentered"/>
            </w:pPr>
            <w:r w:rsidRPr="001749F6">
              <w:t>0.01%</w:t>
            </w:r>
          </w:p>
        </w:tc>
        <w:tc>
          <w:tcPr>
            <w:tcW w:w="808" w:type="pct"/>
            <w:tcBorders>
              <w:bottom w:val="single" w:sz="4" w:space="0" w:color="auto"/>
            </w:tcBorders>
          </w:tcPr>
          <w:p w:rsidR="00C157EC" w:rsidRPr="001749F6" w:rsidRDefault="00C157EC" w:rsidP="00185B4B">
            <w:pPr>
              <w:pStyle w:val="TableTextCentered"/>
            </w:pPr>
            <w:r w:rsidRPr="001749F6">
              <w:t>1.14%</w:t>
            </w:r>
          </w:p>
        </w:tc>
      </w:tr>
      <w:tr w:rsidR="00F42024" w:rsidTr="00A46F58">
        <w:tc>
          <w:tcPr>
            <w:tcW w:w="3536" w:type="pct"/>
            <w:tcBorders>
              <w:bottom w:val="single" w:sz="4" w:space="0" w:color="auto"/>
            </w:tcBorders>
          </w:tcPr>
          <w:p w:rsidR="00F42024" w:rsidRPr="001749F6" w:rsidRDefault="00F42024" w:rsidP="00F42024">
            <w:pPr>
              <w:pStyle w:val="TableText"/>
            </w:pPr>
            <w:r w:rsidRPr="001749F6">
              <w:t>RQ5a: Supply Central</w:t>
            </w:r>
          </w:p>
        </w:tc>
        <w:tc>
          <w:tcPr>
            <w:tcW w:w="656" w:type="pct"/>
            <w:tcBorders>
              <w:bottom w:val="single" w:sz="4" w:space="0" w:color="auto"/>
            </w:tcBorders>
            <w:vAlign w:val="top"/>
          </w:tcPr>
          <w:p w:rsidR="00F42024" w:rsidRPr="00F42024" w:rsidRDefault="00F42024" w:rsidP="00F42024">
            <w:pPr>
              <w:pStyle w:val="TableTextCentered"/>
              <w:rPr>
                <w:rFonts w:cstheme="majorHAnsi"/>
              </w:rPr>
            </w:pPr>
            <w:r w:rsidRPr="00A46F58">
              <w:rPr>
                <w:rFonts w:cstheme="majorHAnsi"/>
              </w:rPr>
              <w:t>-0.78</w:t>
            </w:r>
            <w:r>
              <w:rPr>
                <w:rFonts w:cstheme="majorHAnsi"/>
              </w:rPr>
              <w:t>%</w:t>
            </w:r>
          </w:p>
        </w:tc>
        <w:tc>
          <w:tcPr>
            <w:tcW w:w="808" w:type="pct"/>
            <w:tcBorders>
              <w:bottom w:val="single" w:sz="4" w:space="0" w:color="auto"/>
            </w:tcBorders>
            <w:vAlign w:val="top"/>
          </w:tcPr>
          <w:p w:rsidR="00F42024" w:rsidRPr="00F42024" w:rsidRDefault="00F42024" w:rsidP="00F42024">
            <w:pPr>
              <w:pStyle w:val="TableTextCentered"/>
              <w:rPr>
                <w:rFonts w:cstheme="majorHAnsi"/>
              </w:rPr>
            </w:pPr>
            <w:r w:rsidRPr="00A46F58">
              <w:rPr>
                <w:rFonts w:cstheme="majorHAnsi"/>
              </w:rPr>
              <w:t>0.99</w:t>
            </w:r>
            <w:r>
              <w:rPr>
                <w:rFonts w:cstheme="majorHAnsi"/>
              </w:rPr>
              <w:t>%</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Supply Commissioner's</w:t>
            </w:r>
          </w:p>
        </w:tc>
        <w:tc>
          <w:tcPr>
            <w:tcW w:w="656" w:type="pct"/>
            <w:tcBorders>
              <w:bottom w:val="single" w:sz="4" w:space="0" w:color="auto"/>
            </w:tcBorders>
          </w:tcPr>
          <w:p w:rsidR="00C157EC" w:rsidRPr="001749F6" w:rsidRDefault="00C157EC" w:rsidP="00185B4B">
            <w:pPr>
              <w:pStyle w:val="TableTextCentered"/>
            </w:pPr>
            <w:r w:rsidRPr="001749F6">
              <w:t>0.02%</w:t>
            </w:r>
          </w:p>
        </w:tc>
        <w:tc>
          <w:tcPr>
            <w:tcW w:w="808" w:type="pct"/>
            <w:tcBorders>
              <w:bottom w:val="single" w:sz="4" w:space="0" w:color="auto"/>
            </w:tcBorders>
          </w:tcPr>
          <w:p w:rsidR="00C157EC" w:rsidRPr="001749F6" w:rsidRDefault="00C157EC" w:rsidP="00185B4B">
            <w:pPr>
              <w:pStyle w:val="TableTextCentered"/>
            </w:pPr>
            <w:r w:rsidRPr="001749F6">
              <w:t>1.05%</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Supply Greater Boston</w:t>
            </w:r>
          </w:p>
        </w:tc>
        <w:tc>
          <w:tcPr>
            <w:tcW w:w="656" w:type="pct"/>
            <w:tcBorders>
              <w:bottom w:val="single" w:sz="4" w:space="0" w:color="auto"/>
            </w:tcBorders>
          </w:tcPr>
          <w:p w:rsidR="00C157EC" w:rsidRPr="001749F6" w:rsidRDefault="00C157EC" w:rsidP="00185B4B">
            <w:pPr>
              <w:pStyle w:val="TableTextCentered"/>
            </w:pPr>
            <w:r w:rsidRPr="001749F6">
              <w:t>-0.36%</w:t>
            </w:r>
          </w:p>
        </w:tc>
        <w:tc>
          <w:tcPr>
            <w:tcW w:w="808" w:type="pct"/>
            <w:tcBorders>
              <w:bottom w:val="single" w:sz="4" w:space="0" w:color="auto"/>
            </w:tcBorders>
          </w:tcPr>
          <w:p w:rsidR="00C157EC" w:rsidRPr="001749F6" w:rsidRDefault="00C157EC" w:rsidP="00185B4B">
            <w:pPr>
              <w:pStyle w:val="TableTextCentered"/>
            </w:pPr>
            <w:r w:rsidRPr="001749F6">
              <w:t>1.01%</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Supply Northeast</w:t>
            </w:r>
          </w:p>
        </w:tc>
        <w:tc>
          <w:tcPr>
            <w:tcW w:w="656" w:type="pct"/>
            <w:tcBorders>
              <w:bottom w:val="single" w:sz="4" w:space="0" w:color="auto"/>
            </w:tcBorders>
          </w:tcPr>
          <w:p w:rsidR="00C157EC" w:rsidRPr="001749F6" w:rsidRDefault="00C157EC" w:rsidP="00185B4B">
            <w:pPr>
              <w:pStyle w:val="TableTextCentered"/>
            </w:pPr>
            <w:r w:rsidRPr="001749F6">
              <w:t>0.25%</w:t>
            </w:r>
          </w:p>
        </w:tc>
        <w:tc>
          <w:tcPr>
            <w:tcW w:w="808" w:type="pct"/>
            <w:tcBorders>
              <w:bottom w:val="single" w:sz="4" w:space="0" w:color="auto"/>
            </w:tcBorders>
          </w:tcPr>
          <w:p w:rsidR="00C157EC" w:rsidRPr="001749F6" w:rsidRDefault="00C157EC" w:rsidP="00185B4B">
            <w:pPr>
              <w:pStyle w:val="TableTextCentered"/>
            </w:pPr>
            <w:r w:rsidRPr="001749F6">
              <w:t>0.61%</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Supply Pioneer Valley</w:t>
            </w:r>
          </w:p>
        </w:tc>
        <w:tc>
          <w:tcPr>
            <w:tcW w:w="656" w:type="pct"/>
            <w:tcBorders>
              <w:bottom w:val="single" w:sz="4" w:space="0" w:color="auto"/>
            </w:tcBorders>
          </w:tcPr>
          <w:p w:rsidR="00C157EC" w:rsidRPr="001749F6" w:rsidRDefault="00C157EC" w:rsidP="00185B4B">
            <w:pPr>
              <w:pStyle w:val="TableTextCentered"/>
            </w:pPr>
            <w:r w:rsidRPr="001749F6">
              <w:t>0.30%</w:t>
            </w:r>
          </w:p>
        </w:tc>
        <w:tc>
          <w:tcPr>
            <w:tcW w:w="808" w:type="pct"/>
            <w:tcBorders>
              <w:bottom w:val="single" w:sz="4" w:space="0" w:color="auto"/>
            </w:tcBorders>
          </w:tcPr>
          <w:p w:rsidR="00C157EC" w:rsidRPr="001749F6" w:rsidRDefault="00C157EC" w:rsidP="00185B4B">
            <w:pPr>
              <w:pStyle w:val="TableTextCentered"/>
            </w:pPr>
            <w:r w:rsidRPr="001749F6">
              <w:t>0.94%</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RQ5a: Supply Southeast</w:t>
            </w:r>
          </w:p>
        </w:tc>
        <w:tc>
          <w:tcPr>
            <w:tcW w:w="656" w:type="pct"/>
            <w:tcBorders>
              <w:bottom w:val="single" w:sz="4" w:space="0" w:color="auto"/>
            </w:tcBorders>
          </w:tcPr>
          <w:p w:rsidR="00C157EC" w:rsidRPr="001749F6" w:rsidRDefault="00C157EC" w:rsidP="00185B4B">
            <w:pPr>
              <w:pStyle w:val="TableTextCentered"/>
            </w:pPr>
            <w:r w:rsidRPr="001749F6">
              <w:t>0.07%</w:t>
            </w:r>
          </w:p>
        </w:tc>
        <w:tc>
          <w:tcPr>
            <w:tcW w:w="808" w:type="pct"/>
            <w:tcBorders>
              <w:bottom w:val="single" w:sz="4" w:space="0" w:color="auto"/>
            </w:tcBorders>
          </w:tcPr>
          <w:p w:rsidR="00C157EC" w:rsidRPr="001749F6" w:rsidRDefault="00C157EC" w:rsidP="00185B4B">
            <w:pPr>
              <w:pStyle w:val="TableTextCentered"/>
            </w:pPr>
            <w:r w:rsidRPr="001749F6">
              <w:t>1.42%</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RQ5b: Demand City</w:t>
            </w:r>
          </w:p>
        </w:tc>
        <w:tc>
          <w:tcPr>
            <w:tcW w:w="656" w:type="pct"/>
            <w:tcBorders>
              <w:bottom w:val="single" w:sz="4" w:space="0" w:color="auto"/>
            </w:tcBorders>
          </w:tcPr>
          <w:p w:rsidR="00C157EC" w:rsidRPr="001749F6" w:rsidRDefault="00C157EC" w:rsidP="00185B4B">
            <w:pPr>
              <w:pStyle w:val="TableTextCentered"/>
            </w:pPr>
            <w:r w:rsidRPr="001749F6">
              <w:t>0.50%</w:t>
            </w:r>
          </w:p>
        </w:tc>
        <w:tc>
          <w:tcPr>
            <w:tcW w:w="808" w:type="pct"/>
            <w:tcBorders>
              <w:bottom w:val="single" w:sz="4" w:space="0" w:color="auto"/>
            </w:tcBorders>
          </w:tcPr>
          <w:p w:rsidR="00C157EC" w:rsidRPr="001749F6" w:rsidRDefault="00C157EC" w:rsidP="00185B4B">
            <w:pPr>
              <w:pStyle w:val="TableTextCentered"/>
            </w:pPr>
            <w:r w:rsidRPr="001749F6">
              <w:t>1.79%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RQ5b: Demand Suburb</w:t>
            </w:r>
          </w:p>
        </w:tc>
        <w:tc>
          <w:tcPr>
            <w:tcW w:w="656" w:type="pct"/>
            <w:tcBorders>
              <w:bottom w:val="single" w:sz="4" w:space="0" w:color="auto"/>
            </w:tcBorders>
          </w:tcPr>
          <w:p w:rsidR="00C157EC" w:rsidRPr="001749F6" w:rsidRDefault="00C157EC" w:rsidP="00185B4B">
            <w:pPr>
              <w:pStyle w:val="TableTextCentered"/>
            </w:pPr>
            <w:r w:rsidRPr="001749F6">
              <w:t>0.17%</w:t>
            </w:r>
          </w:p>
        </w:tc>
        <w:tc>
          <w:tcPr>
            <w:tcW w:w="808" w:type="pct"/>
            <w:tcBorders>
              <w:bottom w:val="single" w:sz="4" w:space="0" w:color="auto"/>
            </w:tcBorders>
          </w:tcPr>
          <w:p w:rsidR="00C157EC" w:rsidRPr="001749F6" w:rsidRDefault="00C157EC" w:rsidP="00185B4B">
            <w:pPr>
              <w:pStyle w:val="TableTextCentered"/>
            </w:pPr>
            <w:r w:rsidRPr="001749F6">
              <w:t>0.44%</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RQ5b: Demand Town</w:t>
            </w:r>
          </w:p>
        </w:tc>
        <w:tc>
          <w:tcPr>
            <w:tcW w:w="656" w:type="pct"/>
            <w:tcBorders>
              <w:bottom w:val="single" w:sz="4" w:space="0" w:color="auto"/>
            </w:tcBorders>
          </w:tcPr>
          <w:p w:rsidR="00C157EC" w:rsidRPr="001749F6" w:rsidRDefault="00C157EC" w:rsidP="00185B4B">
            <w:pPr>
              <w:pStyle w:val="TableTextCentered"/>
            </w:pPr>
            <w:r w:rsidRPr="001749F6">
              <w:t>1.93%</w:t>
            </w:r>
          </w:p>
        </w:tc>
        <w:tc>
          <w:tcPr>
            <w:tcW w:w="808" w:type="pct"/>
            <w:tcBorders>
              <w:bottom w:val="single" w:sz="4" w:space="0" w:color="auto"/>
            </w:tcBorders>
          </w:tcPr>
          <w:p w:rsidR="00C157EC" w:rsidRPr="001749F6" w:rsidRDefault="00C157EC" w:rsidP="00185B4B">
            <w:pPr>
              <w:pStyle w:val="TableTextCentered"/>
            </w:pPr>
            <w:r w:rsidRPr="001749F6">
              <w:t>1.93%</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RQ5b: Demand Rural</w:t>
            </w:r>
          </w:p>
        </w:tc>
        <w:tc>
          <w:tcPr>
            <w:tcW w:w="656" w:type="pct"/>
            <w:tcBorders>
              <w:bottom w:val="single" w:sz="4" w:space="0" w:color="auto"/>
            </w:tcBorders>
          </w:tcPr>
          <w:p w:rsidR="00C157EC" w:rsidRPr="001749F6" w:rsidRDefault="00C157EC" w:rsidP="00185B4B">
            <w:pPr>
              <w:pStyle w:val="TableTextCentered"/>
            </w:pPr>
            <w:r w:rsidRPr="001749F6">
              <w:t>1.75%</w:t>
            </w:r>
          </w:p>
        </w:tc>
        <w:tc>
          <w:tcPr>
            <w:tcW w:w="808" w:type="pct"/>
            <w:tcBorders>
              <w:bottom w:val="single" w:sz="4" w:space="0" w:color="auto"/>
            </w:tcBorders>
          </w:tcPr>
          <w:p w:rsidR="00C157EC" w:rsidRPr="001749F6" w:rsidRDefault="00C157EC" w:rsidP="00185B4B">
            <w:pPr>
              <w:pStyle w:val="TableTextCentered"/>
            </w:pPr>
            <w:r w:rsidRPr="001749F6">
              <w:t>1.75%</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RQ5b: Supply City</w:t>
            </w:r>
          </w:p>
        </w:tc>
        <w:tc>
          <w:tcPr>
            <w:tcW w:w="656" w:type="pct"/>
            <w:tcBorders>
              <w:bottom w:val="single" w:sz="4" w:space="0" w:color="auto"/>
            </w:tcBorders>
          </w:tcPr>
          <w:p w:rsidR="00C157EC" w:rsidRPr="001749F6" w:rsidRDefault="00C157EC" w:rsidP="00185B4B">
            <w:pPr>
              <w:pStyle w:val="TableTextCentered"/>
            </w:pPr>
            <w:r w:rsidRPr="001749F6">
              <w:t>-1.22%</w:t>
            </w:r>
          </w:p>
        </w:tc>
        <w:tc>
          <w:tcPr>
            <w:tcW w:w="808" w:type="pct"/>
            <w:tcBorders>
              <w:bottom w:val="single" w:sz="4" w:space="0" w:color="auto"/>
            </w:tcBorders>
          </w:tcPr>
          <w:p w:rsidR="00C157EC" w:rsidRPr="001749F6" w:rsidRDefault="00C157EC" w:rsidP="00185B4B">
            <w:pPr>
              <w:pStyle w:val="TableTextCentered"/>
            </w:pPr>
            <w:r w:rsidRPr="001749F6">
              <w:t>1.38%</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RQ5b: Supply Suburb</w:t>
            </w:r>
          </w:p>
        </w:tc>
        <w:tc>
          <w:tcPr>
            <w:tcW w:w="656" w:type="pct"/>
            <w:tcBorders>
              <w:bottom w:val="single" w:sz="4" w:space="0" w:color="auto"/>
            </w:tcBorders>
          </w:tcPr>
          <w:p w:rsidR="00C157EC" w:rsidRPr="001749F6" w:rsidRDefault="00C157EC" w:rsidP="00185B4B">
            <w:pPr>
              <w:pStyle w:val="TableTextCentered"/>
            </w:pPr>
            <w:r w:rsidRPr="001749F6">
              <w:t>0.17%</w:t>
            </w:r>
          </w:p>
        </w:tc>
        <w:tc>
          <w:tcPr>
            <w:tcW w:w="808" w:type="pct"/>
            <w:tcBorders>
              <w:bottom w:val="single" w:sz="4" w:space="0" w:color="auto"/>
            </w:tcBorders>
          </w:tcPr>
          <w:p w:rsidR="00C157EC" w:rsidRPr="001749F6" w:rsidRDefault="00C157EC" w:rsidP="00185B4B">
            <w:pPr>
              <w:pStyle w:val="TableTextCentered"/>
            </w:pPr>
            <w:r w:rsidRPr="001749F6">
              <w:t>0.87%</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RQ5b: Supply Town</w:t>
            </w:r>
          </w:p>
        </w:tc>
        <w:tc>
          <w:tcPr>
            <w:tcW w:w="656" w:type="pct"/>
            <w:tcBorders>
              <w:bottom w:val="single" w:sz="4" w:space="0" w:color="auto"/>
            </w:tcBorders>
          </w:tcPr>
          <w:p w:rsidR="00C157EC" w:rsidRPr="001749F6" w:rsidRDefault="00C157EC" w:rsidP="00185B4B">
            <w:pPr>
              <w:pStyle w:val="TableTextCentered"/>
            </w:pPr>
            <w:r w:rsidRPr="001749F6">
              <w:t>-2.71%</w:t>
            </w:r>
          </w:p>
        </w:tc>
        <w:tc>
          <w:tcPr>
            <w:tcW w:w="808" w:type="pct"/>
            <w:tcBorders>
              <w:bottom w:val="single" w:sz="4" w:space="0" w:color="auto"/>
            </w:tcBorders>
          </w:tcPr>
          <w:p w:rsidR="00C157EC" w:rsidRPr="001749F6" w:rsidRDefault="00C157EC" w:rsidP="00185B4B">
            <w:pPr>
              <w:pStyle w:val="TableTextCentered"/>
            </w:pPr>
            <w:r w:rsidRPr="001749F6">
              <w:t>2.71%</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RQ5b: Supply Rural</w:t>
            </w:r>
          </w:p>
        </w:tc>
        <w:tc>
          <w:tcPr>
            <w:tcW w:w="656" w:type="pct"/>
            <w:tcBorders>
              <w:bottom w:val="single" w:sz="4" w:space="0" w:color="auto"/>
            </w:tcBorders>
          </w:tcPr>
          <w:p w:rsidR="00C157EC" w:rsidRPr="001749F6" w:rsidRDefault="00C157EC" w:rsidP="00185B4B">
            <w:pPr>
              <w:pStyle w:val="TableTextCentered"/>
            </w:pPr>
            <w:r w:rsidRPr="001749F6">
              <w:t>0.32%</w:t>
            </w:r>
          </w:p>
        </w:tc>
        <w:tc>
          <w:tcPr>
            <w:tcW w:w="808" w:type="pct"/>
            <w:tcBorders>
              <w:bottom w:val="single" w:sz="4" w:space="0" w:color="auto"/>
            </w:tcBorders>
          </w:tcPr>
          <w:p w:rsidR="00C157EC" w:rsidRPr="001749F6" w:rsidRDefault="00C157EC" w:rsidP="00185B4B">
            <w:pPr>
              <w:pStyle w:val="TableTextCentered"/>
            </w:pPr>
            <w:r w:rsidRPr="001749F6">
              <w:t>0.87%</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RQ5c: Demand American Int. C.</w:t>
            </w:r>
          </w:p>
        </w:tc>
        <w:tc>
          <w:tcPr>
            <w:tcW w:w="656" w:type="pct"/>
            <w:tcBorders>
              <w:bottom w:val="single" w:sz="4" w:space="0" w:color="auto"/>
            </w:tcBorders>
          </w:tcPr>
          <w:p w:rsidR="00C157EC" w:rsidRPr="001749F6" w:rsidRDefault="00C157EC" w:rsidP="00185B4B">
            <w:pPr>
              <w:pStyle w:val="TableTextCentered"/>
            </w:pPr>
            <w:r w:rsidRPr="001749F6">
              <w:t>1.80%</w:t>
            </w:r>
          </w:p>
        </w:tc>
        <w:tc>
          <w:tcPr>
            <w:tcW w:w="808" w:type="pct"/>
            <w:tcBorders>
              <w:bottom w:val="single" w:sz="4" w:space="0" w:color="auto"/>
            </w:tcBorders>
          </w:tcPr>
          <w:p w:rsidR="00C157EC" w:rsidRPr="001749F6" w:rsidRDefault="00C157EC" w:rsidP="00185B4B">
            <w:pPr>
              <w:pStyle w:val="TableTextCentered"/>
            </w:pPr>
            <w:r w:rsidRPr="001749F6">
              <w:t>1.80%</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RQ5c: Demand Boston U.</w:t>
            </w:r>
          </w:p>
        </w:tc>
        <w:tc>
          <w:tcPr>
            <w:tcW w:w="656" w:type="pct"/>
            <w:tcBorders>
              <w:bottom w:val="single" w:sz="4" w:space="0" w:color="auto"/>
            </w:tcBorders>
          </w:tcPr>
          <w:p w:rsidR="00C157EC" w:rsidRPr="001749F6" w:rsidRDefault="00C157EC" w:rsidP="00185B4B">
            <w:pPr>
              <w:pStyle w:val="TableTextCentered"/>
            </w:pPr>
            <w:r w:rsidRPr="001749F6">
              <w:t>-1.64%</w:t>
            </w:r>
          </w:p>
        </w:tc>
        <w:tc>
          <w:tcPr>
            <w:tcW w:w="808" w:type="pct"/>
            <w:tcBorders>
              <w:bottom w:val="single" w:sz="4" w:space="0" w:color="auto"/>
            </w:tcBorders>
          </w:tcPr>
          <w:p w:rsidR="00C157EC" w:rsidRPr="001749F6" w:rsidRDefault="00C157EC" w:rsidP="00185B4B">
            <w:pPr>
              <w:pStyle w:val="TableTextCentered"/>
            </w:pPr>
            <w:r w:rsidRPr="001749F6">
              <w:t>1.81%</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RQ5c: Demand Bridgewater St.</w:t>
            </w:r>
          </w:p>
        </w:tc>
        <w:tc>
          <w:tcPr>
            <w:tcW w:w="656" w:type="pct"/>
            <w:tcBorders>
              <w:bottom w:val="single" w:sz="4" w:space="0" w:color="auto"/>
            </w:tcBorders>
          </w:tcPr>
          <w:p w:rsidR="00C157EC" w:rsidRPr="001749F6" w:rsidRDefault="00C157EC" w:rsidP="00185B4B">
            <w:pPr>
              <w:pStyle w:val="TableTextCentered"/>
            </w:pPr>
            <w:r w:rsidRPr="001749F6">
              <w:t>0.00%</w:t>
            </w:r>
          </w:p>
        </w:tc>
        <w:tc>
          <w:tcPr>
            <w:tcW w:w="808" w:type="pct"/>
            <w:tcBorders>
              <w:bottom w:val="single" w:sz="4" w:space="0" w:color="auto"/>
            </w:tcBorders>
          </w:tcPr>
          <w:p w:rsidR="00C157EC" w:rsidRPr="001749F6" w:rsidRDefault="00C157EC" w:rsidP="00185B4B">
            <w:pPr>
              <w:pStyle w:val="TableTextCentered"/>
            </w:pPr>
            <w:r w:rsidRPr="001749F6">
              <w:t>0.79%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RQ5c: Demand Salem St.</w:t>
            </w:r>
          </w:p>
        </w:tc>
        <w:tc>
          <w:tcPr>
            <w:tcW w:w="656" w:type="pct"/>
            <w:tcBorders>
              <w:bottom w:val="single" w:sz="4" w:space="0" w:color="auto"/>
            </w:tcBorders>
          </w:tcPr>
          <w:p w:rsidR="00C157EC" w:rsidRPr="001749F6" w:rsidRDefault="00C157EC" w:rsidP="00185B4B">
            <w:pPr>
              <w:pStyle w:val="TableTextCentered"/>
            </w:pPr>
            <w:r w:rsidRPr="001749F6">
              <w:t>-1.24%</w:t>
            </w:r>
          </w:p>
        </w:tc>
        <w:tc>
          <w:tcPr>
            <w:tcW w:w="808" w:type="pct"/>
            <w:tcBorders>
              <w:bottom w:val="single" w:sz="4" w:space="0" w:color="auto"/>
            </w:tcBorders>
          </w:tcPr>
          <w:p w:rsidR="00C157EC" w:rsidRPr="001749F6" w:rsidRDefault="00C157EC" w:rsidP="00185B4B">
            <w:pPr>
              <w:pStyle w:val="TableTextCentered"/>
            </w:pPr>
            <w:r w:rsidRPr="001749F6">
              <w:t>1.86%</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RQ5c: Demand Lesley U.</w:t>
            </w:r>
          </w:p>
        </w:tc>
        <w:tc>
          <w:tcPr>
            <w:tcW w:w="656" w:type="pct"/>
            <w:tcBorders>
              <w:bottom w:val="single" w:sz="4" w:space="0" w:color="auto"/>
            </w:tcBorders>
          </w:tcPr>
          <w:p w:rsidR="00C157EC" w:rsidRPr="001749F6" w:rsidRDefault="00C157EC" w:rsidP="00185B4B">
            <w:pPr>
              <w:pStyle w:val="TableTextCentered"/>
            </w:pPr>
            <w:r w:rsidRPr="001749F6">
              <w:t>-0.75%</w:t>
            </w:r>
          </w:p>
        </w:tc>
        <w:tc>
          <w:tcPr>
            <w:tcW w:w="808" w:type="pct"/>
            <w:tcBorders>
              <w:bottom w:val="single" w:sz="4" w:space="0" w:color="auto"/>
            </w:tcBorders>
          </w:tcPr>
          <w:p w:rsidR="00C157EC" w:rsidRPr="001749F6" w:rsidRDefault="00C157EC" w:rsidP="00185B4B">
            <w:pPr>
              <w:pStyle w:val="TableTextCentered"/>
            </w:pPr>
            <w:r w:rsidRPr="001749F6">
              <w:t>0.79%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RQ5c: Supply American Int. C.</w:t>
            </w:r>
          </w:p>
        </w:tc>
        <w:tc>
          <w:tcPr>
            <w:tcW w:w="656" w:type="pct"/>
            <w:tcBorders>
              <w:bottom w:val="single" w:sz="4" w:space="0" w:color="auto"/>
            </w:tcBorders>
          </w:tcPr>
          <w:p w:rsidR="00C157EC" w:rsidRPr="001749F6" w:rsidRDefault="00C157EC" w:rsidP="00185B4B">
            <w:pPr>
              <w:pStyle w:val="TableTextCentered"/>
            </w:pPr>
            <w:r w:rsidRPr="001749F6">
              <w:t>0.01%</w:t>
            </w:r>
          </w:p>
        </w:tc>
        <w:tc>
          <w:tcPr>
            <w:tcW w:w="808" w:type="pct"/>
            <w:tcBorders>
              <w:bottom w:val="single" w:sz="4" w:space="0" w:color="auto"/>
            </w:tcBorders>
          </w:tcPr>
          <w:p w:rsidR="00C157EC" w:rsidRPr="001749F6" w:rsidRDefault="00C157EC" w:rsidP="00185B4B">
            <w:pPr>
              <w:pStyle w:val="TableTextCentered"/>
            </w:pPr>
            <w:r w:rsidRPr="001749F6">
              <w:t>0.72%</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RQ5c: Supply Boston U.</w:t>
            </w:r>
          </w:p>
        </w:tc>
        <w:tc>
          <w:tcPr>
            <w:tcW w:w="656" w:type="pct"/>
            <w:tcBorders>
              <w:bottom w:val="single" w:sz="4" w:space="0" w:color="auto"/>
            </w:tcBorders>
          </w:tcPr>
          <w:p w:rsidR="00C157EC" w:rsidRPr="001749F6" w:rsidRDefault="00C157EC" w:rsidP="00185B4B">
            <w:pPr>
              <w:pStyle w:val="TableTextCentered"/>
            </w:pPr>
            <w:r w:rsidRPr="001749F6">
              <w:t>0.01%</w:t>
            </w:r>
          </w:p>
        </w:tc>
        <w:tc>
          <w:tcPr>
            <w:tcW w:w="808" w:type="pct"/>
            <w:tcBorders>
              <w:bottom w:val="single" w:sz="4" w:space="0" w:color="auto"/>
            </w:tcBorders>
          </w:tcPr>
          <w:p w:rsidR="00C157EC" w:rsidRPr="001749F6" w:rsidRDefault="00C157EC" w:rsidP="00185B4B">
            <w:pPr>
              <w:pStyle w:val="TableTextCentered"/>
            </w:pPr>
            <w:r w:rsidRPr="001749F6">
              <w:t>0.90%</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RQ5c: Supply Bridgewater St.</w:t>
            </w:r>
          </w:p>
        </w:tc>
        <w:tc>
          <w:tcPr>
            <w:tcW w:w="656" w:type="pct"/>
            <w:tcBorders>
              <w:bottom w:val="single" w:sz="4" w:space="0" w:color="auto"/>
            </w:tcBorders>
          </w:tcPr>
          <w:p w:rsidR="00C157EC" w:rsidRPr="001749F6" w:rsidRDefault="00C157EC" w:rsidP="00185B4B">
            <w:pPr>
              <w:pStyle w:val="TableTextCentered"/>
            </w:pPr>
            <w:r w:rsidRPr="001749F6">
              <w:t>0.01%</w:t>
            </w:r>
          </w:p>
        </w:tc>
        <w:tc>
          <w:tcPr>
            <w:tcW w:w="808" w:type="pct"/>
            <w:tcBorders>
              <w:bottom w:val="single" w:sz="4" w:space="0" w:color="auto"/>
            </w:tcBorders>
          </w:tcPr>
          <w:p w:rsidR="00C157EC" w:rsidRPr="001749F6" w:rsidRDefault="00C157EC" w:rsidP="00185B4B">
            <w:pPr>
              <w:pStyle w:val="TableTextCentered"/>
            </w:pPr>
            <w:r w:rsidRPr="001749F6">
              <w:t>1.09%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RQ5c: Supply Salem St.</w:t>
            </w:r>
          </w:p>
        </w:tc>
        <w:tc>
          <w:tcPr>
            <w:tcW w:w="656" w:type="pct"/>
            <w:tcBorders>
              <w:bottom w:val="single" w:sz="4" w:space="0" w:color="auto"/>
            </w:tcBorders>
          </w:tcPr>
          <w:p w:rsidR="00C157EC" w:rsidRPr="001749F6" w:rsidRDefault="00C157EC" w:rsidP="00185B4B">
            <w:pPr>
              <w:pStyle w:val="TableTextCentered"/>
            </w:pPr>
            <w:r w:rsidRPr="001749F6">
              <w:t>0.01%</w:t>
            </w:r>
          </w:p>
        </w:tc>
        <w:tc>
          <w:tcPr>
            <w:tcW w:w="808" w:type="pct"/>
            <w:tcBorders>
              <w:bottom w:val="single" w:sz="4" w:space="0" w:color="auto"/>
            </w:tcBorders>
          </w:tcPr>
          <w:p w:rsidR="00C157EC" w:rsidRPr="001749F6" w:rsidRDefault="00C157EC" w:rsidP="00185B4B">
            <w:pPr>
              <w:pStyle w:val="TableTextCentered"/>
            </w:pPr>
            <w:r w:rsidRPr="001749F6">
              <w:t>0.89%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RQ5c: Supply Lesley U.</w:t>
            </w:r>
          </w:p>
        </w:tc>
        <w:tc>
          <w:tcPr>
            <w:tcW w:w="656" w:type="pct"/>
            <w:tcBorders>
              <w:bottom w:val="single" w:sz="4" w:space="0" w:color="auto"/>
            </w:tcBorders>
          </w:tcPr>
          <w:p w:rsidR="00C157EC" w:rsidRPr="001749F6" w:rsidRDefault="00C157EC" w:rsidP="00185B4B">
            <w:pPr>
              <w:pStyle w:val="TableTextCentered"/>
            </w:pPr>
            <w:r w:rsidRPr="001749F6">
              <w:t>0.01%</w:t>
            </w:r>
          </w:p>
        </w:tc>
        <w:tc>
          <w:tcPr>
            <w:tcW w:w="808" w:type="pct"/>
            <w:tcBorders>
              <w:bottom w:val="single" w:sz="4" w:space="0" w:color="auto"/>
            </w:tcBorders>
          </w:tcPr>
          <w:p w:rsidR="00C157EC" w:rsidRPr="001749F6" w:rsidRDefault="00C157EC" w:rsidP="00185B4B">
            <w:pPr>
              <w:pStyle w:val="TableTextCentered"/>
            </w:pPr>
            <w:r w:rsidRPr="001749F6">
              <w:t>0.77%</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RQ5d: Demand Boston</w:t>
            </w:r>
          </w:p>
        </w:tc>
        <w:tc>
          <w:tcPr>
            <w:tcW w:w="656" w:type="pct"/>
            <w:tcBorders>
              <w:bottom w:val="single" w:sz="4" w:space="0" w:color="auto"/>
            </w:tcBorders>
          </w:tcPr>
          <w:p w:rsidR="00C157EC" w:rsidRPr="001749F6" w:rsidRDefault="00C157EC" w:rsidP="00185B4B">
            <w:pPr>
              <w:pStyle w:val="TableTextCentered"/>
            </w:pPr>
            <w:r w:rsidRPr="001749F6">
              <w:t>-1.56%</w:t>
            </w:r>
          </w:p>
        </w:tc>
        <w:tc>
          <w:tcPr>
            <w:tcW w:w="808" w:type="pct"/>
            <w:tcBorders>
              <w:bottom w:val="single" w:sz="4" w:space="0" w:color="auto"/>
            </w:tcBorders>
          </w:tcPr>
          <w:p w:rsidR="00C157EC" w:rsidRPr="001749F6" w:rsidRDefault="00C157EC" w:rsidP="00185B4B">
            <w:pPr>
              <w:pStyle w:val="TableTextCentered"/>
            </w:pPr>
            <w:r w:rsidRPr="001749F6">
              <w:t>1.73%</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RQ5d: Demand Worcester</w:t>
            </w:r>
          </w:p>
        </w:tc>
        <w:tc>
          <w:tcPr>
            <w:tcW w:w="656" w:type="pct"/>
            <w:tcBorders>
              <w:bottom w:val="single" w:sz="4" w:space="0" w:color="auto"/>
            </w:tcBorders>
          </w:tcPr>
          <w:p w:rsidR="00C157EC" w:rsidRPr="001749F6" w:rsidRDefault="00C157EC" w:rsidP="00185B4B">
            <w:pPr>
              <w:pStyle w:val="TableTextCentered"/>
            </w:pPr>
            <w:r w:rsidRPr="001749F6">
              <w:t>2.79%</w:t>
            </w:r>
          </w:p>
        </w:tc>
        <w:tc>
          <w:tcPr>
            <w:tcW w:w="808" w:type="pct"/>
            <w:tcBorders>
              <w:bottom w:val="single" w:sz="4" w:space="0" w:color="auto"/>
            </w:tcBorders>
          </w:tcPr>
          <w:p w:rsidR="00C157EC" w:rsidRPr="001749F6" w:rsidRDefault="00C157EC" w:rsidP="00185B4B">
            <w:pPr>
              <w:pStyle w:val="TableTextCentered"/>
            </w:pPr>
            <w:r w:rsidRPr="001749F6">
              <w:t>2.79%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RQ5d: Demand Springfield</w:t>
            </w:r>
          </w:p>
        </w:tc>
        <w:tc>
          <w:tcPr>
            <w:tcW w:w="656" w:type="pct"/>
            <w:tcBorders>
              <w:bottom w:val="single" w:sz="4" w:space="0" w:color="auto"/>
            </w:tcBorders>
          </w:tcPr>
          <w:p w:rsidR="00C157EC" w:rsidRPr="001749F6" w:rsidRDefault="00C157EC" w:rsidP="00185B4B">
            <w:pPr>
              <w:pStyle w:val="TableTextCentered"/>
            </w:pPr>
            <w:r w:rsidRPr="001749F6">
              <w:t>2.20%</w:t>
            </w:r>
          </w:p>
        </w:tc>
        <w:tc>
          <w:tcPr>
            <w:tcW w:w="808" w:type="pct"/>
            <w:tcBorders>
              <w:bottom w:val="single" w:sz="4" w:space="0" w:color="auto"/>
            </w:tcBorders>
          </w:tcPr>
          <w:p w:rsidR="00C157EC" w:rsidRPr="001749F6" w:rsidRDefault="00C157EC" w:rsidP="00185B4B">
            <w:pPr>
              <w:pStyle w:val="TableTextCentered"/>
            </w:pPr>
            <w:r w:rsidRPr="001749F6">
              <w:t>2.20%</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RQ5d: Demand Lowell/Lawrence</w:t>
            </w:r>
          </w:p>
        </w:tc>
        <w:tc>
          <w:tcPr>
            <w:tcW w:w="656" w:type="pct"/>
            <w:tcBorders>
              <w:bottom w:val="single" w:sz="4" w:space="0" w:color="auto"/>
            </w:tcBorders>
          </w:tcPr>
          <w:p w:rsidR="00C157EC" w:rsidRPr="001749F6" w:rsidRDefault="00C157EC" w:rsidP="00185B4B">
            <w:pPr>
              <w:pStyle w:val="TableTextCentered"/>
            </w:pPr>
            <w:r w:rsidRPr="001749F6">
              <w:t>-0.36%</w:t>
            </w:r>
          </w:p>
        </w:tc>
        <w:tc>
          <w:tcPr>
            <w:tcW w:w="808" w:type="pct"/>
            <w:tcBorders>
              <w:bottom w:val="single" w:sz="4" w:space="0" w:color="auto"/>
            </w:tcBorders>
          </w:tcPr>
          <w:p w:rsidR="00C157EC" w:rsidRPr="001749F6" w:rsidRDefault="00C157EC" w:rsidP="00185B4B">
            <w:pPr>
              <w:pStyle w:val="TableTextCentered"/>
            </w:pPr>
            <w:r w:rsidRPr="001749F6">
              <w:t>3.32%</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RQ5d: Supply Boston</w:t>
            </w:r>
          </w:p>
        </w:tc>
        <w:tc>
          <w:tcPr>
            <w:tcW w:w="656" w:type="pct"/>
            <w:tcBorders>
              <w:bottom w:val="single" w:sz="4" w:space="0" w:color="auto"/>
            </w:tcBorders>
          </w:tcPr>
          <w:p w:rsidR="00C157EC" w:rsidRPr="001749F6" w:rsidRDefault="00C157EC" w:rsidP="00185B4B">
            <w:pPr>
              <w:pStyle w:val="TableTextCentered"/>
            </w:pPr>
            <w:r w:rsidRPr="001749F6">
              <w:t>0.01%</w:t>
            </w:r>
          </w:p>
        </w:tc>
        <w:tc>
          <w:tcPr>
            <w:tcW w:w="808" w:type="pct"/>
            <w:tcBorders>
              <w:bottom w:val="single" w:sz="4" w:space="0" w:color="auto"/>
            </w:tcBorders>
          </w:tcPr>
          <w:p w:rsidR="00C157EC" w:rsidRPr="001749F6" w:rsidRDefault="00C157EC" w:rsidP="00185B4B">
            <w:pPr>
              <w:pStyle w:val="TableTextCentered"/>
            </w:pPr>
            <w:r w:rsidRPr="001749F6">
              <w:t>0.79%</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RQ5d: Supply Worcester</w:t>
            </w:r>
          </w:p>
        </w:tc>
        <w:tc>
          <w:tcPr>
            <w:tcW w:w="656" w:type="pct"/>
            <w:tcBorders>
              <w:bottom w:val="single" w:sz="4" w:space="0" w:color="auto"/>
            </w:tcBorders>
          </w:tcPr>
          <w:p w:rsidR="00C157EC" w:rsidRPr="001749F6" w:rsidRDefault="00C157EC" w:rsidP="00185B4B">
            <w:pPr>
              <w:pStyle w:val="TableTextCentered"/>
            </w:pPr>
            <w:r w:rsidRPr="001749F6">
              <w:t>0.00%</w:t>
            </w:r>
          </w:p>
        </w:tc>
        <w:tc>
          <w:tcPr>
            <w:tcW w:w="808" w:type="pct"/>
            <w:tcBorders>
              <w:bottom w:val="single" w:sz="4" w:space="0" w:color="auto"/>
            </w:tcBorders>
          </w:tcPr>
          <w:p w:rsidR="00C157EC" w:rsidRPr="001749F6" w:rsidRDefault="00C157EC" w:rsidP="00185B4B">
            <w:pPr>
              <w:pStyle w:val="TableTextCentered"/>
            </w:pPr>
            <w:r w:rsidRPr="001749F6">
              <w:t>0.44%</w:t>
            </w:r>
          </w:p>
        </w:tc>
      </w:tr>
      <w:tr w:rsidR="00C157EC" w:rsidTr="00185B4B">
        <w:tc>
          <w:tcPr>
            <w:tcW w:w="3536" w:type="pct"/>
            <w:tcBorders>
              <w:bottom w:val="single" w:sz="4" w:space="0" w:color="auto"/>
            </w:tcBorders>
          </w:tcPr>
          <w:p w:rsidR="00C157EC" w:rsidRPr="001749F6" w:rsidRDefault="00C157EC" w:rsidP="00185B4B">
            <w:pPr>
              <w:pStyle w:val="TableText"/>
            </w:pPr>
            <w:r w:rsidRPr="001749F6">
              <w:t>RQ5d: Supply Springfield</w:t>
            </w:r>
          </w:p>
        </w:tc>
        <w:tc>
          <w:tcPr>
            <w:tcW w:w="656" w:type="pct"/>
            <w:tcBorders>
              <w:bottom w:val="single" w:sz="4" w:space="0" w:color="auto"/>
            </w:tcBorders>
          </w:tcPr>
          <w:p w:rsidR="00C157EC" w:rsidRPr="001749F6" w:rsidRDefault="00C157EC" w:rsidP="00185B4B">
            <w:pPr>
              <w:pStyle w:val="TableTextCentered"/>
            </w:pPr>
            <w:r w:rsidRPr="001749F6">
              <w:t>0.00%</w:t>
            </w:r>
          </w:p>
        </w:tc>
        <w:tc>
          <w:tcPr>
            <w:tcW w:w="808" w:type="pct"/>
            <w:tcBorders>
              <w:bottom w:val="single" w:sz="4" w:space="0" w:color="auto"/>
            </w:tcBorders>
          </w:tcPr>
          <w:p w:rsidR="00C157EC" w:rsidRPr="001749F6" w:rsidRDefault="00C157EC" w:rsidP="00185B4B">
            <w:pPr>
              <w:pStyle w:val="TableTextCentered"/>
            </w:pPr>
            <w:r w:rsidRPr="001749F6">
              <w:t>0.36%</w:t>
            </w:r>
          </w:p>
        </w:tc>
      </w:tr>
      <w:tr w:rsidR="00C157EC" w:rsidTr="00185B4B">
        <w:tc>
          <w:tcPr>
            <w:tcW w:w="3536" w:type="pct"/>
          </w:tcPr>
          <w:p w:rsidR="00C157EC" w:rsidRPr="001749F6" w:rsidRDefault="00C157EC" w:rsidP="00185B4B">
            <w:pPr>
              <w:pStyle w:val="TableText"/>
            </w:pPr>
            <w:r w:rsidRPr="001749F6">
              <w:t>RQ5d: Supply Lowell/Lawrence</w:t>
            </w:r>
          </w:p>
        </w:tc>
        <w:tc>
          <w:tcPr>
            <w:tcW w:w="656" w:type="pct"/>
          </w:tcPr>
          <w:p w:rsidR="00C157EC" w:rsidRPr="001749F6" w:rsidRDefault="00C157EC" w:rsidP="00185B4B">
            <w:pPr>
              <w:pStyle w:val="TableTextCentered"/>
            </w:pPr>
            <w:r w:rsidRPr="001749F6">
              <w:t>0.04%</w:t>
            </w:r>
          </w:p>
        </w:tc>
        <w:tc>
          <w:tcPr>
            <w:tcW w:w="808" w:type="pct"/>
          </w:tcPr>
          <w:p w:rsidR="00C157EC" w:rsidRPr="001749F6" w:rsidRDefault="00C157EC" w:rsidP="00185B4B">
            <w:pPr>
              <w:pStyle w:val="TableTextCentered"/>
            </w:pPr>
            <w:r w:rsidRPr="001749F6">
              <w:t>1.67%</w:t>
            </w:r>
          </w:p>
        </w:tc>
      </w:tr>
    </w:tbl>
    <w:p w:rsidR="00C157EC" w:rsidRDefault="00C157EC" w:rsidP="005541CB">
      <w:pPr>
        <w:pStyle w:val="Heading3NoTOC"/>
      </w:pPr>
      <w:bookmarkStart w:id="178" w:name="_Toc436724320"/>
      <w:r>
        <w:t>95 Percent Confidence Intervals</w:t>
      </w:r>
      <w:bookmarkEnd w:id="178"/>
    </w:p>
    <w:p w:rsidR="00C157EC" w:rsidRDefault="00C157EC" w:rsidP="005541CB">
      <w:pPr>
        <w:pStyle w:val="BodyText"/>
      </w:pPr>
      <w:r>
        <w:t xml:space="preserve">A 95 percent confidence interval is a common metric used to assess uncertainty or error in an estimated parameter. Specifically, </w:t>
      </w:r>
      <w:r w:rsidRPr="005202E3">
        <w:t>Valerie J. Easton and John H. McColl's Statistics Glossary v1.1</w:t>
      </w:r>
      <w:r>
        <w:t xml:space="preserve"> defines a confidence interval as “</w:t>
      </w:r>
      <w:r w:rsidRPr="005202E3">
        <w:t>an estimated range of values which is likely to include an unknown population parameter, the estimated range being calculated from a given set of sample data.</w:t>
      </w:r>
      <w:r>
        <w:t>”</w:t>
      </w:r>
      <w:r>
        <w:rPr>
          <w:rStyle w:val="FootnoteReference"/>
        </w:rPr>
        <w:footnoteReference w:id="49"/>
      </w:r>
      <w:r>
        <w:t xml:space="preserve"> The “95 percent” indicates the probability that the point estimate will fall within the given range of values if additional intervals were calculated using independent samples.</w:t>
      </w:r>
    </w:p>
    <w:p w:rsidR="00C157EC" w:rsidRDefault="00C157EC" w:rsidP="005541CB">
      <w:pPr>
        <w:pStyle w:val="BodyText"/>
      </w:pPr>
      <w:r>
        <w:t>For the present study, these point estimates are actually projected values of supply and demand in future years based on a sample of historical data. Moreover, we report intervals for a district-level average across all districts, rather than an interval for a particular district or in the aggregate. For example, if we report a 95 percent confidence interval for a demand projection as 5.3 percent above or below the average point estimate, this means that “true” demand on average in the projected year is likely within that range.</w:t>
      </w:r>
    </w:p>
    <w:p w:rsidR="00C157EC" w:rsidRPr="005541CB" w:rsidRDefault="00C157EC" w:rsidP="005541CB">
      <w:pPr>
        <w:pStyle w:val="BodyText"/>
      </w:pPr>
      <w:r>
        <w:t xml:space="preserve">Put simply, the </w:t>
      </w:r>
      <w:proofErr w:type="gramStart"/>
      <w:r>
        <w:t>width of these intervals are</w:t>
      </w:r>
      <w:proofErr w:type="gramEnd"/>
      <w:r>
        <w:t xml:space="preserve"> one measure of the extent of our uncertainty in the reported projections. Given the fact that </w:t>
      </w:r>
      <w:proofErr w:type="gramStart"/>
      <w:r>
        <w:t>uncertainty in projections inherently grow</w:t>
      </w:r>
      <w:proofErr w:type="gramEnd"/>
      <w:r>
        <w:t xml:space="preserve"> larger over time, we can expect to see these intervals also grow in width over time.</w:t>
      </w:r>
    </w:p>
    <w:p w:rsidR="00C157EC" w:rsidRPr="00EB58A1" w:rsidRDefault="00C157EC" w:rsidP="00A46F58">
      <w:pPr>
        <w:pStyle w:val="BodyText"/>
        <w:rPr>
          <w:rFonts w:cstheme="majorHAnsi"/>
          <w:szCs w:val="26"/>
        </w:rPr>
      </w:pPr>
      <w:r w:rsidRPr="00A46F58">
        <w:rPr>
          <w:rFonts w:asciiTheme="majorHAnsi" w:hAnsiTheme="majorHAnsi" w:cstheme="majorHAnsi"/>
          <w:b/>
          <w:i/>
          <w:sz w:val="26"/>
          <w:szCs w:val="26"/>
        </w:rPr>
        <w:t>Research Question 1</w:t>
      </w:r>
      <w:r w:rsidR="00CA243F" w:rsidRPr="00A46F58">
        <w:rPr>
          <w:rFonts w:asciiTheme="majorHAnsi" w:hAnsiTheme="majorHAnsi" w:cstheme="majorHAnsi"/>
          <w:b/>
          <w:i/>
          <w:sz w:val="26"/>
          <w:szCs w:val="26"/>
        </w:rPr>
        <w:t>—</w:t>
      </w:r>
      <w:r w:rsidRPr="00A46F58">
        <w:rPr>
          <w:rFonts w:asciiTheme="majorHAnsi" w:hAnsiTheme="majorHAnsi" w:cstheme="majorHAnsi"/>
          <w:b/>
          <w:i/>
          <w:sz w:val="26"/>
          <w:szCs w:val="26"/>
        </w:rPr>
        <w:t>Validity of Results</w:t>
      </w:r>
    </w:p>
    <w:p w:rsidR="00C157EC" w:rsidRPr="00494847" w:rsidRDefault="00C157EC" w:rsidP="005541CB">
      <w:pPr>
        <w:pStyle w:val="BodyText"/>
      </w:pPr>
      <w:r>
        <w:t xml:space="preserve">Due to the fact that the projections created to address </w:t>
      </w:r>
      <w:r w:rsidR="00553EAF">
        <w:t>R</w:t>
      </w:r>
      <w:r>
        <w:t xml:space="preserve">esearch </w:t>
      </w:r>
      <w:r w:rsidR="00553EAF">
        <w:t>Q</w:t>
      </w:r>
      <w:r>
        <w:t>uestion 1 were not based on a regression model or estimated parameter, we cannot report confidence intervals for these results. However, in addition to the APEs and MAPEs reported earlier in this appendix, we conducted additional tests of the validity of our enrollment projections. The results of these tests are discussed later in this appendix.</w:t>
      </w:r>
    </w:p>
    <w:p w:rsidR="00C157EC" w:rsidRPr="00EB58A1" w:rsidRDefault="00C157EC" w:rsidP="00A46F58">
      <w:pPr>
        <w:pStyle w:val="BodyText"/>
        <w:rPr>
          <w:rFonts w:cstheme="majorHAnsi"/>
          <w:szCs w:val="26"/>
        </w:rPr>
      </w:pPr>
      <w:r w:rsidRPr="00A46F58">
        <w:rPr>
          <w:rFonts w:asciiTheme="majorHAnsi" w:hAnsiTheme="majorHAnsi" w:cstheme="majorHAnsi"/>
          <w:b/>
          <w:i/>
          <w:sz w:val="26"/>
          <w:szCs w:val="26"/>
        </w:rPr>
        <w:t>Research Question 2</w:t>
      </w:r>
      <w:r w:rsidR="00CA243F" w:rsidRPr="00A46F58">
        <w:rPr>
          <w:rFonts w:asciiTheme="majorHAnsi" w:hAnsiTheme="majorHAnsi" w:cstheme="majorHAnsi"/>
          <w:b/>
          <w:i/>
          <w:sz w:val="26"/>
          <w:szCs w:val="26"/>
        </w:rPr>
        <w:t>—</w:t>
      </w:r>
      <w:r w:rsidRPr="00A46F58">
        <w:rPr>
          <w:rFonts w:asciiTheme="majorHAnsi" w:hAnsiTheme="majorHAnsi" w:cstheme="majorHAnsi"/>
          <w:b/>
          <w:i/>
          <w:sz w:val="26"/>
          <w:szCs w:val="26"/>
        </w:rPr>
        <w:t>Validity of Results</w:t>
      </w:r>
    </w:p>
    <w:p w:rsidR="00C157EC" w:rsidRDefault="00C157EC" w:rsidP="005541CB">
      <w:pPr>
        <w:pStyle w:val="BodyText"/>
      </w:pPr>
      <w:r>
        <w:t xml:space="preserve">When we </w:t>
      </w:r>
      <w:r w:rsidRPr="00101413">
        <w:t>considered the 95</w:t>
      </w:r>
      <w:r>
        <w:t xml:space="preserve"> percent</w:t>
      </w:r>
      <w:r w:rsidRPr="00101413">
        <w:t xml:space="preserve"> confidence intervals around </w:t>
      </w:r>
      <w:r>
        <w:t xml:space="preserve">the aggregate </w:t>
      </w:r>
      <w:r w:rsidRPr="00101413">
        <w:t xml:space="preserve">supply projections </w:t>
      </w:r>
      <w:r>
        <w:t>(</w:t>
      </w:r>
      <w:r w:rsidR="00CA243F">
        <w:t>Table</w:t>
      </w:r>
      <w:r>
        <w:t xml:space="preserve"> C</w:t>
      </w:r>
      <w:r w:rsidR="00CA243F">
        <w:t>2</w:t>
      </w:r>
      <w:r>
        <w:t>),</w:t>
      </w:r>
      <w:r w:rsidRPr="00101413">
        <w:t xml:space="preserve"> we found </w:t>
      </w:r>
      <w:r>
        <w:t>that for most analyses they more than tripled in size (or grew over 200 percent) from 2014-15 to 2023-24</w:t>
      </w:r>
      <w:r w:rsidRPr="00101413">
        <w:t xml:space="preserve">. In </w:t>
      </w:r>
      <w:r>
        <w:t>fact,</w:t>
      </w:r>
      <w:r w:rsidRPr="00101413">
        <w:t xml:space="preserve"> the total teacher </w:t>
      </w:r>
      <w:r>
        <w:t xml:space="preserve">staff count </w:t>
      </w:r>
      <w:r w:rsidRPr="00101413">
        <w:t>projections ha</w:t>
      </w:r>
      <w:r>
        <w:t>d</w:t>
      </w:r>
      <w:r w:rsidRPr="00101413">
        <w:t xml:space="preserve"> the largest </w:t>
      </w:r>
      <w:r>
        <w:t>growth of 228 percent over this time period. These results suggest that we should be less confident in the projections the farther out we get in projected years. This is somewhat to be expected, and reflects a more general limitation of projections. Given this we would suggest that the earlier years of projections be given more weight in any discussions of policy implications.</w:t>
      </w:r>
    </w:p>
    <w:p w:rsidR="00C157EC" w:rsidRPr="005541CB" w:rsidRDefault="00C157EC" w:rsidP="005541CB">
      <w:pPr>
        <w:pStyle w:val="BodyText"/>
      </w:pPr>
      <w:r>
        <w:t>Moreover, to consider the relative size of these confidence intervals we calculated the percentage above or below the average point estimate of the confidence interval bounds. While the relative sizes of the intervals were generally modest for most projections in the final projected year, the new entrant projections grew to 16 percent above or below the point estimate. This suggests that the true value may be 16 percent above or below the reported projection, and may be reason to interpret the results of this analysis with caution.</w:t>
      </w:r>
    </w:p>
    <w:p w:rsidR="00C157EC" w:rsidRPr="005541CB" w:rsidRDefault="00CA243F" w:rsidP="005541CB">
      <w:pPr>
        <w:pStyle w:val="ExhibitTitle"/>
        <w:pageBreakBefore/>
      </w:pPr>
      <w:r>
        <w:t>Table</w:t>
      </w:r>
      <w:r w:rsidR="00C157EC" w:rsidRPr="00DB105D">
        <w:t xml:space="preserve"> </w:t>
      </w:r>
      <w:r w:rsidR="00C157EC">
        <w:t>C</w:t>
      </w:r>
      <w:r>
        <w:t>2</w:t>
      </w:r>
      <w:r w:rsidR="00C157EC" w:rsidRPr="00DB105D">
        <w:t>. 95% Confidence Intervals for Projected</w:t>
      </w:r>
      <w:r w:rsidR="00C157EC">
        <w:t xml:space="preserve"> Supply</w:t>
      </w:r>
      <w:r w:rsidR="00C157EC" w:rsidRPr="00DB105D">
        <w:t xml:space="preserve"> </w:t>
      </w:r>
      <w:r w:rsidR="007820C5">
        <w:t xml:space="preserve">of Teachers </w:t>
      </w:r>
      <w:r w:rsidR="00D41F40">
        <w:t xml:space="preserve">by </w:t>
      </w:r>
      <w:r w:rsidR="00C157EC">
        <w:t>Component</w:t>
      </w:r>
      <w:r w:rsidR="00D41F40">
        <w:t>, 2014–15 and 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211"/>
        <w:gridCol w:w="1108"/>
        <w:gridCol w:w="1727"/>
        <w:gridCol w:w="1688"/>
        <w:gridCol w:w="1569"/>
        <w:gridCol w:w="1287"/>
      </w:tblGrid>
      <w:tr w:rsidR="005541CB" w:rsidRPr="00F06CF2" w:rsidTr="00085539">
        <w:trPr>
          <w:cnfStyle w:val="100000000000"/>
        </w:trPr>
        <w:tc>
          <w:tcPr>
            <w:tcW w:w="2155" w:type="dxa"/>
            <w:tcBorders>
              <w:bottom w:val="single" w:sz="4" w:space="0" w:color="auto"/>
            </w:tcBorders>
          </w:tcPr>
          <w:p w:rsidR="00C157EC" w:rsidRPr="00807FB9" w:rsidRDefault="00C157EC" w:rsidP="003C50C4">
            <w:pPr>
              <w:pStyle w:val="TableText"/>
              <w:jc w:val="center"/>
            </w:pPr>
            <w:r>
              <w:t>Supply Projections/Year</w:t>
            </w:r>
          </w:p>
        </w:tc>
        <w:tc>
          <w:tcPr>
            <w:tcW w:w="1080" w:type="dxa"/>
            <w:tcBorders>
              <w:bottom w:val="single" w:sz="4" w:space="0" w:color="auto"/>
            </w:tcBorders>
            <w:hideMark/>
          </w:tcPr>
          <w:p w:rsidR="00C157EC" w:rsidRPr="00807FB9" w:rsidRDefault="00C157EC" w:rsidP="005541CB">
            <w:pPr>
              <w:pStyle w:val="TableTextCentered"/>
            </w:pPr>
            <w:r>
              <w:t>Average Point Estimate</w:t>
            </w:r>
          </w:p>
        </w:tc>
        <w:tc>
          <w:tcPr>
            <w:tcW w:w="1684" w:type="dxa"/>
            <w:tcBorders>
              <w:bottom w:val="single" w:sz="4" w:space="0" w:color="auto"/>
            </w:tcBorders>
            <w:hideMark/>
          </w:tcPr>
          <w:p w:rsidR="00C157EC" w:rsidRPr="00807FB9" w:rsidRDefault="006D2330" w:rsidP="005541CB">
            <w:pPr>
              <w:pStyle w:val="TableTextCentered"/>
            </w:pPr>
            <w:r>
              <w:t>95% Confidence Interval</w:t>
            </w:r>
            <w:r w:rsidRPr="00235005">
              <w:t>–</w:t>
            </w:r>
            <w:r w:rsidR="00C157EC" w:rsidRPr="008A3727">
              <w:t>Lower Bound</w:t>
            </w:r>
          </w:p>
        </w:tc>
        <w:tc>
          <w:tcPr>
            <w:tcW w:w="1646" w:type="dxa"/>
            <w:tcBorders>
              <w:bottom w:val="single" w:sz="4" w:space="0" w:color="auto"/>
            </w:tcBorders>
            <w:hideMark/>
          </w:tcPr>
          <w:p w:rsidR="00C157EC" w:rsidRPr="00807FB9" w:rsidRDefault="00C157EC" w:rsidP="005541CB">
            <w:pPr>
              <w:pStyle w:val="TableTextCentered"/>
            </w:pPr>
            <w:r w:rsidRPr="008A3727">
              <w:t>95% Confidence Interval</w:t>
            </w:r>
            <w:r w:rsidR="006D2330" w:rsidRPr="00235005">
              <w:t>–</w:t>
            </w:r>
            <w:r w:rsidRPr="008A3727">
              <w:t>Upper Bound</w:t>
            </w:r>
          </w:p>
        </w:tc>
        <w:tc>
          <w:tcPr>
            <w:tcW w:w="1530" w:type="dxa"/>
            <w:tcBorders>
              <w:bottom w:val="single" w:sz="4" w:space="0" w:color="auto"/>
            </w:tcBorders>
            <w:hideMark/>
          </w:tcPr>
          <w:p w:rsidR="00C157EC" w:rsidRPr="00807FB9" w:rsidRDefault="00C157EC" w:rsidP="005541CB">
            <w:pPr>
              <w:pStyle w:val="TableTextCentered"/>
            </w:pPr>
            <w:r w:rsidRPr="008A3727">
              <w:t>Percent Above/Below Estimate</w:t>
            </w:r>
          </w:p>
        </w:tc>
        <w:tc>
          <w:tcPr>
            <w:tcW w:w="1255" w:type="dxa"/>
            <w:tcBorders>
              <w:bottom w:val="single" w:sz="4" w:space="0" w:color="auto"/>
            </w:tcBorders>
            <w:hideMark/>
          </w:tcPr>
          <w:p w:rsidR="00C157EC" w:rsidRPr="00807FB9" w:rsidRDefault="00C157EC" w:rsidP="005541CB">
            <w:pPr>
              <w:pStyle w:val="TableTextCentered"/>
            </w:pPr>
            <w:r w:rsidRPr="008A3727">
              <w:t>Growth of Interval Over Time</w:t>
            </w:r>
          </w:p>
        </w:tc>
      </w:tr>
      <w:tr w:rsidR="00B70E1A" w:rsidRPr="00F06CF2" w:rsidTr="007820C5">
        <w:tc>
          <w:tcPr>
            <w:tcW w:w="2155" w:type="dxa"/>
            <w:tcBorders>
              <w:bottom w:val="single" w:sz="4" w:space="0" w:color="auto"/>
            </w:tcBorders>
            <w:shd w:val="clear" w:color="auto" w:fill="D9E3ED" w:themeFill="accent1" w:themeFillTint="33"/>
            <w:noWrap/>
            <w:hideMark/>
          </w:tcPr>
          <w:p w:rsidR="00C157EC" w:rsidRPr="00807FB9" w:rsidRDefault="00C157EC" w:rsidP="003C50C4">
            <w:pPr>
              <w:pStyle w:val="TableText"/>
              <w:jc w:val="center"/>
            </w:pPr>
            <w:r w:rsidRPr="00807FB9">
              <w:t>Total Teachers (Staff Counts)</w:t>
            </w:r>
          </w:p>
        </w:tc>
        <w:tc>
          <w:tcPr>
            <w:tcW w:w="1080"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684"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646"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530"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255"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r>
      <w:tr w:rsidR="005541CB" w:rsidRPr="00F06CF2" w:rsidTr="00085539">
        <w:tc>
          <w:tcPr>
            <w:tcW w:w="2155" w:type="dxa"/>
            <w:tcBorders>
              <w:bottom w:val="single" w:sz="4" w:space="0" w:color="auto"/>
            </w:tcBorders>
            <w:hideMark/>
          </w:tcPr>
          <w:p w:rsidR="005541CB" w:rsidRPr="00807FB9" w:rsidRDefault="005541CB" w:rsidP="003C50C4">
            <w:pPr>
              <w:pStyle w:val="TableText"/>
              <w:jc w:val="center"/>
            </w:pPr>
            <w:r w:rsidRPr="00807FB9">
              <w:t>20</w:t>
            </w:r>
            <w:r>
              <w:t>14-</w:t>
            </w:r>
            <w:r w:rsidRPr="00807FB9">
              <w:t>15</w:t>
            </w:r>
          </w:p>
        </w:tc>
        <w:tc>
          <w:tcPr>
            <w:tcW w:w="1080" w:type="dxa"/>
            <w:tcBorders>
              <w:bottom w:val="single" w:sz="4" w:space="0" w:color="auto"/>
            </w:tcBorders>
            <w:noWrap/>
            <w:hideMark/>
          </w:tcPr>
          <w:p w:rsidR="005541CB" w:rsidRPr="00807FB9" w:rsidRDefault="005541CB" w:rsidP="005541CB">
            <w:pPr>
              <w:pStyle w:val="TableTextCentered"/>
            </w:pPr>
            <w:r w:rsidRPr="00807FB9">
              <w:t>223.6</w:t>
            </w:r>
          </w:p>
        </w:tc>
        <w:tc>
          <w:tcPr>
            <w:tcW w:w="1684" w:type="dxa"/>
            <w:tcBorders>
              <w:bottom w:val="single" w:sz="4" w:space="0" w:color="auto"/>
            </w:tcBorders>
            <w:noWrap/>
            <w:hideMark/>
          </w:tcPr>
          <w:p w:rsidR="005541CB" w:rsidRPr="00807FB9" w:rsidRDefault="005541CB" w:rsidP="005541CB">
            <w:pPr>
              <w:pStyle w:val="TableTextCentered"/>
            </w:pPr>
            <w:r w:rsidRPr="00807FB9">
              <w:t>220.0</w:t>
            </w:r>
          </w:p>
        </w:tc>
        <w:tc>
          <w:tcPr>
            <w:tcW w:w="1646" w:type="dxa"/>
            <w:tcBorders>
              <w:bottom w:val="single" w:sz="4" w:space="0" w:color="auto"/>
            </w:tcBorders>
            <w:noWrap/>
            <w:hideMark/>
          </w:tcPr>
          <w:p w:rsidR="005541CB" w:rsidRPr="00807FB9" w:rsidRDefault="005541CB" w:rsidP="005541CB">
            <w:pPr>
              <w:pStyle w:val="TableTextCentered"/>
            </w:pPr>
            <w:r w:rsidRPr="00807FB9">
              <w:t>227.1</w:t>
            </w:r>
          </w:p>
        </w:tc>
        <w:tc>
          <w:tcPr>
            <w:tcW w:w="1530" w:type="dxa"/>
            <w:tcBorders>
              <w:bottom w:val="single" w:sz="4" w:space="0" w:color="auto"/>
            </w:tcBorders>
            <w:noWrap/>
            <w:hideMark/>
          </w:tcPr>
          <w:p w:rsidR="005541CB" w:rsidRPr="00807FB9" w:rsidRDefault="005541CB" w:rsidP="005541CB">
            <w:pPr>
              <w:pStyle w:val="TableTextCentered"/>
            </w:pPr>
            <w:r>
              <w:t>+/- 2</w:t>
            </w:r>
            <w:r w:rsidRPr="00807FB9">
              <w:t>%</w:t>
            </w:r>
          </w:p>
        </w:tc>
        <w:tc>
          <w:tcPr>
            <w:tcW w:w="1255" w:type="dxa"/>
            <w:vMerge w:val="restart"/>
            <w:noWrap/>
            <w:hideMark/>
          </w:tcPr>
          <w:p w:rsidR="005541CB" w:rsidRPr="00807FB9" w:rsidRDefault="005541CB" w:rsidP="005541CB">
            <w:pPr>
              <w:pStyle w:val="TableTextCentered"/>
            </w:pPr>
            <w:r w:rsidRPr="00807FB9">
              <w:t>3.28</w:t>
            </w:r>
          </w:p>
        </w:tc>
      </w:tr>
      <w:tr w:rsidR="005541CB" w:rsidRPr="00F06CF2" w:rsidTr="00085539">
        <w:tc>
          <w:tcPr>
            <w:tcW w:w="2155" w:type="dxa"/>
            <w:tcBorders>
              <w:bottom w:val="single" w:sz="4" w:space="0" w:color="auto"/>
            </w:tcBorders>
            <w:hideMark/>
          </w:tcPr>
          <w:p w:rsidR="005541CB" w:rsidRPr="00807FB9" w:rsidRDefault="005541CB" w:rsidP="003C50C4">
            <w:pPr>
              <w:pStyle w:val="TableText"/>
              <w:jc w:val="center"/>
            </w:pPr>
            <w:r w:rsidRPr="00807FB9">
              <w:t>20</w:t>
            </w:r>
            <w:r>
              <w:t>23-</w:t>
            </w:r>
            <w:r w:rsidRPr="00807FB9">
              <w:t>24</w:t>
            </w:r>
          </w:p>
        </w:tc>
        <w:tc>
          <w:tcPr>
            <w:tcW w:w="1080" w:type="dxa"/>
            <w:tcBorders>
              <w:bottom w:val="single" w:sz="4" w:space="0" w:color="auto"/>
            </w:tcBorders>
            <w:noWrap/>
            <w:hideMark/>
          </w:tcPr>
          <w:p w:rsidR="005541CB" w:rsidRPr="00807FB9" w:rsidRDefault="005541CB" w:rsidP="005541CB">
            <w:pPr>
              <w:pStyle w:val="TableTextCentered"/>
            </w:pPr>
            <w:r w:rsidRPr="00807FB9">
              <w:t>231.4</w:t>
            </w:r>
          </w:p>
        </w:tc>
        <w:tc>
          <w:tcPr>
            <w:tcW w:w="1684" w:type="dxa"/>
            <w:tcBorders>
              <w:bottom w:val="single" w:sz="4" w:space="0" w:color="auto"/>
            </w:tcBorders>
            <w:noWrap/>
            <w:hideMark/>
          </w:tcPr>
          <w:p w:rsidR="005541CB" w:rsidRPr="00807FB9" w:rsidRDefault="005541CB" w:rsidP="005541CB">
            <w:pPr>
              <w:pStyle w:val="TableTextCentered"/>
            </w:pPr>
            <w:r w:rsidRPr="00807FB9">
              <w:t>219.6</w:t>
            </w:r>
          </w:p>
        </w:tc>
        <w:tc>
          <w:tcPr>
            <w:tcW w:w="1646" w:type="dxa"/>
            <w:tcBorders>
              <w:bottom w:val="single" w:sz="4" w:space="0" w:color="auto"/>
            </w:tcBorders>
            <w:noWrap/>
            <w:hideMark/>
          </w:tcPr>
          <w:p w:rsidR="005541CB" w:rsidRPr="00807FB9" w:rsidRDefault="005541CB" w:rsidP="005541CB">
            <w:pPr>
              <w:pStyle w:val="TableTextCentered"/>
            </w:pPr>
            <w:r w:rsidRPr="00807FB9">
              <w:t>243.1</w:t>
            </w:r>
          </w:p>
        </w:tc>
        <w:tc>
          <w:tcPr>
            <w:tcW w:w="1530" w:type="dxa"/>
            <w:tcBorders>
              <w:bottom w:val="single" w:sz="4" w:space="0" w:color="auto"/>
            </w:tcBorders>
            <w:noWrap/>
            <w:hideMark/>
          </w:tcPr>
          <w:p w:rsidR="005541CB" w:rsidRPr="00807FB9" w:rsidRDefault="005541CB" w:rsidP="005541CB">
            <w:pPr>
              <w:pStyle w:val="TableTextCentered"/>
            </w:pPr>
            <w:r>
              <w:t xml:space="preserve">+/- </w:t>
            </w:r>
            <w:r w:rsidRPr="00807FB9">
              <w:t>5%</w:t>
            </w:r>
          </w:p>
        </w:tc>
        <w:tc>
          <w:tcPr>
            <w:tcW w:w="1255" w:type="dxa"/>
            <w:vMerge/>
            <w:tcBorders>
              <w:bottom w:val="single" w:sz="4" w:space="0" w:color="auto"/>
            </w:tcBorders>
            <w:hideMark/>
          </w:tcPr>
          <w:p w:rsidR="005541CB" w:rsidRPr="00807FB9" w:rsidRDefault="005541CB" w:rsidP="005541CB">
            <w:pPr>
              <w:pStyle w:val="TableTextCentered"/>
            </w:pPr>
          </w:p>
        </w:tc>
      </w:tr>
      <w:tr w:rsidR="00B70E1A" w:rsidRPr="00F06CF2" w:rsidTr="007820C5">
        <w:tc>
          <w:tcPr>
            <w:tcW w:w="2155" w:type="dxa"/>
            <w:tcBorders>
              <w:bottom w:val="single" w:sz="4" w:space="0" w:color="auto"/>
            </w:tcBorders>
            <w:shd w:val="clear" w:color="auto" w:fill="D9E3ED" w:themeFill="accent1" w:themeFillTint="33"/>
            <w:noWrap/>
            <w:hideMark/>
          </w:tcPr>
          <w:p w:rsidR="00C157EC" w:rsidRPr="00807FB9" w:rsidRDefault="00C157EC" w:rsidP="003C50C4">
            <w:pPr>
              <w:pStyle w:val="TableText"/>
              <w:jc w:val="center"/>
            </w:pPr>
            <w:r w:rsidRPr="00807FB9">
              <w:t>Total Teachers (FTEs)</w:t>
            </w:r>
          </w:p>
        </w:tc>
        <w:tc>
          <w:tcPr>
            <w:tcW w:w="1080"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684"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646"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530"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255"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r>
      <w:tr w:rsidR="005541CB" w:rsidRPr="00F06CF2" w:rsidTr="00085539">
        <w:tc>
          <w:tcPr>
            <w:tcW w:w="2155" w:type="dxa"/>
            <w:tcBorders>
              <w:bottom w:val="single" w:sz="4" w:space="0" w:color="auto"/>
            </w:tcBorders>
            <w:hideMark/>
          </w:tcPr>
          <w:p w:rsidR="005541CB" w:rsidRPr="00807FB9" w:rsidRDefault="005541CB" w:rsidP="003C50C4">
            <w:pPr>
              <w:pStyle w:val="TableText"/>
              <w:jc w:val="center"/>
            </w:pPr>
            <w:r w:rsidRPr="00807FB9">
              <w:t>20</w:t>
            </w:r>
            <w:r>
              <w:t>14-</w:t>
            </w:r>
            <w:r w:rsidRPr="00807FB9">
              <w:t>15</w:t>
            </w:r>
          </w:p>
        </w:tc>
        <w:tc>
          <w:tcPr>
            <w:tcW w:w="1080" w:type="dxa"/>
            <w:tcBorders>
              <w:bottom w:val="single" w:sz="4" w:space="0" w:color="auto"/>
            </w:tcBorders>
            <w:noWrap/>
            <w:hideMark/>
          </w:tcPr>
          <w:p w:rsidR="005541CB" w:rsidRPr="00807FB9" w:rsidRDefault="005541CB" w:rsidP="005541CB">
            <w:pPr>
              <w:pStyle w:val="TableTextCentered"/>
            </w:pPr>
            <w:r w:rsidRPr="00807FB9">
              <w:t>205.3</w:t>
            </w:r>
          </w:p>
        </w:tc>
        <w:tc>
          <w:tcPr>
            <w:tcW w:w="1684" w:type="dxa"/>
            <w:tcBorders>
              <w:bottom w:val="single" w:sz="4" w:space="0" w:color="auto"/>
            </w:tcBorders>
            <w:noWrap/>
            <w:hideMark/>
          </w:tcPr>
          <w:p w:rsidR="005541CB" w:rsidRPr="00807FB9" w:rsidRDefault="005541CB" w:rsidP="005541CB">
            <w:pPr>
              <w:pStyle w:val="TableTextCentered"/>
            </w:pPr>
            <w:r w:rsidRPr="00807FB9">
              <w:t>201.8</w:t>
            </w:r>
          </w:p>
        </w:tc>
        <w:tc>
          <w:tcPr>
            <w:tcW w:w="1646" w:type="dxa"/>
            <w:tcBorders>
              <w:bottom w:val="single" w:sz="4" w:space="0" w:color="auto"/>
            </w:tcBorders>
            <w:noWrap/>
            <w:hideMark/>
          </w:tcPr>
          <w:p w:rsidR="005541CB" w:rsidRPr="00807FB9" w:rsidRDefault="005541CB" w:rsidP="005541CB">
            <w:pPr>
              <w:pStyle w:val="TableTextCentered"/>
            </w:pPr>
            <w:r w:rsidRPr="00807FB9">
              <w:t>208.7</w:t>
            </w:r>
          </w:p>
        </w:tc>
        <w:tc>
          <w:tcPr>
            <w:tcW w:w="1530" w:type="dxa"/>
            <w:tcBorders>
              <w:bottom w:val="single" w:sz="4" w:space="0" w:color="auto"/>
            </w:tcBorders>
            <w:noWrap/>
            <w:hideMark/>
          </w:tcPr>
          <w:p w:rsidR="005541CB" w:rsidRPr="00807FB9" w:rsidRDefault="005541CB" w:rsidP="005541CB">
            <w:pPr>
              <w:pStyle w:val="TableTextCentered"/>
            </w:pPr>
            <w:r>
              <w:t>+/- 2</w:t>
            </w:r>
            <w:r w:rsidRPr="00807FB9">
              <w:t>%</w:t>
            </w:r>
          </w:p>
        </w:tc>
        <w:tc>
          <w:tcPr>
            <w:tcW w:w="1255" w:type="dxa"/>
            <w:vMerge w:val="restart"/>
            <w:noWrap/>
            <w:hideMark/>
          </w:tcPr>
          <w:p w:rsidR="005541CB" w:rsidRPr="00807FB9" w:rsidRDefault="005541CB" w:rsidP="005541CB">
            <w:pPr>
              <w:pStyle w:val="TableTextCentered"/>
            </w:pPr>
            <w:r w:rsidRPr="00807FB9">
              <w:t>3.05</w:t>
            </w:r>
          </w:p>
        </w:tc>
      </w:tr>
      <w:tr w:rsidR="005541CB" w:rsidRPr="00F06CF2" w:rsidTr="00085539">
        <w:tc>
          <w:tcPr>
            <w:tcW w:w="2155" w:type="dxa"/>
            <w:tcBorders>
              <w:bottom w:val="single" w:sz="4" w:space="0" w:color="auto"/>
            </w:tcBorders>
            <w:hideMark/>
          </w:tcPr>
          <w:p w:rsidR="005541CB" w:rsidRPr="00807FB9" w:rsidRDefault="005541CB" w:rsidP="003C50C4">
            <w:pPr>
              <w:pStyle w:val="TableText"/>
              <w:jc w:val="center"/>
            </w:pPr>
            <w:r w:rsidRPr="00807FB9">
              <w:t>20</w:t>
            </w:r>
            <w:r>
              <w:t>23-</w:t>
            </w:r>
            <w:r w:rsidRPr="00807FB9">
              <w:t>24</w:t>
            </w:r>
          </w:p>
        </w:tc>
        <w:tc>
          <w:tcPr>
            <w:tcW w:w="1080" w:type="dxa"/>
            <w:tcBorders>
              <w:bottom w:val="single" w:sz="4" w:space="0" w:color="auto"/>
            </w:tcBorders>
            <w:noWrap/>
            <w:hideMark/>
          </w:tcPr>
          <w:p w:rsidR="005541CB" w:rsidRPr="00807FB9" w:rsidRDefault="005541CB" w:rsidP="005541CB">
            <w:pPr>
              <w:pStyle w:val="TableTextCentered"/>
            </w:pPr>
            <w:r w:rsidRPr="00807FB9">
              <w:t>203.9</w:t>
            </w:r>
          </w:p>
        </w:tc>
        <w:tc>
          <w:tcPr>
            <w:tcW w:w="1684" w:type="dxa"/>
            <w:tcBorders>
              <w:bottom w:val="single" w:sz="4" w:space="0" w:color="auto"/>
            </w:tcBorders>
            <w:noWrap/>
            <w:hideMark/>
          </w:tcPr>
          <w:p w:rsidR="005541CB" w:rsidRPr="00807FB9" w:rsidRDefault="005541CB" w:rsidP="005541CB">
            <w:pPr>
              <w:pStyle w:val="TableTextCentered"/>
            </w:pPr>
            <w:r w:rsidRPr="00807FB9">
              <w:t>193.4</w:t>
            </w:r>
          </w:p>
        </w:tc>
        <w:tc>
          <w:tcPr>
            <w:tcW w:w="1646" w:type="dxa"/>
            <w:tcBorders>
              <w:bottom w:val="single" w:sz="4" w:space="0" w:color="auto"/>
            </w:tcBorders>
            <w:noWrap/>
            <w:hideMark/>
          </w:tcPr>
          <w:p w:rsidR="005541CB" w:rsidRPr="00807FB9" w:rsidRDefault="005541CB" w:rsidP="005541CB">
            <w:pPr>
              <w:pStyle w:val="TableTextCentered"/>
            </w:pPr>
            <w:r w:rsidRPr="00807FB9">
              <w:t>214.4</w:t>
            </w:r>
          </w:p>
        </w:tc>
        <w:tc>
          <w:tcPr>
            <w:tcW w:w="1530" w:type="dxa"/>
            <w:tcBorders>
              <w:bottom w:val="single" w:sz="4" w:space="0" w:color="auto"/>
            </w:tcBorders>
            <w:noWrap/>
            <w:hideMark/>
          </w:tcPr>
          <w:p w:rsidR="005541CB" w:rsidRPr="00807FB9" w:rsidRDefault="005541CB" w:rsidP="005541CB">
            <w:pPr>
              <w:pStyle w:val="TableTextCentered"/>
            </w:pPr>
            <w:r>
              <w:t xml:space="preserve">+/- </w:t>
            </w:r>
            <w:r w:rsidRPr="00807FB9">
              <w:t>5%</w:t>
            </w:r>
          </w:p>
        </w:tc>
        <w:tc>
          <w:tcPr>
            <w:tcW w:w="1255" w:type="dxa"/>
            <w:vMerge/>
            <w:tcBorders>
              <w:bottom w:val="single" w:sz="4" w:space="0" w:color="auto"/>
            </w:tcBorders>
            <w:hideMark/>
          </w:tcPr>
          <w:p w:rsidR="005541CB" w:rsidRPr="00807FB9" w:rsidRDefault="005541CB" w:rsidP="005541CB">
            <w:pPr>
              <w:pStyle w:val="TableTextCentered"/>
            </w:pPr>
          </w:p>
        </w:tc>
      </w:tr>
      <w:tr w:rsidR="00B70E1A" w:rsidRPr="00F06CF2" w:rsidTr="007820C5">
        <w:tc>
          <w:tcPr>
            <w:tcW w:w="2155" w:type="dxa"/>
            <w:tcBorders>
              <w:bottom w:val="single" w:sz="4" w:space="0" w:color="auto"/>
            </w:tcBorders>
            <w:shd w:val="clear" w:color="auto" w:fill="D9E3ED" w:themeFill="accent1" w:themeFillTint="33"/>
            <w:noWrap/>
            <w:hideMark/>
          </w:tcPr>
          <w:p w:rsidR="00C157EC" w:rsidRPr="00807FB9" w:rsidRDefault="00C157EC" w:rsidP="003C50C4">
            <w:pPr>
              <w:pStyle w:val="TableText"/>
              <w:jc w:val="center"/>
            </w:pPr>
            <w:r w:rsidRPr="00807FB9">
              <w:t>Retained Teachers (Staff Counts)</w:t>
            </w:r>
          </w:p>
        </w:tc>
        <w:tc>
          <w:tcPr>
            <w:tcW w:w="1080"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684"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646"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530"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255"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r>
      <w:tr w:rsidR="005541CB" w:rsidRPr="00F06CF2" w:rsidTr="00085539">
        <w:tc>
          <w:tcPr>
            <w:tcW w:w="2155" w:type="dxa"/>
            <w:tcBorders>
              <w:bottom w:val="single" w:sz="4" w:space="0" w:color="auto"/>
            </w:tcBorders>
            <w:hideMark/>
          </w:tcPr>
          <w:p w:rsidR="005541CB" w:rsidRPr="00807FB9" w:rsidRDefault="005541CB" w:rsidP="003C50C4">
            <w:pPr>
              <w:pStyle w:val="TableText"/>
              <w:jc w:val="center"/>
            </w:pPr>
            <w:r w:rsidRPr="00807FB9">
              <w:t>20</w:t>
            </w:r>
            <w:r>
              <w:t>14-</w:t>
            </w:r>
            <w:r w:rsidRPr="00807FB9">
              <w:t>15</w:t>
            </w:r>
          </w:p>
        </w:tc>
        <w:tc>
          <w:tcPr>
            <w:tcW w:w="1080" w:type="dxa"/>
            <w:tcBorders>
              <w:bottom w:val="single" w:sz="4" w:space="0" w:color="auto"/>
            </w:tcBorders>
            <w:noWrap/>
            <w:hideMark/>
          </w:tcPr>
          <w:p w:rsidR="005541CB" w:rsidRPr="00807FB9" w:rsidRDefault="005541CB" w:rsidP="005541CB">
            <w:pPr>
              <w:pStyle w:val="TableTextCentered"/>
            </w:pPr>
            <w:r w:rsidRPr="00807FB9">
              <w:t>189.3</w:t>
            </w:r>
          </w:p>
        </w:tc>
        <w:tc>
          <w:tcPr>
            <w:tcW w:w="1684" w:type="dxa"/>
            <w:tcBorders>
              <w:bottom w:val="single" w:sz="4" w:space="0" w:color="auto"/>
            </w:tcBorders>
            <w:noWrap/>
            <w:hideMark/>
          </w:tcPr>
          <w:p w:rsidR="005541CB" w:rsidRPr="00807FB9" w:rsidRDefault="005541CB" w:rsidP="005541CB">
            <w:pPr>
              <w:pStyle w:val="TableTextCentered"/>
            </w:pPr>
            <w:r w:rsidRPr="00807FB9">
              <w:t>186.8</w:t>
            </w:r>
          </w:p>
        </w:tc>
        <w:tc>
          <w:tcPr>
            <w:tcW w:w="1646" w:type="dxa"/>
            <w:tcBorders>
              <w:bottom w:val="single" w:sz="4" w:space="0" w:color="auto"/>
            </w:tcBorders>
            <w:noWrap/>
            <w:hideMark/>
          </w:tcPr>
          <w:p w:rsidR="005541CB" w:rsidRPr="00807FB9" w:rsidRDefault="005541CB" w:rsidP="005541CB">
            <w:pPr>
              <w:pStyle w:val="TableTextCentered"/>
            </w:pPr>
            <w:r w:rsidRPr="00807FB9">
              <w:t>191.8</w:t>
            </w:r>
          </w:p>
        </w:tc>
        <w:tc>
          <w:tcPr>
            <w:tcW w:w="1530" w:type="dxa"/>
            <w:tcBorders>
              <w:bottom w:val="single" w:sz="4" w:space="0" w:color="auto"/>
            </w:tcBorders>
            <w:noWrap/>
            <w:hideMark/>
          </w:tcPr>
          <w:p w:rsidR="005541CB" w:rsidRPr="00807FB9" w:rsidRDefault="005541CB" w:rsidP="005541CB">
            <w:pPr>
              <w:pStyle w:val="TableTextCentered"/>
            </w:pPr>
            <w:r>
              <w:t xml:space="preserve">+/- </w:t>
            </w:r>
            <w:r w:rsidRPr="00807FB9">
              <w:t>1%</w:t>
            </w:r>
          </w:p>
        </w:tc>
        <w:tc>
          <w:tcPr>
            <w:tcW w:w="1255" w:type="dxa"/>
            <w:vMerge w:val="restart"/>
            <w:noWrap/>
            <w:hideMark/>
          </w:tcPr>
          <w:p w:rsidR="005541CB" w:rsidRPr="00807FB9" w:rsidRDefault="005541CB" w:rsidP="005541CB">
            <w:pPr>
              <w:pStyle w:val="TableTextCentered"/>
            </w:pPr>
            <w:r w:rsidRPr="00807FB9">
              <w:t>3.53</w:t>
            </w:r>
          </w:p>
        </w:tc>
      </w:tr>
      <w:tr w:rsidR="005541CB" w:rsidRPr="00F06CF2" w:rsidTr="00085539">
        <w:tc>
          <w:tcPr>
            <w:tcW w:w="2155" w:type="dxa"/>
            <w:tcBorders>
              <w:bottom w:val="single" w:sz="4" w:space="0" w:color="auto"/>
            </w:tcBorders>
            <w:hideMark/>
          </w:tcPr>
          <w:p w:rsidR="005541CB" w:rsidRPr="00807FB9" w:rsidRDefault="005541CB" w:rsidP="003C50C4">
            <w:pPr>
              <w:pStyle w:val="TableText"/>
              <w:jc w:val="center"/>
            </w:pPr>
            <w:r w:rsidRPr="00807FB9">
              <w:t>20</w:t>
            </w:r>
            <w:r>
              <w:t>23-</w:t>
            </w:r>
            <w:r w:rsidRPr="00807FB9">
              <w:t>24</w:t>
            </w:r>
          </w:p>
        </w:tc>
        <w:tc>
          <w:tcPr>
            <w:tcW w:w="1080" w:type="dxa"/>
            <w:tcBorders>
              <w:bottom w:val="single" w:sz="4" w:space="0" w:color="auto"/>
            </w:tcBorders>
            <w:noWrap/>
            <w:hideMark/>
          </w:tcPr>
          <w:p w:rsidR="005541CB" w:rsidRPr="00807FB9" w:rsidRDefault="005541CB" w:rsidP="005541CB">
            <w:pPr>
              <w:pStyle w:val="TableTextCentered"/>
            </w:pPr>
            <w:r w:rsidRPr="00807FB9">
              <w:t>192.8</w:t>
            </w:r>
          </w:p>
        </w:tc>
        <w:tc>
          <w:tcPr>
            <w:tcW w:w="1684" w:type="dxa"/>
            <w:tcBorders>
              <w:bottom w:val="single" w:sz="4" w:space="0" w:color="auto"/>
            </w:tcBorders>
            <w:noWrap/>
            <w:hideMark/>
          </w:tcPr>
          <w:p w:rsidR="005541CB" w:rsidRPr="00807FB9" w:rsidRDefault="005541CB" w:rsidP="005541CB">
            <w:pPr>
              <w:pStyle w:val="TableTextCentered"/>
            </w:pPr>
            <w:r w:rsidRPr="00807FB9">
              <w:t>183.8</w:t>
            </w:r>
          </w:p>
        </w:tc>
        <w:tc>
          <w:tcPr>
            <w:tcW w:w="1646" w:type="dxa"/>
            <w:tcBorders>
              <w:bottom w:val="single" w:sz="4" w:space="0" w:color="auto"/>
            </w:tcBorders>
            <w:noWrap/>
            <w:hideMark/>
          </w:tcPr>
          <w:p w:rsidR="005541CB" w:rsidRPr="00807FB9" w:rsidRDefault="005541CB" w:rsidP="005541CB">
            <w:pPr>
              <w:pStyle w:val="TableTextCentered"/>
            </w:pPr>
            <w:r w:rsidRPr="00807FB9">
              <w:t>201.7</w:t>
            </w:r>
          </w:p>
        </w:tc>
        <w:tc>
          <w:tcPr>
            <w:tcW w:w="1530" w:type="dxa"/>
            <w:tcBorders>
              <w:bottom w:val="single" w:sz="4" w:space="0" w:color="auto"/>
            </w:tcBorders>
            <w:noWrap/>
            <w:hideMark/>
          </w:tcPr>
          <w:p w:rsidR="005541CB" w:rsidRPr="00807FB9" w:rsidRDefault="005541CB" w:rsidP="005541CB">
            <w:pPr>
              <w:pStyle w:val="TableTextCentered"/>
            </w:pPr>
            <w:r>
              <w:t>+/- 5</w:t>
            </w:r>
            <w:r w:rsidRPr="00807FB9">
              <w:t>%</w:t>
            </w:r>
          </w:p>
        </w:tc>
        <w:tc>
          <w:tcPr>
            <w:tcW w:w="1255" w:type="dxa"/>
            <w:vMerge/>
            <w:tcBorders>
              <w:bottom w:val="single" w:sz="4" w:space="0" w:color="auto"/>
            </w:tcBorders>
            <w:hideMark/>
          </w:tcPr>
          <w:p w:rsidR="005541CB" w:rsidRPr="00807FB9" w:rsidRDefault="005541CB" w:rsidP="005541CB">
            <w:pPr>
              <w:pStyle w:val="TableTextCentered"/>
            </w:pPr>
          </w:p>
        </w:tc>
      </w:tr>
      <w:tr w:rsidR="00B70E1A" w:rsidRPr="00F06CF2" w:rsidTr="007820C5">
        <w:tc>
          <w:tcPr>
            <w:tcW w:w="2155" w:type="dxa"/>
            <w:tcBorders>
              <w:bottom w:val="single" w:sz="4" w:space="0" w:color="auto"/>
            </w:tcBorders>
            <w:shd w:val="clear" w:color="auto" w:fill="D9E3ED" w:themeFill="accent1" w:themeFillTint="33"/>
            <w:noWrap/>
            <w:hideMark/>
          </w:tcPr>
          <w:p w:rsidR="00C157EC" w:rsidRPr="00807FB9" w:rsidRDefault="00C157EC" w:rsidP="003C50C4">
            <w:pPr>
              <w:pStyle w:val="TableText"/>
              <w:jc w:val="center"/>
            </w:pPr>
            <w:r w:rsidRPr="00807FB9">
              <w:t>New Entrants (Staff Counts)</w:t>
            </w:r>
          </w:p>
        </w:tc>
        <w:tc>
          <w:tcPr>
            <w:tcW w:w="1080"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684"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646"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530"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c>
          <w:tcPr>
            <w:tcW w:w="1255" w:type="dxa"/>
            <w:tcBorders>
              <w:bottom w:val="single" w:sz="4" w:space="0" w:color="auto"/>
            </w:tcBorders>
            <w:shd w:val="clear" w:color="auto" w:fill="D9E3ED" w:themeFill="accent1" w:themeFillTint="33"/>
            <w:noWrap/>
            <w:hideMark/>
          </w:tcPr>
          <w:p w:rsidR="00C157EC" w:rsidRPr="00807FB9" w:rsidRDefault="00C157EC" w:rsidP="005541CB">
            <w:pPr>
              <w:pStyle w:val="TableTextCentered"/>
            </w:pPr>
          </w:p>
        </w:tc>
      </w:tr>
      <w:tr w:rsidR="005541CB" w:rsidRPr="00F06CF2" w:rsidTr="00085539">
        <w:tc>
          <w:tcPr>
            <w:tcW w:w="2155" w:type="dxa"/>
            <w:tcBorders>
              <w:bottom w:val="single" w:sz="4" w:space="0" w:color="auto"/>
            </w:tcBorders>
            <w:hideMark/>
          </w:tcPr>
          <w:p w:rsidR="005541CB" w:rsidRPr="00807FB9" w:rsidRDefault="005541CB" w:rsidP="003C50C4">
            <w:pPr>
              <w:pStyle w:val="TableText"/>
              <w:jc w:val="center"/>
            </w:pPr>
            <w:r w:rsidRPr="00807FB9">
              <w:t>20</w:t>
            </w:r>
            <w:r>
              <w:t>14-</w:t>
            </w:r>
            <w:r w:rsidRPr="00807FB9">
              <w:t>15</w:t>
            </w:r>
          </w:p>
        </w:tc>
        <w:tc>
          <w:tcPr>
            <w:tcW w:w="1080" w:type="dxa"/>
            <w:tcBorders>
              <w:bottom w:val="single" w:sz="4" w:space="0" w:color="auto"/>
            </w:tcBorders>
            <w:noWrap/>
            <w:hideMark/>
          </w:tcPr>
          <w:p w:rsidR="005541CB" w:rsidRPr="00807FB9" w:rsidRDefault="005541CB" w:rsidP="005541CB">
            <w:pPr>
              <w:pStyle w:val="TableTextCentered"/>
            </w:pPr>
            <w:r w:rsidRPr="00807FB9">
              <w:t>8.2</w:t>
            </w:r>
          </w:p>
        </w:tc>
        <w:tc>
          <w:tcPr>
            <w:tcW w:w="1684" w:type="dxa"/>
            <w:tcBorders>
              <w:bottom w:val="single" w:sz="4" w:space="0" w:color="auto"/>
            </w:tcBorders>
            <w:noWrap/>
            <w:hideMark/>
          </w:tcPr>
          <w:p w:rsidR="005541CB" w:rsidRPr="00807FB9" w:rsidRDefault="005541CB" w:rsidP="005541CB">
            <w:pPr>
              <w:pStyle w:val="TableTextCentered"/>
            </w:pPr>
            <w:r w:rsidRPr="00807FB9">
              <w:t>7.8</w:t>
            </w:r>
          </w:p>
        </w:tc>
        <w:tc>
          <w:tcPr>
            <w:tcW w:w="1646" w:type="dxa"/>
            <w:tcBorders>
              <w:bottom w:val="single" w:sz="4" w:space="0" w:color="auto"/>
            </w:tcBorders>
            <w:noWrap/>
            <w:hideMark/>
          </w:tcPr>
          <w:p w:rsidR="005541CB" w:rsidRPr="00807FB9" w:rsidRDefault="005541CB" w:rsidP="005541CB">
            <w:pPr>
              <w:pStyle w:val="TableTextCentered"/>
            </w:pPr>
            <w:r w:rsidRPr="00807FB9">
              <w:t>8.5</w:t>
            </w:r>
          </w:p>
        </w:tc>
        <w:tc>
          <w:tcPr>
            <w:tcW w:w="1530" w:type="dxa"/>
            <w:tcBorders>
              <w:bottom w:val="single" w:sz="4" w:space="0" w:color="auto"/>
            </w:tcBorders>
            <w:noWrap/>
            <w:hideMark/>
          </w:tcPr>
          <w:p w:rsidR="005541CB" w:rsidRPr="00807FB9" w:rsidRDefault="005541CB" w:rsidP="005541CB">
            <w:pPr>
              <w:pStyle w:val="TableTextCentered"/>
            </w:pPr>
            <w:r>
              <w:t xml:space="preserve">+/- </w:t>
            </w:r>
            <w:r w:rsidRPr="00807FB9">
              <w:t>4%</w:t>
            </w:r>
          </w:p>
        </w:tc>
        <w:tc>
          <w:tcPr>
            <w:tcW w:w="1255" w:type="dxa"/>
            <w:vMerge w:val="restart"/>
            <w:noWrap/>
            <w:hideMark/>
          </w:tcPr>
          <w:p w:rsidR="005541CB" w:rsidRPr="00807FB9" w:rsidRDefault="005541CB" w:rsidP="005541CB">
            <w:pPr>
              <w:pStyle w:val="TableTextCentered"/>
            </w:pPr>
            <w:r w:rsidRPr="00807FB9">
              <w:t>2.05</w:t>
            </w:r>
          </w:p>
        </w:tc>
      </w:tr>
      <w:tr w:rsidR="005541CB" w:rsidRPr="00F06CF2" w:rsidTr="00085539">
        <w:tc>
          <w:tcPr>
            <w:tcW w:w="2155" w:type="dxa"/>
            <w:hideMark/>
          </w:tcPr>
          <w:p w:rsidR="005541CB" w:rsidRPr="00807FB9" w:rsidRDefault="005541CB" w:rsidP="003C50C4">
            <w:pPr>
              <w:pStyle w:val="TableText"/>
              <w:jc w:val="center"/>
            </w:pPr>
            <w:r w:rsidRPr="00807FB9">
              <w:t>20</w:t>
            </w:r>
            <w:r>
              <w:t>23-</w:t>
            </w:r>
            <w:r w:rsidRPr="00807FB9">
              <w:t>24</w:t>
            </w:r>
          </w:p>
        </w:tc>
        <w:tc>
          <w:tcPr>
            <w:tcW w:w="1080" w:type="dxa"/>
            <w:noWrap/>
            <w:hideMark/>
          </w:tcPr>
          <w:p w:rsidR="005541CB" w:rsidRPr="00807FB9" w:rsidRDefault="005541CB" w:rsidP="005541CB">
            <w:pPr>
              <w:pStyle w:val="TableTextCentered"/>
            </w:pPr>
            <w:r w:rsidRPr="00807FB9">
              <w:t>4.3</w:t>
            </w:r>
          </w:p>
        </w:tc>
        <w:tc>
          <w:tcPr>
            <w:tcW w:w="1684" w:type="dxa"/>
            <w:noWrap/>
            <w:hideMark/>
          </w:tcPr>
          <w:p w:rsidR="005541CB" w:rsidRPr="00807FB9" w:rsidRDefault="005541CB" w:rsidP="005541CB">
            <w:pPr>
              <w:pStyle w:val="TableTextCentered"/>
            </w:pPr>
            <w:r w:rsidRPr="00807FB9">
              <w:t>3.6</w:t>
            </w:r>
          </w:p>
        </w:tc>
        <w:tc>
          <w:tcPr>
            <w:tcW w:w="1646" w:type="dxa"/>
            <w:noWrap/>
            <w:hideMark/>
          </w:tcPr>
          <w:p w:rsidR="005541CB" w:rsidRPr="00807FB9" w:rsidRDefault="005541CB" w:rsidP="005541CB">
            <w:pPr>
              <w:pStyle w:val="TableTextCentered"/>
            </w:pPr>
            <w:r w:rsidRPr="00807FB9">
              <w:t>5.0</w:t>
            </w:r>
          </w:p>
        </w:tc>
        <w:tc>
          <w:tcPr>
            <w:tcW w:w="1530" w:type="dxa"/>
            <w:noWrap/>
            <w:hideMark/>
          </w:tcPr>
          <w:p w:rsidR="005541CB" w:rsidRPr="00807FB9" w:rsidRDefault="005541CB" w:rsidP="005541CB">
            <w:pPr>
              <w:pStyle w:val="TableTextCentered"/>
            </w:pPr>
            <w:r>
              <w:t>+/- 16</w:t>
            </w:r>
            <w:r w:rsidRPr="00807FB9">
              <w:t>%</w:t>
            </w:r>
          </w:p>
        </w:tc>
        <w:tc>
          <w:tcPr>
            <w:tcW w:w="1255" w:type="dxa"/>
            <w:vMerge/>
            <w:hideMark/>
          </w:tcPr>
          <w:p w:rsidR="005541CB" w:rsidRPr="00F06CF2" w:rsidRDefault="005541CB" w:rsidP="005541CB">
            <w:pPr>
              <w:pStyle w:val="TableTextCentered"/>
            </w:pPr>
          </w:p>
        </w:tc>
      </w:tr>
    </w:tbl>
    <w:p w:rsidR="00C157EC" w:rsidRPr="00EB58A1" w:rsidRDefault="00C157EC" w:rsidP="00A46F58">
      <w:pPr>
        <w:pStyle w:val="BodyText"/>
        <w:rPr>
          <w:rFonts w:cstheme="majorHAnsi"/>
          <w:szCs w:val="26"/>
        </w:rPr>
      </w:pPr>
      <w:r w:rsidRPr="00A46F58">
        <w:rPr>
          <w:rFonts w:asciiTheme="majorHAnsi" w:hAnsiTheme="majorHAnsi" w:cstheme="majorHAnsi"/>
          <w:b/>
          <w:i/>
          <w:sz w:val="26"/>
          <w:szCs w:val="26"/>
        </w:rPr>
        <w:t>Research Question 3</w:t>
      </w:r>
      <w:r w:rsidR="00CA243F" w:rsidRPr="00A46F58">
        <w:rPr>
          <w:rFonts w:asciiTheme="majorHAnsi" w:hAnsiTheme="majorHAnsi" w:cstheme="majorHAnsi"/>
          <w:b/>
          <w:i/>
          <w:sz w:val="26"/>
          <w:szCs w:val="26"/>
        </w:rPr>
        <w:t>—</w:t>
      </w:r>
      <w:r w:rsidRPr="00A46F58">
        <w:rPr>
          <w:rFonts w:asciiTheme="majorHAnsi" w:hAnsiTheme="majorHAnsi" w:cstheme="majorHAnsi"/>
          <w:b/>
          <w:i/>
          <w:sz w:val="26"/>
          <w:szCs w:val="26"/>
        </w:rPr>
        <w:t>Validity of Results</w:t>
      </w:r>
    </w:p>
    <w:p w:rsidR="00C157EC" w:rsidRPr="00EB58A1" w:rsidRDefault="00C157EC" w:rsidP="00A46F58">
      <w:pPr>
        <w:pStyle w:val="BodyText"/>
        <w:rPr>
          <w:rFonts w:cstheme="majorHAnsi"/>
        </w:rPr>
      </w:pPr>
      <w:r w:rsidRPr="00A46F58">
        <w:rPr>
          <w:rFonts w:asciiTheme="majorHAnsi" w:hAnsiTheme="majorHAnsi" w:cstheme="majorHAnsi"/>
          <w:b/>
        </w:rPr>
        <w:t>Demand Projections</w:t>
      </w:r>
    </w:p>
    <w:p w:rsidR="00C157EC" w:rsidRDefault="00C157EC" w:rsidP="005541CB">
      <w:pPr>
        <w:pStyle w:val="BodyText"/>
      </w:pPr>
      <w:r>
        <w:t>Similar to the findings for the aggregate supply projections, confidence intervals around the demand proportion projections by program area grew substantially from 2014-15 to 2023-24 (</w:t>
      </w:r>
      <w:r w:rsidR="00CA243F">
        <w:t>Table</w:t>
      </w:r>
      <w:r>
        <w:t xml:space="preserve"> C</w:t>
      </w:r>
      <w:r w:rsidR="00CA243F">
        <w:t>3</w:t>
      </w:r>
      <w:r>
        <w:t>).</w:t>
      </w:r>
      <w:r>
        <w:rPr>
          <w:rStyle w:val="FootnoteReference"/>
        </w:rPr>
        <w:footnoteReference w:id="50"/>
      </w:r>
      <w:r>
        <w:t xml:space="preserve"> The intervals around the ELL projections experienced the largest growth, more than quadrupling over the projected years. In contrast, the intervals around the </w:t>
      </w:r>
      <w:r w:rsidR="00553EAF">
        <w:t>SPED</w:t>
      </w:r>
      <w:r>
        <w:t xml:space="preserve"> projections grew least, though still by a substantial amount, more than tripling. Given the large growth in intervals over time, we would suggest that the earlier years of projections should be relied upon more heavily in any discussions of policy implications. </w:t>
      </w:r>
    </w:p>
    <w:p w:rsidR="00C157EC" w:rsidRDefault="00C157EC" w:rsidP="005541CB">
      <w:pPr>
        <w:pStyle w:val="BodyText"/>
      </w:pPr>
      <w:r>
        <w:t xml:space="preserve">Moreover, to consider the relative size of these confidence intervals we calculated the percentage above or below the average point estimate of the confidence interval bounds. In the first projected year all intervals are generally modest, with only ELL teachers rising above +/- 10 percent. However, by the final projected year the intervals are quite large for both CTE and ELL teachers, +/- 42 and 32 percent respectively. </w:t>
      </w:r>
      <w:r w:rsidR="00553EAF">
        <w:t>SPED</w:t>
      </w:r>
      <w:r>
        <w:t xml:space="preserve"> intervals are also a bit larger, growing to +/- 14 percent. This further supports the notion that over time we can be less confident in the projections, especially for CTE and ELL teachers.</w:t>
      </w:r>
    </w:p>
    <w:p w:rsidR="00C157EC" w:rsidRPr="0034719D" w:rsidRDefault="00CA243F" w:rsidP="0034719D">
      <w:pPr>
        <w:pStyle w:val="ExhibitTitle"/>
      </w:pPr>
      <w:r>
        <w:t>Table</w:t>
      </w:r>
      <w:r w:rsidR="00C157EC" w:rsidRPr="00DB105D">
        <w:t xml:space="preserve"> </w:t>
      </w:r>
      <w:r w:rsidR="00C157EC">
        <w:t>C</w:t>
      </w:r>
      <w:r>
        <w:t>3</w:t>
      </w:r>
      <w:r w:rsidR="00C157EC" w:rsidRPr="00DB105D">
        <w:t>. 95</w:t>
      </w:r>
      <w:r w:rsidR="008756AD">
        <w:t xml:space="preserve">% </w:t>
      </w:r>
      <w:r w:rsidR="00C157EC" w:rsidRPr="00DB105D">
        <w:t xml:space="preserve">Confidence Intervals </w:t>
      </w:r>
      <w:r w:rsidR="00C157EC">
        <w:t xml:space="preserve">for </w:t>
      </w:r>
      <w:r w:rsidR="00C157EC" w:rsidRPr="00DB105D">
        <w:t xml:space="preserve">Projected Proportions </w:t>
      </w:r>
      <w:r w:rsidR="00D41F40">
        <w:t>of Teachers by Program Area</w:t>
      </w:r>
      <w:proofErr w:type="gramStart"/>
      <w:r w:rsidR="00D41F40">
        <w:t>,  2014</w:t>
      </w:r>
      <w:proofErr w:type="gramEnd"/>
      <w:r w:rsidR="00D41F40">
        <w:t>–15 and 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118"/>
        <w:gridCol w:w="1146"/>
        <w:gridCol w:w="1717"/>
        <w:gridCol w:w="1753"/>
        <w:gridCol w:w="1569"/>
        <w:gridCol w:w="1287"/>
      </w:tblGrid>
      <w:tr w:rsidR="0034719D" w:rsidRPr="00713151" w:rsidTr="00085539">
        <w:trPr>
          <w:cnfStyle w:val="100000000000"/>
        </w:trPr>
        <w:tc>
          <w:tcPr>
            <w:tcW w:w="1104" w:type="pct"/>
            <w:tcBorders>
              <w:bottom w:val="single" w:sz="4" w:space="0" w:color="auto"/>
            </w:tcBorders>
          </w:tcPr>
          <w:p w:rsidR="00C157EC" w:rsidRPr="008A3727" w:rsidRDefault="00C157EC" w:rsidP="003C50C4">
            <w:pPr>
              <w:pStyle w:val="TableText"/>
              <w:jc w:val="center"/>
            </w:pPr>
            <w:r>
              <w:t>Program Area Proportion/Year</w:t>
            </w:r>
          </w:p>
        </w:tc>
        <w:tc>
          <w:tcPr>
            <w:tcW w:w="597" w:type="pct"/>
            <w:tcBorders>
              <w:bottom w:val="single" w:sz="4" w:space="0" w:color="auto"/>
            </w:tcBorders>
            <w:hideMark/>
          </w:tcPr>
          <w:p w:rsidR="00C157EC" w:rsidRPr="008A3727" w:rsidRDefault="00C157EC" w:rsidP="00A46F58">
            <w:pPr>
              <w:pStyle w:val="TableText"/>
              <w:jc w:val="center"/>
            </w:pPr>
            <w:r>
              <w:t>Average Point Estimate</w:t>
            </w:r>
          </w:p>
        </w:tc>
        <w:tc>
          <w:tcPr>
            <w:tcW w:w="895" w:type="pct"/>
            <w:tcBorders>
              <w:bottom w:val="single" w:sz="4" w:space="0" w:color="auto"/>
            </w:tcBorders>
            <w:hideMark/>
          </w:tcPr>
          <w:p w:rsidR="00C157EC" w:rsidRPr="008A3727" w:rsidRDefault="00C157EC" w:rsidP="008756AD">
            <w:pPr>
              <w:pStyle w:val="TableText"/>
              <w:jc w:val="center"/>
            </w:pPr>
            <w:r w:rsidRPr="008A3727">
              <w:t>95</w:t>
            </w:r>
            <w:r w:rsidR="008756AD">
              <w:t>%</w:t>
            </w:r>
            <w:r w:rsidRPr="008A3727">
              <w:t xml:space="preserve"> Confidence Interval</w:t>
            </w:r>
            <w:r w:rsidR="006D2330" w:rsidRPr="00235005">
              <w:t>–</w:t>
            </w:r>
            <w:r w:rsidRPr="008A3727">
              <w:t>Lower Bound</w:t>
            </w:r>
          </w:p>
        </w:tc>
        <w:tc>
          <w:tcPr>
            <w:tcW w:w="914" w:type="pct"/>
            <w:tcBorders>
              <w:bottom w:val="single" w:sz="4" w:space="0" w:color="auto"/>
            </w:tcBorders>
            <w:hideMark/>
          </w:tcPr>
          <w:p w:rsidR="00C157EC" w:rsidRPr="008A3727" w:rsidRDefault="00C157EC" w:rsidP="008756AD">
            <w:pPr>
              <w:pStyle w:val="TableText"/>
              <w:jc w:val="center"/>
            </w:pPr>
            <w:r w:rsidRPr="008A3727">
              <w:t>95</w:t>
            </w:r>
            <w:r w:rsidR="008756AD">
              <w:t>%</w:t>
            </w:r>
            <w:r w:rsidRPr="008A3727">
              <w:t xml:space="preserve"> Confidence Interval</w:t>
            </w:r>
            <w:r w:rsidR="006D2330" w:rsidRPr="00235005">
              <w:t>–</w:t>
            </w:r>
            <w:r w:rsidRPr="008A3727">
              <w:t>Upper Bound</w:t>
            </w:r>
          </w:p>
        </w:tc>
        <w:tc>
          <w:tcPr>
            <w:tcW w:w="818" w:type="pct"/>
            <w:tcBorders>
              <w:bottom w:val="single" w:sz="4" w:space="0" w:color="auto"/>
            </w:tcBorders>
            <w:hideMark/>
          </w:tcPr>
          <w:p w:rsidR="00C157EC" w:rsidRPr="008A3727" w:rsidRDefault="00C157EC" w:rsidP="00A46F58">
            <w:pPr>
              <w:pStyle w:val="TableText"/>
              <w:jc w:val="center"/>
            </w:pPr>
            <w:r w:rsidRPr="008A3727">
              <w:t>Percent Above/Below Estimate</w:t>
            </w:r>
          </w:p>
        </w:tc>
        <w:tc>
          <w:tcPr>
            <w:tcW w:w="671" w:type="pct"/>
            <w:tcBorders>
              <w:bottom w:val="single" w:sz="4" w:space="0" w:color="auto"/>
            </w:tcBorders>
          </w:tcPr>
          <w:p w:rsidR="00C157EC" w:rsidRPr="008A3727" w:rsidRDefault="00C157EC" w:rsidP="00A46F58">
            <w:pPr>
              <w:pStyle w:val="TableText"/>
              <w:jc w:val="center"/>
            </w:pPr>
            <w:r w:rsidRPr="008A3727">
              <w:t>Growth of Interval Over Time</w:t>
            </w:r>
          </w:p>
        </w:tc>
      </w:tr>
      <w:tr w:rsidR="00B70E1A" w:rsidRPr="00713151" w:rsidTr="007820C5">
        <w:tc>
          <w:tcPr>
            <w:tcW w:w="1104" w:type="pct"/>
            <w:tcBorders>
              <w:bottom w:val="single" w:sz="4" w:space="0" w:color="auto"/>
            </w:tcBorders>
            <w:shd w:val="clear" w:color="auto" w:fill="D9E3ED" w:themeFill="accent1" w:themeFillTint="33"/>
            <w:hideMark/>
          </w:tcPr>
          <w:p w:rsidR="00C157EC" w:rsidRPr="0044505A" w:rsidRDefault="00553EAF" w:rsidP="003C50C4">
            <w:pPr>
              <w:pStyle w:val="TableText"/>
              <w:jc w:val="center"/>
              <w:rPr>
                <w:b/>
                <w:color w:val="000000"/>
              </w:rPr>
            </w:pPr>
            <w:proofErr w:type="spellStart"/>
            <w:r>
              <w:t>GenED</w:t>
            </w:r>
            <w:proofErr w:type="spellEnd"/>
          </w:p>
        </w:tc>
        <w:tc>
          <w:tcPr>
            <w:tcW w:w="597"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895"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914"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818"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671" w:type="pct"/>
            <w:tcBorders>
              <w:bottom w:val="single" w:sz="4" w:space="0" w:color="auto"/>
            </w:tcBorders>
            <w:shd w:val="clear" w:color="auto" w:fill="D9E3ED" w:themeFill="accent1" w:themeFillTint="33"/>
          </w:tcPr>
          <w:p w:rsidR="00C157EC" w:rsidRPr="008A3727" w:rsidRDefault="00C157EC" w:rsidP="0034719D">
            <w:pPr>
              <w:pStyle w:val="TableTextCentered"/>
            </w:pPr>
          </w:p>
        </w:tc>
      </w:tr>
      <w:tr w:rsidR="005B2793" w:rsidRPr="00713151" w:rsidTr="00085539">
        <w:tc>
          <w:tcPr>
            <w:tcW w:w="1104" w:type="pct"/>
            <w:tcBorders>
              <w:bottom w:val="single" w:sz="4" w:space="0" w:color="auto"/>
            </w:tcBorders>
            <w:hideMark/>
          </w:tcPr>
          <w:p w:rsidR="005B2793" w:rsidRPr="008A3727" w:rsidRDefault="005B2793" w:rsidP="003C50C4">
            <w:pPr>
              <w:pStyle w:val="TableText"/>
              <w:jc w:val="center"/>
            </w:pPr>
            <w:r w:rsidRPr="008A3727">
              <w:t>20</w:t>
            </w:r>
            <w:r>
              <w:t>14–</w:t>
            </w:r>
            <w:r w:rsidRPr="008A3727">
              <w:t>15</w:t>
            </w:r>
          </w:p>
        </w:tc>
        <w:tc>
          <w:tcPr>
            <w:tcW w:w="597" w:type="pct"/>
            <w:tcBorders>
              <w:bottom w:val="single" w:sz="4" w:space="0" w:color="auto"/>
            </w:tcBorders>
            <w:noWrap/>
            <w:hideMark/>
          </w:tcPr>
          <w:p w:rsidR="005B2793" w:rsidRPr="008A3727" w:rsidRDefault="005B2793" w:rsidP="0034719D">
            <w:pPr>
              <w:pStyle w:val="TableTextCentered"/>
            </w:pPr>
            <w:r w:rsidRPr="008A3727">
              <w:t>0.82</w:t>
            </w:r>
          </w:p>
        </w:tc>
        <w:tc>
          <w:tcPr>
            <w:tcW w:w="895" w:type="pct"/>
            <w:tcBorders>
              <w:bottom w:val="single" w:sz="4" w:space="0" w:color="auto"/>
            </w:tcBorders>
            <w:noWrap/>
            <w:hideMark/>
          </w:tcPr>
          <w:p w:rsidR="005B2793" w:rsidRPr="008A3727" w:rsidRDefault="005B2793" w:rsidP="0034719D">
            <w:pPr>
              <w:pStyle w:val="TableTextCentered"/>
            </w:pPr>
            <w:r w:rsidRPr="008A3727">
              <w:t>0.81</w:t>
            </w:r>
          </w:p>
        </w:tc>
        <w:tc>
          <w:tcPr>
            <w:tcW w:w="914" w:type="pct"/>
            <w:tcBorders>
              <w:bottom w:val="single" w:sz="4" w:space="0" w:color="auto"/>
            </w:tcBorders>
            <w:noWrap/>
            <w:hideMark/>
          </w:tcPr>
          <w:p w:rsidR="005B2793" w:rsidRPr="008A3727" w:rsidRDefault="005B2793" w:rsidP="0034719D">
            <w:pPr>
              <w:pStyle w:val="TableTextCentered"/>
            </w:pPr>
            <w:r w:rsidRPr="008A3727">
              <w:t>0.83</w:t>
            </w:r>
          </w:p>
        </w:tc>
        <w:tc>
          <w:tcPr>
            <w:tcW w:w="818" w:type="pct"/>
            <w:tcBorders>
              <w:bottom w:val="single" w:sz="4" w:space="0" w:color="auto"/>
            </w:tcBorders>
            <w:noWrap/>
            <w:hideMark/>
          </w:tcPr>
          <w:p w:rsidR="005B2793" w:rsidRPr="008A3727" w:rsidRDefault="005B2793" w:rsidP="0034719D">
            <w:pPr>
              <w:pStyle w:val="TableTextCentered"/>
            </w:pPr>
            <w:r>
              <w:t xml:space="preserve">+/- </w:t>
            </w:r>
            <w:r w:rsidRPr="008A3727">
              <w:t>1%</w:t>
            </w:r>
          </w:p>
        </w:tc>
        <w:tc>
          <w:tcPr>
            <w:tcW w:w="671" w:type="pct"/>
            <w:vMerge w:val="restart"/>
          </w:tcPr>
          <w:p w:rsidR="005B2793" w:rsidRPr="008A3727" w:rsidRDefault="005B2793" w:rsidP="0034719D">
            <w:pPr>
              <w:pStyle w:val="TableTextCentered"/>
            </w:pPr>
            <w:r>
              <w:t>3.28</w:t>
            </w:r>
          </w:p>
        </w:tc>
      </w:tr>
      <w:tr w:rsidR="005B2793" w:rsidRPr="00713151" w:rsidTr="00085539">
        <w:tc>
          <w:tcPr>
            <w:tcW w:w="1104" w:type="pct"/>
            <w:tcBorders>
              <w:bottom w:val="single" w:sz="4" w:space="0" w:color="auto"/>
            </w:tcBorders>
            <w:hideMark/>
          </w:tcPr>
          <w:p w:rsidR="005B2793" w:rsidRPr="008A3727" w:rsidRDefault="005B2793" w:rsidP="003C50C4">
            <w:pPr>
              <w:pStyle w:val="TableText"/>
              <w:jc w:val="center"/>
            </w:pPr>
            <w:r w:rsidRPr="008A3727">
              <w:t>20</w:t>
            </w:r>
            <w:r>
              <w:t>23–</w:t>
            </w:r>
            <w:r w:rsidRPr="008A3727">
              <w:t>24</w:t>
            </w:r>
          </w:p>
        </w:tc>
        <w:tc>
          <w:tcPr>
            <w:tcW w:w="597" w:type="pct"/>
            <w:tcBorders>
              <w:bottom w:val="single" w:sz="4" w:space="0" w:color="auto"/>
            </w:tcBorders>
            <w:noWrap/>
            <w:hideMark/>
          </w:tcPr>
          <w:p w:rsidR="005B2793" w:rsidRPr="008A3727" w:rsidRDefault="005B2793" w:rsidP="0034719D">
            <w:pPr>
              <w:pStyle w:val="TableTextCentered"/>
            </w:pPr>
            <w:r w:rsidRPr="008A3727">
              <w:t>0.83</w:t>
            </w:r>
          </w:p>
        </w:tc>
        <w:tc>
          <w:tcPr>
            <w:tcW w:w="895" w:type="pct"/>
            <w:tcBorders>
              <w:bottom w:val="single" w:sz="4" w:space="0" w:color="auto"/>
            </w:tcBorders>
            <w:noWrap/>
            <w:hideMark/>
          </w:tcPr>
          <w:p w:rsidR="005B2793" w:rsidRPr="008A3727" w:rsidRDefault="005B2793" w:rsidP="0034719D">
            <w:pPr>
              <w:pStyle w:val="TableTextCentered"/>
            </w:pPr>
            <w:r w:rsidRPr="008A3727">
              <w:t>0.80</w:t>
            </w:r>
          </w:p>
        </w:tc>
        <w:tc>
          <w:tcPr>
            <w:tcW w:w="914" w:type="pct"/>
            <w:tcBorders>
              <w:bottom w:val="single" w:sz="4" w:space="0" w:color="auto"/>
            </w:tcBorders>
            <w:noWrap/>
            <w:hideMark/>
          </w:tcPr>
          <w:p w:rsidR="005B2793" w:rsidRPr="008A3727" w:rsidRDefault="005B2793" w:rsidP="0034719D">
            <w:pPr>
              <w:pStyle w:val="TableTextCentered"/>
            </w:pPr>
            <w:r w:rsidRPr="008A3727">
              <w:t>0.85</w:t>
            </w:r>
          </w:p>
        </w:tc>
        <w:tc>
          <w:tcPr>
            <w:tcW w:w="818" w:type="pct"/>
            <w:tcBorders>
              <w:bottom w:val="single" w:sz="4" w:space="0" w:color="auto"/>
            </w:tcBorders>
            <w:noWrap/>
            <w:hideMark/>
          </w:tcPr>
          <w:p w:rsidR="005B2793" w:rsidRPr="008A3727" w:rsidRDefault="005B2793" w:rsidP="0034719D">
            <w:pPr>
              <w:pStyle w:val="TableTextCentered"/>
            </w:pPr>
            <w:r>
              <w:t xml:space="preserve">+/- </w:t>
            </w:r>
            <w:r w:rsidRPr="008A3727">
              <w:t>3%</w:t>
            </w:r>
          </w:p>
        </w:tc>
        <w:tc>
          <w:tcPr>
            <w:tcW w:w="671" w:type="pct"/>
            <w:vMerge/>
            <w:tcBorders>
              <w:bottom w:val="single" w:sz="4" w:space="0" w:color="auto"/>
            </w:tcBorders>
          </w:tcPr>
          <w:p w:rsidR="005B2793" w:rsidRPr="008A3727" w:rsidRDefault="005B2793" w:rsidP="0034719D">
            <w:pPr>
              <w:pStyle w:val="TableTextCentered"/>
            </w:pPr>
          </w:p>
        </w:tc>
      </w:tr>
      <w:tr w:rsidR="00B70E1A" w:rsidRPr="00713151" w:rsidTr="007820C5">
        <w:tc>
          <w:tcPr>
            <w:tcW w:w="1104" w:type="pct"/>
            <w:tcBorders>
              <w:bottom w:val="single" w:sz="4" w:space="0" w:color="auto"/>
            </w:tcBorders>
            <w:shd w:val="clear" w:color="auto" w:fill="D9E3ED" w:themeFill="accent1" w:themeFillTint="33"/>
            <w:noWrap/>
            <w:hideMark/>
          </w:tcPr>
          <w:p w:rsidR="00C157EC" w:rsidRPr="0044505A" w:rsidRDefault="00553EAF" w:rsidP="003C50C4">
            <w:pPr>
              <w:pStyle w:val="TableText"/>
              <w:jc w:val="center"/>
            </w:pPr>
            <w:r>
              <w:t>SPED</w:t>
            </w:r>
          </w:p>
        </w:tc>
        <w:tc>
          <w:tcPr>
            <w:tcW w:w="597"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895"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914"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818"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671" w:type="pct"/>
            <w:tcBorders>
              <w:bottom w:val="single" w:sz="4" w:space="0" w:color="auto"/>
            </w:tcBorders>
            <w:shd w:val="clear" w:color="auto" w:fill="D9E3ED" w:themeFill="accent1" w:themeFillTint="33"/>
          </w:tcPr>
          <w:p w:rsidR="00C157EC" w:rsidRPr="008A3727" w:rsidRDefault="00C157EC" w:rsidP="0034719D">
            <w:pPr>
              <w:pStyle w:val="TableTextCentered"/>
            </w:pPr>
          </w:p>
        </w:tc>
      </w:tr>
      <w:tr w:rsidR="005B2793" w:rsidRPr="00713151" w:rsidTr="00085539">
        <w:tc>
          <w:tcPr>
            <w:tcW w:w="1104" w:type="pct"/>
            <w:tcBorders>
              <w:bottom w:val="single" w:sz="4" w:space="0" w:color="auto"/>
            </w:tcBorders>
            <w:hideMark/>
          </w:tcPr>
          <w:p w:rsidR="005B2793" w:rsidRPr="008A3727" w:rsidRDefault="005B2793" w:rsidP="003C50C4">
            <w:pPr>
              <w:pStyle w:val="TableText"/>
              <w:jc w:val="center"/>
            </w:pPr>
            <w:r w:rsidRPr="00C20B19">
              <w:t>20</w:t>
            </w:r>
            <w:r>
              <w:t>14–</w:t>
            </w:r>
            <w:r w:rsidRPr="00C20B19">
              <w:t>15</w:t>
            </w:r>
          </w:p>
        </w:tc>
        <w:tc>
          <w:tcPr>
            <w:tcW w:w="597" w:type="pct"/>
            <w:tcBorders>
              <w:bottom w:val="single" w:sz="4" w:space="0" w:color="auto"/>
            </w:tcBorders>
            <w:noWrap/>
            <w:hideMark/>
          </w:tcPr>
          <w:p w:rsidR="005B2793" w:rsidRPr="008A3727" w:rsidRDefault="005B2793" w:rsidP="0034719D">
            <w:pPr>
              <w:pStyle w:val="TableTextCentered"/>
            </w:pPr>
            <w:r w:rsidRPr="008A3727">
              <w:t>0.12</w:t>
            </w:r>
          </w:p>
        </w:tc>
        <w:tc>
          <w:tcPr>
            <w:tcW w:w="895" w:type="pct"/>
            <w:tcBorders>
              <w:bottom w:val="single" w:sz="4" w:space="0" w:color="auto"/>
            </w:tcBorders>
            <w:noWrap/>
            <w:hideMark/>
          </w:tcPr>
          <w:p w:rsidR="005B2793" w:rsidRPr="008A3727" w:rsidRDefault="005B2793" w:rsidP="0034719D">
            <w:pPr>
              <w:pStyle w:val="TableTextCentered"/>
            </w:pPr>
            <w:r w:rsidRPr="008A3727">
              <w:t>0.12</w:t>
            </w:r>
          </w:p>
        </w:tc>
        <w:tc>
          <w:tcPr>
            <w:tcW w:w="914" w:type="pct"/>
            <w:tcBorders>
              <w:bottom w:val="single" w:sz="4" w:space="0" w:color="auto"/>
            </w:tcBorders>
            <w:noWrap/>
            <w:hideMark/>
          </w:tcPr>
          <w:p w:rsidR="005B2793" w:rsidRPr="008A3727" w:rsidRDefault="005B2793" w:rsidP="0034719D">
            <w:pPr>
              <w:pStyle w:val="TableTextCentered"/>
            </w:pPr>
            <w:r w:rsidRPr="008A3727">
              <w:t>0.13</w:t>
            </w:r>
          </w:p>
        </w:tc>
        <w:tc>
          <w:tcPr>
            <w:tcW w:w="818" w:type="pct"/>
            <w:tcBorders>
              <w:bottom w:val="single" w:sz="4" w:space="0" w:color="auto"/>
            </w:tcBorders>
            <w:noWrap/>
            <w:hideMark/>
          </w:tcPr>
          <w:p w:rsidR="005B2793" w:rsidRPr="008A3727" w:rsidRDefault="005B2793" w:rsidP="0034719D">
            <w:pPr>
              <w:pStyle w:val="TableTextCentered"/>
            </w:pPr>
            <w:r>
              <w:t xml:space="preserve">+/- </w:t>
            </w:r>
            <w:r w:rsidRPr="008A3727">
              <w:t>4%</w:t>
            </w:r>
          </w:p>
        </w:tc>
        <w:tc>
          <w:tcPr>
            <w:tcW w:w="671" w:type="pct"/>
            <w:vMerge w:val="restart"/>
          </w:tcPr>
          <w:p w:rsidR="005B2793" w:rsidRPr="008A3727" w:rsidRDefault="005B2793" w:rsidP="0034719D">
            <w:pPr>
              <w:pStyle w:val="TableTextCentered"/>
            </w:pPr>
            <w:r>
              <w:t>3.18</w:t>
            </w:r>
          </w:p>
        </w:tc>
      </w:tr>
      <w:tr w:rsidR="005B2793" w:rsidRPr="00713151" w:rsidTr="00085539">
        <w:tc>
          <w:tcPr>
            <w:tcW w:w="1104" w:type="pct"/>
            <w:tcBorders>
              <w:bottom w:val="single" w:sz="4" w:space="0" w:color="auto"/>
            </w:tcBorders>
            <w:hideMark/>
          </w:tcPr>
          <w:p w:rsidR="005B2793" w:rsidRPr="008A3727" w:rsidRDefault="005B2793" w:rsidP="003C50C4">
            <w:pPr>
              <w:pStyle w:val="TableText"/>
              <w:jc w:val="center"/>
            </w:pPr>
            <w:r w:rsidRPr="00C20B19">
              <w:t>20</w:t>
            </w:r>
            <w:r>
              <w:t>23–</w:t>
            </w:r>
            <w:r w:rsidRPr="00C20B19">
              <w:t>24</w:t>
            </w:r>
          </w:p>
        </w:tc>
        <w:tc>
          <w:tcPr>
            <w:tcW w:w="597" w:type="pct"/>
            <w:tcBorders>
              <w:bottom w:val="single" w:sz="4" w:space="0" w:color="auto"/>
            </w:tcBorders>
            <w:noWrap/>
            <w:hideMark/>
          </w:tcPr>
          <w:p w:rsidR="005B2793" w:rsidRPr="008A3727" w:rsidRDefault="005B2793" w:rsidP="0034719D">
            <w:pPr>
              <w:pStyle w:val="TableTextCentered"/>
            </w:pPr>
            <w:r w:rsidRPr="008A3727">
              <w:t>0.12</w:t>
            </w:r>
          </w:p>
        </w:tc>
        <w:tc>
          <w:tcPr>
            <w:tcW w:w="895" w:type="pct"/>
            <w:tcBorders>
              <w:bottom w:val="single" w:sz="4" w:space="0" w:color="auto"/>
            </w:tcBorders>
            <w:noWrap/>
            <w:hideMark/>
          </w:tcPr>
          <w:p w:rsidR="005B2793" w:rsidRPr="008A3727" w:rsidRDefault="005B2793" w:rsidP="0034719D">
            <w:pPr>
              <w:pStyle w:val="TableTextCentered"/>
            </w:pPr>
            <w:r w:rsidRPr="008A3727">
              <w:t>0.10</w:t>
            </w:r>
          </w:p>
        </w:tc>
        <w:tc>
          <w:tcPr>
            <w:tcW w:w="914" w:type="pct"/>
            <w:tcBorders>
              <w:bottom w:val="single" w:sz="4" w:space="0" w:color="auto"/>
            </w:tcBorders>
            <w:noWrap/>
            <w:hideMark/>
          </w:tcPr>
          <w:p w:rsidR="005B2793" w:rsidRPr="008A3727" w:rsidRDefault="005B2793" w:rsidP="0034719D">
            <w:pPr>
              <w:pStyle w:val="TableTextCentered"/>
            </w:pPr>
            <w:r w:rsidRPr="008A3727">
              <w:t>0.13</w:t>
            </w:r>
          </w:p>
        </w:tc>
        <w:tc>
          <w:tcPr>
            <w:tcW w:w="818" w:type="pct"/>
            <w:tcBorders>
              <w:bottom w:val="single" w:sz="4" w:space="0" w:color="auto"/>
            </w:tcBorders>
            <w:noWrap/>
            <w:hideMark/>
          </w:tcPr>
          <w:p w:rsidR="005B2793" w:rsidRPr="008A3727" w:rsidRDefault="005B2793" w:rsidP="0034719D">
            <w:pPr>
              <w:pStyle w:val="TableTextCentered"/>
            </w:pPr>
            <w:r>
              <w:t xml:space="preserve">+/- </w:t>
            </w:r>
            <w:r w:rsidRPr="008A3727">
              <w:t>14%</w:t>
            </w:r>
          </w:p>
        </w:tc>
        <w:tc>
          <w:tcPr>
            <w:tcW w:w="671" w:type="pct"/>
            <w:vMerge/>
            <w:tcBorders>
              <w:bottom w:val="single" w:sz="4" w:space="0" w:color="auto"/>
            </w:tcBorders>
          </w:tcPr>
          <w:p w:rsidR="005B2793" w:rsidRPr="008A3727" w:rsidRDefault="005B2793" w:rsidP="0034719D">
            <w:pPr>
              <w:pStyle w:val="TableTextCentered"/>
            </w:pPr>
          </w:p>
        </w:tc>
      </w:tr>
      <w:tr w:rsidR="00B70E1A" w:rsidRPr="00713151" w:rsidTr="007820C5">
        <w:tc>
          <w:tcPr>
            <w:tcW w:w="1104" w:type="pct"/>
            <w:tcBorders>
              <w:bottom w:val="single" w:sz="4" w:space="0" w:color="auto"/>
            </w:tcBorders>
            <w:shd w:val="clear" w:color="auto" w:fill="D9E3ED" w:themeFill="accent1" w:themeFillTint="33"/>
            <w:hideMark/>
          </w:tcPr>
          <w:p w:rsidR="00C157EC" w:rsidRPr="0044505A" w:rsidRDefault="00C157EC" w:rsidP="003C50C4">
            <w:pPr>
              <w:pStyle w:val="TableText"/>
              <w:jc w:val="center"/>
            </w:pPr>
            <w:r w:rsidRPr="0044505A">
              <w:t>CTE</w:t>
            </w:r>
          </w:p>
        </w:tc>
        <w:tc>
          <w:tcPr>
            <w:tcW w:w="597"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895"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914"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818"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671" w:type="pct"/>
            <w:tcBorders>
              <w:bottom w:val="single" w:sz="4" w:space="0" w:color="auto"/>
            </w:tcBorders>
            <w:shd w:val="clear" w:color="auto" w:fill="D9E3ED" w:themeFill="accent1" w:themeFillTint="33"/>
          </w:tcPr>
          <w:p w:rsidR="00C157EC" w:rsidRPr="008A3727" w:rsidRDefault="00C157EC" w:rsidP="0034719D">
            <w:pPr>
              <w:pStyle w:val="TableTextCentered"/>
            </w:pPr>
          </w:p>
        </w:tc>
      </w:tr>
      <w:tr w:rsidR="005B2793" w:rsidRPr="00713151" w:rsidTr="00085539">
        <w:tc>
          <w:tcPr>
            <w:tcW w:w="1104" w:type="pct"/>
            <w:tcBorders>
              <w:bottom w:val="single" w:sz="4" w:space="0" w:color="auto"/>
            </w:tcBorders>
            <w:hideMark/>
          </w:tcPr>
          <w:p w:rsidR="005B2793" w:rsidRPr="008A3727" w:rsidRDefault="005B2793" w:rsidP="003C50C4">
            <w:pPr>
              <w:pStyle w:val="TableText"/>
              <w:jc w:val="center"/>
            </w:pPr>
            <w:r w:rsidRPr="00C20B19">
              <w:t>20</w:t>
            </w:r>
            <w:r>
              <w:t>14–</w:t>
            </w:r>
            <w:r w:rsidRPr="00C20B19">
              <w:t>15</w:t>
            </w:r>
          </w:p>
        </w:tc>
        <w:tc>
          <w:tcPr>
            <w:tcW w:w="597" w:type="pct"/>
            <w:tcBorders>
              <w:bottom w:val="single" w:sz="4" w:space="0" w:color="auto"/>
            </w:tcBorders>
            <w:noWrap/>
            <w:hideMark/>
          </w:tcPr>
          <w:p w:rsidR="005B2793" w:rsidRPr="008A3727" w:rsidRDefault="005B2793" w:rsidP="0034719D">
            <w:pPr>
              <w:pStyle w:val="TableTextCentered"/>
            </w:pPr>
            <w:r w:rsidRPr="008A3727">
              <w:t>0.049</w:t>
            </w:r>
          </w:p>
        </w:tc>
        <w:tc>
          <w:tcPr>
            <w:tcW w:w="895" w:type="pct"/>
            <w:tcBorders>
              <w:bottom w:val="single" w:sz="4" w:space="0" w:color="auto"/>
            </w:tcBorders>
            <w:noWrap/>
            <w:hideMark/>
          </w:tcPr>
          <w:p w:rsidR="005B2793" w:rsidRPr="008A3727" w:rsidRDefault="005B2793" w:rsidP="0034719D">
            <w:pPr>
              <w:pStyle w:val="TableTextCentered"/>
            </w:pPr>
            <w:r w:rsidRPr="008A3727">
              <w:t>0.045</w:t>
            </w:r>
          </w:p>
        </w:tc>
        <w:tc>
          <w:tcPr>
            <w:tcW w:w="914" w:type="pct"/>
            <w:tcBorders>
              <w:bottom w:val="single" w:sz="4" w:space="0" w:color="auto"/>
            </w:tcBorders>
            <w:noWrap/>
            <w:hideMark/>
          </w:tcPr>
          <w:p w:rsidR="005B2793" w:rsidRPr="008A3727" w:rsidRDefault="005B2793" w:rsidP="0034719D">
            <w:pPr>
              <w:pStyle w:val="TableTextCentered"/>
            </w:pPr>
            <w:r w:rsidRPr="008A3727">
              <w:t>0.054</w:t>
            </w:r>
          </w:p>
        </w:tc>
        <w:tc>
          <w:tcPr>
            <w:tcW w:w="818" w:type="pct"/>
            <w:tcBorders>
              <w:bottom w:val="single" w:sz="4" w:space="0" w:color="auto"/>
            </w:tcBorders>
            <w:noWrap/>
            <w:hideMark/>
          </w:tcPr>
          <w:p w:rsidR="005B2793" w:rsidRPr="008A3727" w:rsidRDefault="005B2793" w:rsidP="0034719D">
            <w:pPr>
              <w:pStyle w:val="TableTextCentered"/>
            </w:pPr>
            <w:r>
              <w:t xml:space="preserve">+/- </w:t>
            </w:r>
            <w:r w:rsidRPr="008A3727">
              <w:t>8%</w:t>
            </w:r>
          </w:p>
        </w:tc>
        <w:tc>
          <w:tcPr>
            <w:tcW w:w="671" w:type="pct"/>
            <w:vMerge w:val="restart"/>
          </w:tcPr>
          <w:p w:rsidR="005B2793" w:rsidRPr="008A3727" w:rsidRDefault="005B2793" w:rsidP="0034719D">
            <w:pPr>
              <w:pStyle w:val="TableTextCentered"/>
            </w:pPr>
            <w:r>
              <w:t>3.43</w:t>
            </w:r>
          </w:p>
        </w:tc>
      </w:tr>
      <w:tr w:rsidR="005B2793" w:rsidRPr="00713151" w:rsidTr="00085539">
        <w:tc>
          <w:tcPr>
            <w:tcW w:w="1104" w:type="pct"/>
            <w:tcBorders>
              <w:bottom w:val="single" w:sz="4" w:space="0" w:color="auto"/>
            </w:tcBorders>
            <w:hideMark/>
          </w:tcPr>
          <w:p w:rsidR="005B2793" w:rsidRPr="008A3727" w:rsidRDefault="005B2793" w:rsidP="003C50C4">
            <w:pPr>
              <w:pStyle w:val="TableText"/>
              <w:jc w:val="center"/>
            </w:pPr>
            <w:r w:rsidRPr="00C20B19">
              <w:t>20</w:t>
            </w:r>
            <w:r>
              <w:t>23–</w:t>
            </w:r>
            <w:r w:rsidRPr="00C20B19">
              <w:t>24</w:t>
            </w:r>
          </w:p>
        </w:tc>
        <w:tc>
          <w:tcPr>
            <w:tcW w:w="597" w:type="pct"/>
            <w:tcBorders>
              <w:bottom w:val="single" w:sz="4" w:space="0" w:color="auto"/>
            </w:tcBorders>
            <w:noWrap/>
            <w:hideMark/>
          </w:tcPr>
          <w:p w:rsidR="005B2793" w:rsidRPr="008A3727" w:rsidRDefault="005B2793" w:rsidP="0034719D">
            <w:pPr>
              <w:pStyle w:val="TableTextCentered"/>
            </w:pPr>
            <w:r w:rsidRPr="008A3727">
              <w:t>0.045</w:t>
            </w:r>
          </w:p>
        </w:tc>
        <w:tc>
          <w:tcPr>
            <w:tcW w:w="895" w:type="pct"/>
            <w:tcBorders>
              <w:bottom w:val="single" w:sz="4" w:space="0" w:color="auto"/>
            </w:tcBorders>
            <w:noWrap/>
            <w:hideMark/>
          </w:tcPr>
          <w:p w:rsidR="005B2793" w:rsidRPr="008A3727" w:rsidRDefault="005B2793" w:rsidP="0034719D">
            <w:pPr>
              <w:pStyle w:val="TableTextCentered"/>
            </w:pPr>
            <w:r w:rsidRPr="008A3727">
              <w:t>0.030</w:t>
            </w:r>
          </w:p>
        </w:tc>
        <w:tc>
          <w:tcPr>
            <w:tcW w:w="914" w:type="pct"/>
            <w:tcBorders>
              <w:bottom w:val="single" w:sz="4" w:space="0" w:color="auto"/>
            </w:tcBorders>
            <w:noWrap/>
            <w:hideMark/>
          </w:tcPr>
          <w:p w:rsidR="005B2793" w:rsidRPr="008A3727" w:rsidRDefault="005B2793" w:rsidP="0034719D">
            <w:pPr>
              <w:pStyle w:val="TableTextCentered"/>
            </w:pPr>
            <w:r w:rsidRPr="008A3727">
              <w:t>0.059</w:t>
            </w:r>
          </w:p>
        </w:tc>
        <w:tc>
          <w:tcPr>
            <w:tcW w:w="818" w:type="pct"/>
            <w:tcBorders>
              <w:bottom w:val="single" w:sz="4" w:space="0" w:color="auto"/>
            </w:tcBorders>
            <w:noWrap/>
            <w:hideMark/>
          </w:tcPr>
          <w:p w:rsidR="005B2793" w:rsidRPr="008A3727" w:rsidRDefault="005B2793" w:rsidP="0034719D">
            <w:pPr>
              <w:pStyle w:val="TableTextCentered"/>
            </w:pPr>
            <w:r>
              <w:t xml:space="preserve">+/- </w:t>
            </w:r>
            <w:r w:rsidRPr="008A3727">
              <w:t>32%</w:t>
            </w:r>
          </w:p>
        </w:tc>
        <w:tc>
          <w:tcPr>
            <w:tcW w:w="671" w:type="pct"/>
            <w:vMerge/>
            <w:tcBorders>
              <w:bottom w:val="single" w:sz="4" w:space="0" w:color="auto"/>
            </w:tcBorders>
          </w:tcPr>
          <w:p w:rsidR="005B2793" w:rsidRPr="008A3727" w:rsidRDefault="005B2793" w:rsidP="0034719D">
            <w:pPr>
              <w:pStyle w:val="TableTextCentered"/>
            </w:pPr>
          </w:p>
        </w:tc>
      </w:tr>
      <w:tr w:rsidR="00B70E1A" w:rsidRPr="00713151" w:rsidTr="007820C5">
        <w:tc>
          <w:tcPr>
            <w:tcW w:w="1104" w:type="pct"/>
            <w:tcBorders>
              <w:bottom w:val="single" w:sz="4" w:space="0" w:color="auto"/>
            </w:tcBorders>
            <w:shd w:val="clear" w:color="auto" w:fill="D9E3ED" w:themeFill="accent1" w:themeFillTint="33"/>
            <w:hideMark/>
          </w:tcPr>
          <w:p w:rsidR="00C157EC" w:rsidRPr="0044505A" w:rsidRDefault="00C157EC" w:rsidP="003C50C4">
            <w:pPr>
              <w:pStyle w:val="TableText"/>
              <w:jc w:val="center"/>
            </w:pPr>
            <w:r w:rsidRPr="0044505A">
              <w:t>ELL</w:t>
            </w:r>
          </w:p>
        </w:tc>
        <w:tc>
          <w:tcPr>
            <w:tcW w:w="597"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895"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914"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818" w:type="pct"/>
            <w:tcBorders>
              <w:bottom w:val="single" w:sz="4" w:space="0" w:color="auto"/>
            </w:tcBorders>
            <w:shd w:val="clear" w:color="auto" w:fill="D9E3ED" w:themeFill="accent1" w:themeFillTint="33"/>
            <w:noWrap/>
            <w:hideMark/>
          </w:tcPr>
          <w:p w:rsidR="00C157EC" w:rsidRPr="008A3727" w:rsidRDefault="00C157EC" w:rsidP="0034719D">
            <w:pPr>
              <w:pStyle w:val="TableTextCentered"/>
            </w:pPr>
          </w:p>
        </w:tc>
        <w:tc>
          <w:tcPr>
            <w:tcW w:w="671" w:type="pct"/>
            <w:tcBorders>
              <w:bottom w:val="single" w:sz="4" w:space="0" w:color="auto"/>
            </w:tcBorders>
            <w:shd w:val="clear" w:color="auto" w:fill="D9E3ED" w:themeFill="accent1" w:themeFillTint="33"/>
          </w:tcPr>
          <w:p w:rsidR="00C157EC" w:rsidRPr="008A3727" w:rsidRDefault="00C157EC" w:rsidP="0034719D">
            <w:pPr>
              <w:pStyle w:val="TableTextCentered"/>
            </w:pPr>
          </w:p>
        </w:tc>
      </w:tr>
      <w:tr w:rsidR="005B2793" w:rsidRPr="00713151" w:rsidTr="00085539">
        <w:tc>
          <w:tcPr>
            <w:tcW w:w="1104" w:type="pct"/>
            <w:tcBorders>
              <w:bottom w:val="single" w:sz="4" w:space="0" w:color="auto"/>
            </w:tcBorders>
            <w:hideMark/>
          </w:tcPr>
          <w:p w:rsidR="005B2793" w:rsidRPr="008A3727" w:rsidRDefault="005B2793" w:rsidP="003C50C4">
            <w:pPr>
              <w:pStyle w:val="TableText"/>
              <w:jc w:val="center"/>
            </w:pPr>
            <w:r w:rsidRPr="00C20B19">
              <w:t>20</w:t>
            </w:r>
            <w:r>
              <w:t>14–</w:t>
            </w:r>
            <w:r w:rsidRPr="00C20B19">
              <w:t>15</w:t>
            </w:r>
          </w:p>
        </w:tc>
        <w:tc>
          <w:tcPr>
            <w:tcW w:w="597" w:type="pct"/>
            <w:tcBorders>
              <w:bottom w:val="single" w:sz="4" w:space="0" w:color="auto"/>
            </w:tcBorders>
            <w:noWrap/>
            <w:hideMark/>
          </w:tcPr>
          <w:p w:rsidR="005B2793" w:rsidRPr="008A3727" w:rsidRDefault="005B2793" w:rsidP="0034719D">
            <w:pPr>
              <w:pStyle w:val="TableTextCentered"/>
            </w:pPr>
            <w:r w:rsidRPr="008A3727">
              <w:t>0.010</w:t>
            </w:r>
          </w:p>
        </w:tc>
        <w:tc>
          <w:tcPr>
            <w:tcW w:w="895" w:type="pct"/>
            <w:tcBorders>
              <w:bottom w:val="single" w:sz="4" w:space="0" w:color="auto"/>
            </w:tcBorders>
            <w:noWrap/>
            <w:hideMark/>
          </w:tcPr>
          <w:p w:rsidR="005B2793" w:rsidRPr="008A3727" w:rsidRDefault="005B2793" w:rsidP="0034719D">
            <w:pPr>
              <w:pStyle w:val="TableTextCentered"/>
            </w:pPr>
            <w:r w:rsidRPr="008A3727">
              <w:t>0.009</w:t>
            </w:r>
          </w:p>
        </w:tc>
        <w:tc>
          <w:tcPr>
            <w:tcW w:w="914" w:type="pct"/>
            <w:tcBorders>
              <w:bottom w:val="single" w:sz="4" w:space="0" w:color="auto"/>
            </w:tcBorders>
            <w:noWrap/>
            <w:hideMark/>
          </w:tcPr>
          <w:p w:rsidR="005B2793" w:rsidRPr="008A3727" w:rsidRDefault="005B2793" w:rsidP="0034719D">
            <w:pPr>
              <w:pStyle w:val="TableTextCentered"/>
            </w:pPr>
            <w:r w:rsidRPr="008A3727">
              <w:t>0.012</w:t>
            </w:r>
          </w:p>
        </w:tc>
        <w:tc>
          <w:tcPr>
            <w:tcW w:w="818" w:type="pct"/>
            <w:tcBorders>
              <w:bottom w:val="single" w:sz="4" w:space="0" w:color="auto"/>
            </w:tcBorders>
            <w:noWrap/>
            <w:hideMark/>
          </w:tcPr>
          <w:p w:rsidR="005B2793" w:rsidRPr="008A3727" w:rsidRDefault="005B2793" w:rsidP="0034719D">
            <w:pPr>
              <w:pStyle w:val="TableTextCentered"/>
            </w:pPr>
            <w:r>
              <w:t xml:space="preserve">+/- </w:t>
            </w:r>
            <w:r w:rsidRPr="008A3727">
              <w:t>11%</w:t>
            </w:r>
          </w:p>
        </w:tc>
        <w:tc>
          <w:tcPr>
            <w:tcW w:w="671" w:type="pct"/>
            <w:vMerge w:val="restart"/>
          </w:tcPr>
          <w:p w:rsidR="005B2793" w:rsidRPr="008A3727" w:rsidRDefault="005B2793" w:rsidP="0034719D">
            <w:pPr>
              <w:pStyle w:val="TableTextCentered"/>
              <w:rPr>
                <w:b/>
              </w:rPr>
            </w:pPr>
            <w:r>
              <w:t>4.89</w:t>
            </w:r>
          </w:p>
        </w:tc>
      </w:tr>
      <w:tr w:rsidR="005B2793" w:rsidRPr="00713151" w:rsidTr="00085539">
        <w:tc>
          <w:tcPr>
            <w:tcW w:w="1104" w:type="pct"/>
            <w:hideMark/>
          </w:tcPr>
          <w:p w:rsidR="005B2793" w:rsidRPr="008A3727" w:rsidRDefault="005B2793" w:rsidP="003C50C4">
            <w:pPr>
              <w:pStyle w:val="TableText"/>
              <w:jc w:val="center"/>
            </w:pPr>
            <w:r w:rsidRPr="00C20B19">
              <w:t>20</w:t>
            </w:r>
            <w:r>
              <w:t>23–</w:t>
            </w:r>
            <w:r w:rsidRPr="00C20B19">
              <w:t>24</w:t>
            </w:r>
          </w:p>
        </w:tc>
        <w:tc>
          <w:tcPr>
            <w:tcW w:w="597" w:type="pct"/>
            <w:noWrap/>
            <w:hideMark/>
          </w:tcPr>
          <w:p w:rsidR="005B2793" w:rsidRPr="008A3727" w:rsidRDefault="005B2793" w:rsidP="0034719D">
            <w:pPr>
              <w:pStyle w:val="TableTextCentered"/>
            </w:pPr>
            <w:r w:rsidRPr="008A3727">
              <w:t>0.014</w:t>
            </w:r>
          </w:p>
        </w:tc>
        <w:tc>
          <w:tcPr>
            <w:tcW w:w="895" w:type="pct"/>
            <w:noWrap/>
            <w:hideMark/>
          </w:tcPr>
          <w:p w:rsidR="005B2793" w:rsidRPr="008A3727" w:rsidRDefault="005B2793" w:rsidP="0034719D">
            <w:pPr>
              <w:pStyle w:val="TableTextCentered"/>
            </w:pPr>
            <w:r w:rsidRPr="008A3727">
              <w:t>0.008</w:t>
            </w:r>
          </w:p>
        </w:tc>
        <w:tc>
          <w:tcPr>
            <w:tcW w:w="914" w:type="pct"/>
            <w:noWrap/>
            <w:hideMark/>
          </w:tcPr>
          <w:p w:rsidR="005B2793" w:rsidRPr="008A3727" w:rsidRDefault="005B2793" w:rsidP="0034719D">
            <w:pPr>
              <w:pStyle w:val="TableTextCentered"/>
            </w:pPr>
            <w:r w:rsidRPr="008A3727">
              <w:t>0.020</w:t>
            </w:r>
          </w:p>
        </w:tc>
        <w:tc>
          <w:tcPr>
            <w:tcW w:w="818" w:type="pct"/>
            <w:noWrap/>
            <w:hideMark/>
          </w:tcPr>
          <w:p w:rsidR="005B2793" w:rsidRPr="008A3727" w:rsidRDefault="005B2793" w:rsidP="0034719D">
            <w:pPr>
              <w:pStyle w:val="TableTextCentered"/>
            </w:pPr>
            <w:r>
              <w:t xml:space="preserve">+/- </w:t>
            </w:r>
            <w:r w:rsidRPr="008A3727">
              <w:t>42%</w:t>
            </w:r>
          </w:p>
        </w:tc>
        <w:tc>
          <w:tcPr>
            <w:tcW w:w="671" w:type="pct"/>
            <w:vMerge/>
          </w:tcPr>
          <w:p w:rsidR="005B2793" w:rsidRPr="008A3727" w:rsidRDefault="005B2793" w:rsidP="0034719D">
            <w:pPr>
              <w:pStyle w:val="TableTextCentered"/>
            </w:pPr>
          </w:p>
        </w:tc>
      </w:tr>
    </w:tbl>
    <w:p w:rsidR="00C157EC" w:rsidRPr="00EB58A1" w:rsidRDefault="00C157EC" w:rsidP="00A46F58">
      <w:pPr>
        <w:pStyle w:val="BodyText"/>
        <w:rPr>
          <w:rFonts w:cstheme="majorHAnsi"/>
        </w:rPr>
      </w:pPr>
      <w:r w:rsidRPr="00A46F58">
        <w:rPr>
          <w:rFonts w:asciiTheme="majorHAnsi" w:hAnsiTheme="majorHAnsi" w:cstheme="majorHAnsi"/>
          <w:b/>
        </w:rPr>
        <w:t xml:space="preserve">Supply Projections </w:t>
      </w:r>
    </w:p>
    <w:p w:rsidR="00C157EC" w:rsidRDefault="00C157EC" w:rsidP="00BF524B">
      <w:pPr>
        <w:pStyle w:val="BodyText"/>
      </w:pPr>
      <w:r>
        <w:t>As we would expect, the confidence intervals around the average supply estimates also grow consistently over the projected years (</w:t>
      </w:r>
      <w:r w:rsidR="00CA243F">
        <w:t>Table</w:t>
      </w:r>
      <w:r>
        <w:t xml:space="preserve"> C</w:t>
      </w:r>
      <w:r w:rsidR="00CA243F">
        <w:t>4</w:t>
      </w:r>
      <w:r>
        <w:t xml:space="preserve">). Specifically, we found that intervals around the CTE supply estimates had the largest growth, nearly quadrupling over the projected years. On the other hand, the </w:t>
      </w:r>
      <w:r w:rsidR="00553EAF">
        <w:t>SPED</w:t>
      </w:r>
      <w:r>
        <w:t xml:space="preserve"> and ELL confidence intervals grew least though still substantially, almost doubling over projected years. Given the growth in intervals over time, we would suggest that the earlier years of projections be relied upon more heavily in any discussions of policy implications.</w:t>
      </w:r>
    </w:p>
    <w:p w:rsidR="00C157EC" w:rsidRDefault="00C157EC" w:rsidP="00BF524B">
      <w:pPr>
        <w:pStyle w:val="BodyText"/>
      </w:pPr>
      <w:r>
        <w:t xml:space="preserve">Moreover, when considering the relative size of the intervals, </w:t>
      </w:r>
      <w:r w:rsidR="00553EAF">
        <w:t>SPED</w:t>
      </w:r>
      <w:r>
        <w:t xml:space="preserve">, CTE, and ELL projections all have very large intervals in the final projected year, +/- 26, 42, and 49 percent respectively. These large confidence intervals indicate less certainty in projected supply of teachers in these program areas. </w:t>
      </w:r>
    </w:p>
    <w:p w:rsidR="00C157EC" w:rsidRPr="003220CC" w:rsidRDefault="00CA243F" w:rsidP="00BF524B">
      <w:pPr>
        <w:pStyle w:val="ExhibitTitle"/>
        <w:pageBreakBefore/>
      </w:pPr>
      <w:r>
        <w:t>Table</w:t>
      </w:r>
      <w:r w:rsidR="00C157EC" w:rsidRPr="003220CC">
        <w:t xml:space="preserve"> </w:t>
      </w:r>
      <w:r w:rsidR="00C157EC">
        <w:t>C</w:t>
      </w:r>
      <w:r>
        <w:t>4</w:t>
      </w:r>
      <w:r w:rsidR="00C157EC" w:rsidRPr="003220CC">
        <w:t xml:space="preserve">. 95% Confidence Intervals </w:t>
      </w:r>
      <w:r w:rsidR="00C157EC">
        <w:t xml:space="preserve">for </w:t>
      </w:r>
      <w:r w:rsidR="00C157EC" w:rsidRPr="003220CC">
        <w:t xml:space="preserve">Projected </w:t>
      </w:r>
      <w:r w:rsidR="00C157EC">
        <w:t>Supply</w:t>
      </w:r>
      <w:r w:rsidR="00C157EC" w:rsidRPr="003220CC">
        <w:t xml:space="preserve"> </w:t>
      </w:r>
      <w:r w:rsidR="007820C5">
        <w:t xml:space="preserve">of Teachers </w:t>
      </w:r>
      <w:r w:rsidR="00D41F40">
        <w:t xml:space="preserve">by Program Area, </w:t>
      </w:r>
      <w:r w:rsidR="00C157EC">
        <w:t xml:space="preserve">2014-15 and </w:t>
      </w:r>
      <w:r w:rsidR="00D41F40">
        <w:t>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118"/>
        <w:gridCol w:w="1146"/>
        <w:gridCol w:w="1717"/>
        <w:gridCol w:w="1753"/>
        <w:gridCol w:w="1569"/>
        <w:gridCol w:w="1287"/>
      </w:tblGrid>
      <w:tr w:rsidR="008756AD" w:rsidRPr="002A055F" w:rsidTr="00085539">
        <w:trPr>
          <w:cnfStyle w:val="100000000000"/>
          <w:trHeight w:val="1025"/>
        </w:trPr>
        <w:tc>
          <w:tcPr>
            <w:tcW w:w="1104" w:type="pct"/>
            <w:tcBorders>
              <w:bottom w:val="single" w:sz="4" w:space="0" w:color="auto"/>
            </w:tcBorders>
          </w:tcPr>
          <w:p w:rsidR="008756AD" w:rsidRPr="00807FB9" w:rsidRDefault="008756AD" w:rsidP="003C50C4">
            <w:pPr>
              <w:pStyle w:val="TableText"/>
              <w:jc w:val="center"/>
            </w:pPr>
            <w:r>
              <w:t>Program Area FTEs/Year</w:t>
            </w:r>
          </w:p>
        </w:tc>
        <w:tc>
          <w:tcPr>
            <w:tcW w:w="597" w:type="pct"/>
            <w:tcBorders>
              <w:bottom w:val="single" w:sz="4" w:space="0" w:color="auto"/>
            </w:tcBorders>
            <w:hideMark/>
          </w:tcPr>
          <w:p w:rsidR="008756AD" w:rsidRPr="00807FB9" w:rsidRDefault="008756AD" w:rsidP="00BF524B">
            <w:pPr>
              <w:pStyle w:val="TableTextCentered"/>
            </w:pPr>
            <w:r w:rsidRPr="00807FB9">
              <w:t xml:space="preserve">Average </w:t>
            </w:r>
            <w:r>
              <w:t>Point Estimate</w:t>
            </w:r>
          </w:p>
        </w:tc>
        <w:tc>
          <w:tcPr>
            <w:tcW w:w="895" w:type="pct"/>
            <w:tcBorders>
              <w:bottom w:val="single" w:sz="4" w:space="0" w:color="auto"/>
            </w:tcBorders>
            <w:hideMark/>
          </w:tcPr>
          <w:p w:rsidR="008756AD" w:rsidRPr="00807FB9" w:rsidRDefault="008756AD" w:rsidP="00BF524B">
            <w:pPr>
              <w:pStyle w:val="TableTextCentered"/>
            </w:pPr>
            <w:r w:rsidRPr="008A3727">
              <w:t>95</w:t>
            </w:r>
            <w:r>
              <w:t>%</w:t>
            </w:r>
            <w:r w:rsidRPr="008A3727">
              <w:t xml:space="preserve"> Confidence Interval</w:t>
            </w:r>
            <w:r w:rsidRPr="00235005">
              <w:t>–</w:t>
            </w:r>
            <w:r w:rsidRPr="008A3727">
              <w:t>Lower Bound</w:t>
            </w:r>
          </w:p>
        </w:tc>
        <w:tc>
          <w:tcPr>
            <w:tcW w:w="914" w:type="pct"/>
            <w:tcBorders>
              <w:bottom w:val="single" w:sz="4" w:space="0" w:color="auto"/>
            </w:tcBorders>
            <w:hideMark/>
          </w:tcPr>
          <w:p w:rsidR="008756AD" w:rsidRPr="00807FB9" w:rsidRDefault="008756AD" w:rsidP="00BF524B">
            <w:pPr>
              <w:pStyle w:val="TableTextCentered"/>
            </w:pPr>
            <w:r w:rsidRPr="008A3727">
              <w:t>95</w:t>
            </w:r>
            <w:r>
              <w:t>%</w:t>
            </w:r>
            <w:r w:rsidRPr="008A3727">
              <w:t xml:space="preserve"> Confidence Interval</w:t>
            </w:r>
            <w:r w:rsidRPr="00235005">
              <w:t>–</w:t>
            </w:r>
            <w:r w:rsidRPr="008A3727">
              <w:t>Upper Bound</w:t>
            </w:r>
          </w:p>
        </w:tc>
        <w:tc>
          <w:tcPr>
            <w:tcW w:w="818" w:type="pct"/>
            <w:tcBorders>
              <w:bottom w:val="single" w:sz="4" w:space="0" w:color="auto"/>
            </w:tcBorders>
            <w:hideMark/>
          </w:tcPr>
          <w:p w:rsidR="008756AD" w:rsidRPr="00807FB9" w:rsidRDefault="008756AD" w:rsidP="00BF524B">
            <w:pPr>
              <w:pStyle w:val="TableTextCentered"/>
            </w:pPr>
            <w:r w:rsidRPr="00807FB9">
              <w:t>Percent Above/Below Estimate</w:t>
            </w:r>
          </w:p>
        </w:tc>
        <w:tc>
          <w:tcPr>
            <w:tcW w:w="671" w:type="pct"/>
            <w:tcBorders>
              <w:bottom w:val="single" w:sz="4" w:space="0" w:color="auto"/>
            </w:tcBorders>
          </w:tcPr>
          <w:p w:rsidR="008756AD" w:rsidRPr="00807FB9" w:rsidRDefault="008756AD" w:rsidP="00BF524B">
            <w:pPr>
              <w:pStyle w:val="TableTextCentered"/>
            </w:pPr>
            <w:r w:rsidRPr="00807FB9">
              <w:t>Growth of Interval Over Time</w:t>
            </w:r>
          </w:p>
        </w:tc>
      </w:tr>
      <w:tr w:rsidR="00B70E1A" w:rsidRPr="002A055F" w:rsidTr="007820C5">
        <w:tc>
          <w:tcPr>
            <w:tcW w:w="1104" w:type="pct"/>
            <w:tcBorders>
              <w:bottom w:val="single" w:sz="4" w:space="0" w:color="auto"/>
            </w:tcBorders>
            <w:shd w:val="clear" w:color="auto" w:fill="D9E3ED" w:themeFill="accent1" w:themeFillTint="33"/>
            <w:hideMark/>
          </w:tcPr>
          <w:p w:rsidR="008756AD" w:rsidRPr="0044505A" w:rsidRDefault="008756AD" w:rsidP="003C50C4">
            <w:pPr>
              <w:pStyle w:val="TableText"/>
              <w:jc w:val="center"/>
            </w:pPr>
            <w:proofErr w:type="spellStart"/>
            <w:r>
              <w:t>GenED</w:t>
            </w:r>
            <w:proofErr w:type="spellEnd"/>
          </w:p>
        </w:tc>
        <w:tc>
          <w:tcPr>
            <w:tcW w:w="597"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895"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914"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818"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671" w:type="pct"/>
            <w:tcBorders>
              <w:bottom w:val="single" w:sz="4" w:space="0" w:color="auto"/>
            </w:tcBorders>
            <w:shd w:val="clear" w:color="auto" w:fill="D9E3ED" w:themeFill="accent1" w:themeFillTint="33"/>
          </w:tcPr>
          <w:p w:rsidR="008756AD" w:rsidRPr="00807FB9" w:rsidRDefault="008756AD" w:rsidP="00BF524B">
            <w:pPr>
              <w:pStyle w:val="TableTextCentered"/>
            </w:pPr>
          </w:p>
        </w:tc>
      </w:tr>
      <w:tr w:rsidR="008756AD" w:rsidRPr="002A055F" w:rsidTr="00085539">
        <w:tc>
          <w:tcPr>
            <w:tcW w:w="1104" w:type="pct"/>
            <w:tcBorders>
              <w:bottom w:val="single" w:sz="4" w:space="0" w:color="auto"/>
            </w:tcBorders>
            <w:hideMark/>
          </w:tcPr>
          <w:p w:rsidR="008756AD" w:rsidRPr="00807FB9" w:rsidRDefault="008756AD" w:rsidP="003C50C4">
            <w:pPr>
              <w:pStyle w:val="TableText"/>
              <w:jc w:val="center"/>
            </w:pPr>
            <w:r w:rsidRPr="00807FB9">
              <w:t>20</w:t>
            </w:r>
            <w:r>
              <w:t>14–</w:t>
            </w:r>
            <w:r w:rsidRPr="00807FB9">
              <w:t>15</w:t>
            </w:r>
          </w:p>
        </w:tc>
        <w:tc>
          <w:tcPr>
            <w:tcW w:w="597" w:type="pct"/>
            <w:tcBorders>
              <w:bottom w:val="single" w:sz="4" w:space="0" w:color="auto"/>
            </w:tcBorders>
            <w:noWrap/>
            <w:hideMark/>
          </w:tcPr>
          <w:p w:rsidR="008756AD" w:rsidRPr="00807FB9" w:rsidRDefault="008756AD" w:rsidP="00BF524B">
            <w:pPr>
              <w:pStyle w:val="TableTextCentered"/>
            </w:pPr>
            <w:r>
              <w:t>170.2</w:t>
            </w:r>
          </w:p>
        </w:tc>
        <w:tc>
          <w:tcPr>
            <w:tcW w:w="895" w:type="pct"/>
            <w:tcBorders>
              <w:bottom w:val="single" w:sz="4" w:space="0" w:color="auto"/>
            </w:tcBorders>
            <w:noWrap/>
            <w:hideMark/>
          </w:tcPr>
          <w:p w:rsidR="008756AD" w:rsidRPr="00807FB9" w:rsidRDefault="008756AD" w:rsidP="00BF524B">
            <w:pPr>
              <w:pStyle w:val="TableTextCentered"/>
            </w:pPr>
            <w:r>
              <w:t>166.5</w:t>
            </w:r>
          </w:p>
        </w:tc>
        <w:tc>
          <w:tcPr>
            <w:tcW w:w="914" w:type="pct"/>
            <w:tcBorders>
              <w:bottom w:val="single" w:sz="4" w:space="0" w:color="auto"/>
            </w:tcBorders>
            <w:noWrap/>
            <w:hideMark/>
          </w:tcPr>
          <w:p w:rsidR="008756AD" w:rsidRPr="00807FB9" w:rsidRDefault="008756AD" w:rsidP="00BF524B">
            <w:pPr>
              <w:pStyle w:val="TableTextCentered"/>
            </w:pPr>
            <w:r>
              <w:t>173.9</w:t>
            </w:r>
          </w:p>
        </w:tc>
        <w:tc>
          <w:tcPr>
            <w:tcW w:w="818" w:type="pct"/>
            <w:tcBorders>
              <w:bottom w:val="single" w:sz="4" w:space="0" w:color="auto"/>
            </w:tcBorders>
            <w:noWrap/>
            <w:hideMark/>
          </w:tcPr>
          <w:p w:rsidR="008756AD" w:rsidRPr="00807FB9" w:rsidRDefault="008756AD" w:rsidP="00BF524B">
            <w:pPr>
              <w:pStyle w:val="TableTextCentered"/>
            </w:pPr>
            <w:r>
              <w:t xml:space="preserve">+/- </w:t>
            </w:r>
            <w:r w:rsidRPr="00807FB9">
              <w:t>2%</w:t>
            </w:r>
          </w:p>
        </w:tc>
        <w:tc>
          <w:tcPr>
            <w:tcW w:w="671" w:type="pct"/>
            <w:vMerge w:val="restart"/>
          </w:tcPr>
          <w:p w:rsidR="008756AD" w:rsidRPr="00807FB9" w:rsidRDefault="008756AD" w:rsidP="00BF524B">
            <w:pPr>
              <w:pStyle w:val="TableTextCentered"/>
            </w:pPr>
            <w:r>
              <w:t>3.66</w:t>
            </w:r>
          </w:p>
        </w:tc>
      </w:tr>
      <w:tr w:rsidR="008756AD" w:rsidRPr="002A055F" w:rsidTr="00085539">
        <w:tc>
          <w:tcPr>
            <w:tcW w:w="1104" w:type="pct"/>
            <w:tcBorders>
              <w:bottom w:val="single" w:sz="4" w:space="0" w:color="auto"/>
            </w:tcBorders>
            <w:hideMark/>
          </w:tcPr>
          <w:p w:rsidR="008756AD" w:rsidRPr="00807FB9" w:rsidRDefault="008756AD" w:rsidP="003C50C4">
            <w:pPr>
              <w:pStyle w:val="TableText"/>
              <w:jc w:val="center"/>
            </w:pPr>
            <w:r w:rsidRPr="00807FB9">
              <w:t>20</w:t>
            </w:r>
            <w:r>
              <w:t>23–</w:t>
            </w:r>
            <w:r w:rsidRPr="00807FB9">
              <w:t>24</w:t>
            </w:r>
          </w:p>
        </w:tc>
        <w:tc>
          <w:tcPr>
            <w:tcW w:w="597" w:type="pct"/>
            <w:tcBorders>
              <w:bottom w:val="single" w:sz="4" w:space="0" w:color="auto"/>
            </w:tcBorders>
            <w:noWrap/>
            <w:hideMark/>
          </w:tcPr>
          <w:p w:rsidR="008756AD" w:rsidRPr="00807FB9" w:rsidRDefault="008756AD" w:rsidP="00BF524B">
            <w:pPr>
              <w:pStyle w:val="TableTextCentered"/>
            </w:pPr>
            <w:r>
              <w:t>181.1</w:t>
            </w:r>
          </w:p>
        </w:tc>
        <w:tc>
          <w:tcPr>
            <w:tcW w:w="895" w:type="pct"/>
            <w:tcBorders>
              <w:bottom w:val="single" w:sz="4" w:space="0" w:color="auto"/>
            </w:tcBorders>
            <w:noWrap/>
            <w:hideMark/>
          </w:tcPr>
          <w:p w:rsidR="008756AD" w:rsidRPr="00807FB9" w:rsidRDefault="008756AD" w:rsidP="00BF524B">
            <w:pPr>
              <w:pStyle w:val="TableTextCentered"/>
            </w:pPr>
            <w:r>
              <w:t>167.5</w:t>
            </w:r>
          </w:p>
        </w:tc>
        <w:tc>
          <w:tcPr>
            <w:tcW w:w="914" w:type="pct"/>
            <w:tcBorders>
              <w:bottom w:val="single" w:sz="4" w:space="0" w:color="auto"/>
            </w:tcBorders>
            <w:noWrap/>
            <w:hideMark/>
          </w:tcPr>
          <w:p w:rsidR="008756AD" w:rsidRPr="00807FB9" w:rsidRDefault="008756AD" w:rsidP="00BF524B">
            <w:pPr>
              <w:pStyle w:val="TableTextCentered"/>
            </w:pPr>
            <w:r>
              <w:t>194.6</w:t>
            </w:r>
          </w:p>
        </w:tc>
        <w:tc>
          <w:tcPr>
            <w:tcW w:w="818" w:type="pct"/>
            <w:tcBorders>
              <w:bottom w:val="single" w:sz="4" w:space="0" w:color="auto"/>
            </w:tcBorders>
            <w:noWrap/>
            <w:hideMark/>
          </w:tcPr>
          <w:p w:rsidR="008756AD" w:rsidRPr="00807FB9" w:rsidRDefault="008756AD" w:rsidP="00BF524B">
            <w:pPr>
              <w:pStyle w:val="TableTextCentered"/>
            </w:pPr>
            <w:r>
              <w:t xml:space="preserve">+/- </w:t>
            </w:r>
            <w:r w:rsidRPr="00807FB9">
              <w:t>7%</w:t>
            </w:r>
          </w:p>
        </w:tc>
        <w:tc>
          <w:tcPr>
            <w:tcW w:w="671" w:type="pct"/>
            <w:vMerge/>
            <w:tcBorders>
              <w:bottom w:val="single" w:sz="4" w:space="0" w:color="auto"/>
            </w:tcBorders>
          </w:tcPr>
          <w:p w:rsidR="008756AD" w:rsidRPr="00807FB9" w:rsidRDefault="008756AD" w:rsidP="00BF524B">
            <w:pPr>
              <w:pStyle w:val="TableTextCentered"/>
            </w:pPr>
          </w:p>
        </w:tc>
      </w:tr>
      <w:tr w:rsidR="00B70E1A" w:rsidRPr="002A055F" w:rsidTr="007820C5">
        <w:tc>
          <w:tcPr>
            <w:tcW w:w="1104" w:type="pct"/>
            <w:tcBorders>
              <w:bottom w:val="single" w:sz="4" w:space="0" w:color="auto"/>
            </w:tcBorders>
            <w:shd w:val="clear" w:color="auto" w:fill="D9E3ED" w:themeFill="accent1" w:themeFillTint="33"/>
            <w:noWrap/>
            <w:hideMark/>
          </w:tcPr>
          <w:p w:rsidR="008756AD" w:rsidRPr="0044505A" w:rsidRDefault="008756AD" w:rsidP="003C50C4">
            <w:pPr>
              <w:pStyle w:val="TableText"/>
              <w:jc w:val="center"/>
            </w:pPr>
            <w:r>
              <w:t>SPED</w:t>
            </w:r>
          </w:p>
        </w:tc>
        <w:tc>
          <w:tcPr>
            <w:tcW w:w="597"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895"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914"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818"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671" w:type="pct"/>
            <w:tcBorders>
              <w:bottom w:val="single" w:sz="4" w:space="0" w:color="auto"/>
            </w:tcBorders>
            <w:shd w:val="clear" w:color="auto" w:fill="D9E3ED" w:themeFill="accent1" w:themeFillTint="33"/>
          </w:tcPr>
          <w:p w:rsidR="008756AD" w:rsidRPr="00807FB9" w:rsidRDefault="008756AD" w:rsidP="00BF524B">
            <w:pPr>
              <w:pStyle w:val="TableTextCentered"/>
            </w:pPr>
          </w:p>
        </w:tc>
      </w:tr>
      <w:tr w:rsidR="008756AD" w:rsidRPr="002A055F" w:rsidTr="00085539">
        <w:tc>
          <w:tcPr>
            <w:tcW w:w="1104" w:type="pct"/>
            <w:tcBorders>
              <w:bottom w:val="single" w:sz="4" w:space="0" w:color="auto"/>
            </w:tcBorders>
            <w:hideMark/>
          </w:tcPr>
          <w:p w:rsidR="008756AD" w:rsidRPr="00807FB9" w:rsidRDefault="008756AD" w:rsidP="003C50C4">
            <w:pPr>
              <w:pStyle w:val="TableText"/>
              <w:jc w:val="center"/>
            </w:pPr>
            <w:r w:rsidRPr="00C20B19">
              <w:t>20</w:t>
            </w:r>
            <w:r>
              <w:t>14–</w:t>
            </w:r>
            <w:r w:rsidRPr="00C20B19">
              <w:t>15</w:t>
            </w:r>
          </w:p>
        </w:tc>
        <w:tc>
          <w:tcPr>
            <w:tcW w:w="597" w:type="pct"/>
            <w:tcBorders>
              <w:bottom w:val="single" w:sz="4" w:space="0" w:color="auto"/>
            </w:tcBorders>
            <w:noWrap/>
            <w:hideMark/>
          </w:tcPr>
          <w:p w:rsidR="008756AD" w:rsidRPr="00807FB9" w:rsidRDefault="008756AD" w:rsidP="00BF524B">
            <w:pPr>
              <w:pStyle w:val="TableTextCentered"/>
            </w:pPr>
            <w:r>
              <w:t>25.6</w:t>
            </w:r>
          </w:p>
        </w:tc>
        <w:tc>
          <w:tcPr>
            <w:tcW w:w="895" w:type="pct"/>
            <w:tcBorders>
              <w:bottom w:val="single" w:sz="4" w:space="0" w:color="auto"/>
            </w:tcBorders>
            <w:noWrap/>
            <w:hideMark/>
          </w:tcPr>
          <w:p w:rsidR="008756AD" w:rsidRPr="00807FB9" w:rsidRDefault="008756AD" w:rsidP="00BF524B">
            <w:pPr>
              <w:pStyle w:val="TableTextCentered"/>
            </w:pPr>
            <w:r>
              <w:t>22.7</w:t>
            </w:r>
          </w:p>
        </w:tc>
        <w:tc>
          <w:tcPr>
            <w:tcW w:w="914" w:type="pct"/>
            <w:tcBorders>
              <w:bottom w:val="single" w:sz="4" w:space="0" w:color="auto"/>
            </w:tcBorders>
            <w:noWrap/>
            <w:hideMark/>
          </w:tcPr>
          <w:p w:rsidR="008756AD" w:rsidRPr="00807FB9" w:rsidRDefault="008756AD" w:rsidP="00BF524B">
            <w:pPr>
              <w:pStyle w:val="TableTextCentered"/>
            </w:pPr>
            <w:r>
              <w:t>28.5</w:t>
            </w:r>
          </w:p>
        </w:tc>
        <w:tc>
          <w:tcPr>
            <w:tcW w:w="818" w:type="pct"/>
            <w:tcBorders>
              <w:bottom w:val="single" w:sz="4" w:space="0" w:color="auto"/>
            </w:tcBorders>
            <w:noWrap/>
            <w:hideMark/>
          </w:tcPr>
          <w:p w:rsidR="008756AD" w:rsidRPr="00807FB9" w:rsidRDefault="008756AD" w:rsidP="00BF524B">
            <w:pPr>
              <w:pStyle w:val="TableTextCentered"/>
            </w:pPr>
            <w:r>
              <w:t xml:space="preserve">+/- </w:t>
            </w:r>
            <w:r w:rsidRPr="00807FB9">
              <w:t>11%</w:t>
            </w:r>
          </w:p>
        </w:tc>
        <w:tc>
          <w:tcPr>
            <w:tcW w:w="671" w:type="pct"/>
            <w:vMerge w:val="restart"/>
          </w:tcPr>
          <w:p w:rsidR="008756AD" w:rsidRPr="00807FB9" w:rsidRDefault="008756AD" w:rsidP="00BF524B">
            <w:pPr>
              <w:pStyle w:val="TableTextCentered"/>
            </w:pPr>
            <w:r>
              <w:t>1.84</w:t>
            </w:r>
          </w:p>
        </w:tc>
      </w:tr>
      <w:tr w:rsidR="008756AD" w:rsidRPr="002A055F" w:rsidTr="00085539">
        <w:tc>
          <w:tcPr>
            <w:tcW w:w="1104" w:type="pct"/>
            <w:tcBorders>
              <w:bottom w:val="single" w:sz="4" w:space="0" w:color="auto"/>
            </w:tcBorders>
            <w:hideMark/>
          </w:tcPr>
          <w:p w:rsidR="008756AD" w:rsidRPr="00807FB9" w:rsidRDefault="008756AD" w:rsidP="003C50C4">
            <w:pPr>
              <w:pStyle w:val="TableText"/>
              <w:jc w:val="center"/>
            </w:pPr>
            <w:r w:rsidRPr="00C20B19">
              <w:t>20</w:t>
            </w:r>
            <w:r>
              <w:t>23–</w:t>
            </w:r>
            <w:r w:rsidRPr="00C20B19">
              <w:t>24</w:t>
            </w:r>
          </w:p>
        </w:tc>
        <w:tc>
          <w:tcPr>
            <w:tcW w:w="597" w:type="pct"/>
            <w:tcBorders>
              <w:bottom w:val="single" w:sz="4" w:space="0" w:color="auto"/>
            </w:tcBorders>
            <w:noWrap/>
            <w:hideMark/>
          </w:tcPr>
          <w:p w:rsidR="008756AD" w:rsidRPr="00807FB9" w:rsidRDefault="008756AD" w:rsidP="00BF524B">
            <w:pPr>
              <w:pStyle w:val="TableTextCentered"/>
            </w:pPr>
            <w:r>
              <w:t>20.6</w:t>
            </w:r>
          </w:p>
        </w:tc>
        <w:tc>
          <w:tcPr>
            <w:tcW w:w="895" w:type="pct"/>
            <w:tcBorders>
              <w:bottom w:val="single" w:sz="4" w:space="0" w:color="auto"/>
            </w:tcBorders>
            <w:noWrap/>
            <w:hideMark/>
          </w:tcPr>
          <w:p w:rsidR="008756AD" w:rsidRPr="00807FB9" w:rsidRDefault="008756AD" w:rsidP="00BF524B">
            <w:pPr>
              <w:pStyle w:val="TableTextCentered"/>
            </w:pPr>
            <w:r>
              <w:t>15.2</w:t>
            </w:r>
          </w:p>
        </w:tc>
        <w:tc>
          <w:tcPr>
            <w:tcW w:w="914" w:type="pct"/>
            <w:tcBorders>
              <w:bottom w:val="single" w:sz="4" w:space="0" w:color="auto"/>
            </w:tcBorders>
            <w:noWrap/>
            <w:hideMark/>
          </w:tcPr>
          <w:p w:rsidR="008756AD" w:rsidRPr="00807FB9" w:rsidRDefault="008756AD" w:rsidP="00BF524B">
            <w:pPr>
              <w:pStyle w:val="TableTextCentered"/>
            </w:pPr>
            <w:r>
              <w:t>26.0</w:t>
            </w:r>
          </w:p>
        </w:tc>
        <w:tc>
          <w:tcPr>
            <w:tcW w:w="818" w:type="pct"/>
            <w:tcBorders>
              <w:bottom w:val="single" w:sz="4" w:space="0" w:color="auto"/>
            </w:tcBorders>
            <w:noWrap/>
            <w:hideMark/>
          </w:tcPr>
          <w:p w:rsidR="008756AD" w:rsidRPr="00807FB9" w:rsidRDefault="008756AD" w:rsidP="00BF524B">
            <w:pPr>
              <w:pStyle w:val="TableTextCentered"/>
            </w:pPr>
            <w:r>
              <w:t xml:space="preserve">+/- </w:t>
            </w:r>
            <w:r w:rsidRPr="00807FB9">
              <w:t>26%</w:t>
            </w:r>
          </w:p>
        </w:tc>
        <w:tc>
          <w:tcPr>
            <w:tcW w:w="671" w:type="pct"/>
            <w:vMerge/>
            <w:tcBorders>
              <w:bottom w:val="single" w:sz="4" w:space="0" w:color="auto"/>
            </w:tcBorders>
          </w:tcPr>
          <w:p w:rsidR="008756AD" w:rsidRPr="00807FB9" w:rsidRDefault="008756AD" w:rsidP="00BF524B">
            <w:pPr>
              <w:pStyle w:val="TableTextCentered"/>
            </w:pPr>
          </w:p>
        </w:tc>
      </w:tr>
      <w:tr w:rsidR="00B70E1A" w:rsidRPr="002A055F" w:rsidTr="007820C5">
        <w:tc>
          <w:tcPr>
            <w:tcW w:w="1104" w:type="pct"/>
            <w:tcBorders>
              <w:bottom w:val="single" w:sz="4" w:space="0" w:color="auto"/>
            </w:tcBorders>
            <w:shd w:val="clear" w:color="auto" w:fill="D9E3ED" w:themeFill="accent1" w:themeFillTint="33"/>
            <w:hideMark/>
          </w:tcPr>
          <w:p w:rsidR="008756AD" w:rsidRPr="0044505A" w:rsidRDefault="008756AD" w:rsidP="003C50C4">
            <w:pPr>
              <w:pStyle w:val="TableText"/>
              <w:jc w:val="center"/>
            </w:pPr>
            <w:r w:rsidRPr="0044505A">
              <w:t>CTE</w:t>
            </w:r>
          </w:p>
        </w:tc>
        <w:tc>
          <w:tcPr>
            <w:tcW w:w="597"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895"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914"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818"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671" w:type="pct"/>
            <w:tcBorders>
              <w:bottom w:val="single" w:sz="4" w:space="0" w:color="auto"/>
            </w:tcBorders>
            <w:shd w:val="clear" w:color="auto" w:fill="D9E3ED" w:themeFill="accent1" w:themeFillTint="33"/>
          </w:tcPr>
          <w:p w:rsidR="008756AD" w:rsidRPr="00807FB9" w:rsidRDefault="008756AD" w:rsidP="00BF524B">
            <w:pPr>
              <w:pStyle w:val="TableTextCentered"/>
            </w:pPr>
          </w:p>
        </w:tc>
      </w:tr>
      <w:tr w:rsidR="008756AD" w:rsidRPr="002A055F" w:rsidTr="00085539">
        <w:tc>
          <w:tcPr>
            <w:tcW w:w="1104" w:type="pct"/>
            <w:tcBorders>
              <w:bottom w:val="single" w:sz="4" w:space="0" w:color="auto"/>
            </w:tcBorders>
            <w:hideMark/>
          </w:tcPr>
          <w:p w:rsidR="008756AD" w:rsidRPr="00807FB9" w:rsidRDefault="008756AD" w:rsidP="003C50C4">
            <w:pPr>
              <w:pStyle w:val="TableText"/>
              <w:jc w:val="center"/>
            </w:pPr>
            <w:r w:rsidRPr="00C20B19">
              <w:t>20</w:t>
            </w:r>
            <w:r>
              <w:t>14–</w:t>
            </w:r>
            <w:r w:rsidRPr="00C20B19">
              <w:t>15</w:t>
            </w:r>
          </w:p>
        </w:tc>
        <w:tc>
          <w:tcPr>
            <w:tcW w:w="597" w:type="pct"/>
            <w:tcBorders>
              <w:bottom w:val="single" w:sz="4" w:space="0" w:color="auto"/>
            </w:tcBorders>
            <w:noWrap/>
            <w:hideMark/>
          </w:tcPr>
          <w:p w:rsidR="008756AD" w:rsidRPr="00807FB9" w:rsidRDefault="008756AD" w:rsidP="00BF524B">
            <w:pPr>
              <w:pStyle w:val="TableTextCentered"/>
            </w:pPr>
            <w:r>
              <w:t>5.9</w:t>
            </w:r>
          </w:p>
        </w:tc>
        <w:tc>
          <w:tcPr>
            <w:tcW w:w="895" w:type="pct"/>
            <w:tcBorders>
              <w:bottom w:val="single" w:sz="4" w:space="0" w:color="auto"/>
            </w:tcBorders>
            <w:noWrap/>
            <w:hideMark/>
          </w:tcPr>
          <w:p w:rsidR="008756AD" w:rsidRPr="00807FB9" w:rsidRDefault="008756AD" w:rsidP="00BF524B">
            <w:pPr>
              <w:pStyle w:val="TableTextCentered"/>
            </w:pPr>
            <w:r>
              <w:t>5.3</w:t>
            </w:r>
          </w:p>
        </w:tc>
        <w:tc>
          <w:tcPr>
            <w:tcW w:w="914" w:type="pct"/>
            <w:tcBorders>
              <w:bottom w:val="single" w:sz="4" w:space="0" w:color="auto"/>
            </w:tcBorders>
            <w:noWrap/>
            <w:hideMark/>
          </w:tcPr>
          <w:p w:rsidR="008756AD" w:rsidRPr="00807FB9" w:rsidRDefault="008756AD" w:rsidP="00BF524B">
            <w:pPr>
              <w:pStyle w:val="TableTextCentered"/>
            </w:pPr>
            <w:r>
              <w:t>6.5</w:t>
            </w:r>
          </w:p>
        </w:tc>
        <w:tc>
          <w:tcPr>
            <w:tcW w:w="818" w:type="pct"/>
            <w:tcBorders>
              <w:bottom w:val="single" w:sz="4" w:space="0" w:color="auto"/>
            </w:tcBorders>
            <w:noWrap/>
            <w:hideMark/>
          </w:tcPr>
          <w:p w:rsidR="008756AD" w:rsidRPr="00807FB9" w:rsidRDefault="008756AD" w:rsidP="00BF524B">
            <w:pPr>
              <w:pStyle w:val="TableTextCentered"/>
            </w:pPr>
            <w:r>
              <w:t xml:space="preserve">+/- </w:t>
            </w:r>
            <w:r w:rsidRPr="00807FB9">
              <w:t>10%</w:t>
            </w:r>
          </w:p>
        </w:tc>
        <w:tc>
          <w:tcPr>
            <w:tcW w:w="671" w:type="pct"/>
            <w:vMerge w:val="restart"/>
          </w:tcPr>
          <w:p w:rsidR="008756AD" w:rsidRPr="00807FB9" w:rsidRDefault="008756AD" w:rsidP="00BF524B">
            <w:pPr>
              <w:pStyle w:val="TableTextCentered"/>
            </w:pPr>
            <w:r>
              <w:t>3.71</w:t>
            </w:r>
          </w:p>
        </w:tc>
      </w:tr>
      <w:tr w:rsidR="008756AD" w:rsidRPr="002A055F" w:rsidTr="00085539">
        <w:tc>
          <w:tcPr>
            <w:tcW w:w="1104" w:type="pct"/>
            <w:tcBorders>
              <w:bottom w:val="single" w:sz="4" w:space="0" w:color="auto"/>
            </w:tcBorders>
            <w:hideMark/>
          </w:tcPr>
          <w:p w:rsidR="008756AD" w:rsidRPr="00807FB9" w:rsidRDefault="008756AD" w:rsidP="003C50C4">
            <w:pPr>
              <w:pStyle w:val="TableText"/>
              <w:jc w:val="center"/>
            </w:pPr>
            <w:r w:rsidRPr="00C20B19">
              <w:t>20</w:t>
            </w:r>
            <w:r>
              <w:t>23–</w:t>
            </w:r>
            <w:r w:rsidRPr="00C20B19">
              <w:t>24</w:t>
            </w:r>
          </w:p>
        </w:tc>
        <w:tc>
          <w:tcPr>
            <w:tcW w:w="597" w:type="pct"/>
            <w:tcBorders>
              <w:bottom w:val="single" w:sz="4" w:space="0" w:color="auto"/>
            </w:tcBorders>
            <w:noWrap/>
            <w:hideMark/>
          </w:tcPr>
          <w:p w:rsidR="008756AD" w:rsidRPr="00807FB9" w:rsidRDefault="008756AD" w:rsidP="00BF524B">
            <w:pPr>
              <w:pStyle w:val="TableTextCentered"/>
            </w:pPr>
            <w:r>
              <w:t>5.6</w:t>
            </w:r>
          </w:p>
        </w:tc>
        <w:tc>
          <w:tcPr>
            <w:tcW w:w="895" w:type="pct"/>
            <w:tcBorders>
              <w:bottom w:val="single" w:sz="4" w:space="0" w:color="auto"/>
            </w:tcBorders>
            <w:noWrap/>
            <w:hideMark/>
          </w:tcPr>
          <w:p w:rsidR="008756AD" w:rsidRPr="00807FB9" w:rsidRDefault="008756AD" w:rsidP="00BF524B">
            <w:pPr>
              <w:pStyle w:val="TableTextCentered"/>
            </w:pPr>
            <w:r>
              <w:t>3.2</w:t>
            </w:r>
          </w:p>
        </w:tc>
        <w:tc>
          <w:tcPr>
            <w:tcW w:w="914" w:type="pct"/>
            <w:tcBorders>
              <w:bottom w:val="single" w:sz="4" w:space="0" w:color="auto"/>
            </w:tcBorders>
            <w:noWrap/>
            <w:hideMark/>
          </w:tcPr>
          <w:p w:rsidR="008756AD" w:rsidRPr="00807FB9" w:rsidRDefault="008756AD" w:rsidP="00BF524B">
            <w:pPr>
              <w:pStyle w:val="TableTextCentered"/>
            </w:pPr>
            <w:r>
              <w:t>7.9</w:t>
            </w:r>
          </w:p>
        </w:tc>
        <w:tc>
          <w:tcPr>
            <w:tcW w:w="818" w:type="pct"/>
            <w:tcBorders>
              <w:bottom w:val="single" w:sz="4" w:space="0" w:color="auto"/>
            </w:tcBorders>
            <w:noWrap/>
            <w:hideMark/>
          </w:tcPr>
          <w:p w:rsidR="008756AD" w:rsidRPr="00807FB9" w:rsidRDefault="008756AD" w:rsidP="00BF524B">
            <w:pPr>
              <w:pStyle w:val="TableTextCentered"/>
            </w:pPr>
            <w:r>
              <w:t xml:space="preserve">+/- </w:t>
            </w:r>
            <w:r w:rsidRPr="00807FB9">
              <w:t>42%</w:t>
            </w:r>
          </w:p>
        </w:tc>
        <w:tc>
          <w:tcPr>
            <w:tcW w:w="671" w:type="pct"/>
            <w:vMerge/>
            <w:tcBorders>
              <w:bottom w:val="single" w:sz="4" w:space="0" w:color="auto"/>
            </w:tcBorders>
          </w:tcPr>
          <w:p w:rsidR="008756AD" w:rsidRPr="00807FB9" w:rsidRDefault="008756AD" w:rsidP="00BF524B">
            <w:pPr>
              <w:pStyle w:val="TableTextCentered"/>
            </w:pPr>
          </w:p>
        </w:tc>
      </w:tr>
      <w:tr w:rsidR="00B70E1A" w:rsidRPr="002A055F" w:rsidTr="007820C5">
        <w:tc>
          <w:tcPr>
            <w:tcW w:w="1104" w:type="pct"/>
            <w:tcBorders>
              <w:bottom w:val="single" w:sz="4" w:space="0" w:color="auto"/>
            </w:tcBorders>
            <w:shd w:val="clear" w:color="auto" w:fill="D9E3ED" w:themeFill="accent1" w:themeFillTint="33"/>
            <w:hideMark/>
          </w:tcPr>
          <w:p w:rsidR="008756AD" w:rsidRPr="0044505A" w:rsidRDefault="008756AD" w:rsidP="003C50C4">
            <w:pPr>
              <w:pStyle w:val="TableText"/>
              <w:jc w:val="center"/>
            </w:pPr>
            <w:r w:rsidRPr="0044505A">
              <w:t>ELL</w:t>
            </w:r>
          </w:p>
        </w:tc>
        <w:tc>
          <w:tcPr>
            <w:tcW w:w="597"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895"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914"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818" w:type="pct"/>
            <w:tcBorders>
              <w:bottom w:val="single" w:sz="4" w:space="0" w:color="auto"/>
            </w:tcBorders>
            <w:shd w:val="clear" w:color="auto" w:fill="D9E3ED" w:themeFill="accent1" w:themeFillTint="33"/>
            <w:noWrap/>
            <w:hideMark/>
          </w:tcPr>
          <w:p w:rsidR="008756AD" w:rsidRPr="00807FB9" w:rsidRDefault="008756AD" w:rsidP="00BF524B">
            <w:pPr>
              <w:pStyle w:val="TableTextCentered"/>
            </w:pPr>
          </w:p>
        </w:tc>
        <w:tc>
          <w:tcPr>
            <w:tcW w:w="671" w:type="pct"/>
            <w:tcBorders>
              <w:bottom w:val="single" w:sz="4" w:space="0" w:color="auto"/>
            </w:tcBorders>
            <w:shd w:val="clear" w:color="auto" w:fill="D9E3ED" w:themeFill="accent1" w:themeFillTint="33"/>
          </w:tcPr>
          <w:p w:rsidR="008756AD" w:rsidRPr="00807FB9" w:rsidRDefault="008756AD" w:rsidP="00BF524B">
            <w:pPr>
              <w:pStyle w:val="TableTextCentered"/>
            </w:pPr>
          </w:p>
        </w:tc>
      </w:tr>
      <w:tr w:rsidR="008756AD" w:rsidRPr="002A055F" w:rsidTr="00085539">
        <w:tc>
          <w:tcPr>
            <w:tcW w:w="1104" w:type="pct"/>
            <w:tcBorders>
              <w:bottom w:val="single" w:sz="4" w:space="0" w:color="auto"/>
            </w:tcBorders>
            <w:hideMark/>
          </w:tcPr>
          <w:p w:rsidR="008756AD" w:rsidRPr="00807FB9" w:rsidRDefault="008756AD" w:rsidP="003C50C4">
            <w:pPr>
              <w:pStyle w:val="TableText"/>
              <w:jc w:val="center"/>
            </w:pPr>
            <w:r w:rsidRPr="00C20B19">
              <w:t>20</w:t>
            </w:r>
            <w:r>
              <w:t>14-</w:t>
            </w:r>
            <w:r w:rsidRPr="00C20B19">
              <w:t>15</w:t>
            </w:r>
          </w:p>
        </w:tc>
        <w:tc>
          <w:tcPr>
            <w:tcW w:w="597" w:type="pct"/>
            <w:tcBorders>
              <w:bottom w:val="single" w:sz="4" w:space="0" w:color="auto"/>
            </w:tcBorders>
            <w:noWrap/>
            <w:hideMark/>
          </w:tcPr>
          <w:p w:rsidR="008756AD" w:rsidRPr="00807FB9" w:rsidRDefault="008756AD" w:rsidP="00BF524B">
            <w:pPr>
              <w:pStyle w:val="TableTextCentered"/>
            </w:pPr>
            <w:r>
              <w:t>4.1</w:t>
            </w:r>
          </w:p>
        </w:tc>
        <w:tc>
          <w:tcPr>
            <w:tcW w:w="895" w:type="pct"/>
            <w:tcBorders>
              <w:bottom w:val="single" w:sz="4" w:space="0" w:color="auto"/>
            </w:tcBorders>
            <w:noWrap/>
            <w:hideMark/>
          </w:tcPr>
          <w:p w:rsidR="008756AD" w:rsidRPr="00807FB9" w:rsidRDefault="008756AD" w:rsidP="00BF524B">
            <w:pPr>
              <w:pStyle w:val="TableTextCentered"/>
            </w:pPr>
            <w:r>
              <w:t>3.2</w:t>
            </w:r>
          </w:p>
        </w:tc>
        <w:tc>
          <w:tcPr>
            <w:tcW w:w="914" w:type="pct"/>
            <w:tcBorders>
              <w:bottom w:val="single" w:sz="4" w:space="0" w:color="auto"/>
            </w:tcBorders>
            <w:noWrap/>
            <w:hideMark/>
          </w:tcPr>
          <w:p w:rsidR="008756AD" w:rsidRPr="00807FB9" w:rsidRDefault="008756AD" w:rsidP="00BF524B">
            <w:pPr>
              <w:pStyle w:val="TableTextCentered"/>
            </w:pPr>
            <w:r>
              <w:t>5.0</w:t>
            </w:r>
          </w:p>
        </w:tc>
        <w:tc>
          <w:tcPr>
            <w:tcW w:w="818" w:type="pct"/>
            <w:tcBorders>
              <w:bottom w:val="single" w:sz="4" w:space="0" w:color="auto"/>
            </w:tcBorders>
            <w:noWrap/>
            <w:hideMark/>
          </w:tcPr>
          <w:p w:rsidR="008756AD" w:rsidRPr="00807FB9" w:rsidRDefault="008756AD" w:rsidP="00BF524B">
            <w:pPr>
              <w:pStyle w:val="TableTextCentered"/>
            </w:pPr>
            <w:r>
              <w:t xml:space="preserve">+/- </w:t>
            </w:r>
            <w:r w:rsidRPr="00807FB9">
              <w:t>22%</w:t>
            </w:r>
          </w:p>
        </w:tc>
        <w:tc>
          <w:tcPr>
            <w:tcW w:w="671" w:type="pct"/>
            <w:vMerge w:val="restart"/>
          </w:tcPr>
          <w:p w:rsidR="008756AD" w:rsidRPr="00807FB9" w:rsidRDefault="008756AD" w:rsidP="00BF524B">
            <w:pPr>
              <w:pStyle w:val="TableTextCentered"/>
            </w:pPr>
            <w:r>
              <w:t>1.83</w:t>
            </w:r>
          </w:p>
        </w:tc>
      </w:tr>
      <w:tr w:rsidR="008756AD" w:rsidRPr="002A055F" w:rsidTr="00085539">
        <w:tc>
          <w:tcPr>
            <w:tcW w:w="1104" w:type="pct"/>
            <w:hideMark/>
          </w:tcPr>
          <w:p w:rsidR="008756AD" w:rsidRPr="00807FB9" w:rsidRDefault="008756AD" w:rsidP="003C50C4">
            <w:pPr>
              <w:pStyle w:val="TableText"/>
              <w:jc w:val="center"/>
            </w:pPr>
            <w:r w:rsidRPr="00C20B19">
              <w:t>20</w:t>
            </w:r>
            <w:r>
              <w:t>23-</w:t>
            </w:r>
            <w:r w:rsidRPr="00C20B19">
              <w:t>24</w:t>
            </w:r>
          </w:p>
        </w:tc>
        <w:tc>
          <w:tcPr>
            <w:tcW w:w="597" w:type="pct"/>
            <w:noWrap/>
            <w:hideMark/>
          </w:tcPr>
          <w:p w:rsidR="008756AD" w:rsidRPr="00807FB9" w:rsidRDefault="008756AD" w:rsidP="00BF524B">
            <w:pPr>
              <w:pStyle w:val="TableTextCentered"/>
            </w:pPr>
            <w:r>
              <w:t>3.4</w:t>
            </w:r>
          </w:p>
        </w:tc>
        <w:tc>
          <w:tcPr>
            <w:tcW w:w="895" w:type="pct"/>
            <w:noWrap/>
            <w:hideMark/>
          </w:tcPr>
          <w:p w:rsidR="008756AD" w:rsidRPr="00807FB9" w:rsidRDefault="008756AD" w:rsidP="00BF524B">
            <w:pPr>
              <w:pStyle w:val="TableTextCentered"/>
            </w:pPr>
            <w:r>
              <w:t>1.7</w:t>
            </w:r>
          </w:p>
        </w:tc>
        <w:tc>
          <w:tcPr>
            <w:tcW w:w="914" w:type="pct"/>
            <w:noWrap/>
            <w:hideMark/>
          </w:tcPr>
          <w:p w:rsidR="008756AD" w:rsidRPr="00807FB9" w:rsidRDefault="008756AD" w:rsidP="00BF524B">
            <w:pPr>
              <w:pStyle w:val="TableTextCentered"/>
            </w:pPr>
            <w:r>
              <w:t>5.0</w:t>
            </w:r>
          </w:p>
        </w:tc>
        <w:tc>
          <w:tcPr>
            <w:tcW w:w="818" w:type="pct"/>
            <w:noWrap/>
            <w:hideMark/>
          </w:tcPr>
          <w:p w:rsidR="008756AD" w:rsidRPr="00807FB9" w:rsidRDefault="008756AD" w:rsidP="00BF524B">
            <w:pPr>
              <w:pStyle w:val="TableTextCentered"/>
            </w:pPr>
            <w:r>
              <w:t xml:space="preserve">+/- </w:t>
            </w:r>
            <w:r w:rsidRPr="00807FB9">
              <w:t>49%</w:t>
            </w:r>
          </w:p>
        </w:tc>
        <w:tc>
          <w:tcPr>
            <w:tcW w:w="671" w:type="pct"/>
            <w:vMerge/>
          </w:tcPr>
          <w:p w:rsidR="008756AD" w:rsidRPr="00807FB9" w:rsidRDefault="008756AD" w:rsidP="00BF524B">
            <w:pPr>
              <w:pStyle w:val="TableTextCentered"/>
            </w:pPr>
          </w:p>
        </w:tc>
      </w:tr>
    </w:tbl>
    <w:p w:rsidR="00C157EC" w:rsidRPr="00EB58A1" w:rsidRDefault="00C157EC" w:rsidP="00A46F58">
      <w:pPr>
        <w:pStyle w:val="BodyText"/>
        <w:rPr>
          <w:rFonts w:cstheme="majorHAnsi"/>
        </w:rPr>
      </w:pPr>
      <w:r w:rsidRPr="00A46F58">
        <w:rPr>
          <w:rFonts w:asciiTheme="majorHAnsi" w:hAnsiTheme="majorHAnsi" w:cstheme="majorHAnsi"/>
          <w:b/>
        </w:rPr>
        <w:t>Retained Teacher Projections</w:t>
      </w:r>
    </w:p>
    <w:p w:rsidR="00C157EC" w:rsidRDefault="00C157EC" w:rsidP="00BF524B">
      <w:pPr>
        <w:pStyle w:val="BodyText"/>
      </w:pPr>
      <w:r>
        <w:t>We also examined the 95 percent confidence intervals for the projections of retained teachers by program area and in general, these metrics followed the trends for overall supply, though the confidence intervals were consistently tighter in the final projected year (</w:t>
      </w:r>
      <w:r w:rsidR="00CA243F">
        <w:t>Table</w:t>
      </w:r>
      <w:r>
        <w:t xml:space="preserve"> C</w:t>
      </w:r>
      <w:r w:rsidR="00CA243F">
        <w:t>5</w:t>
      </w:r>
      <w:r>
        <w:t>)</w:t>
      </w:r>
      <w:r w:rsidR="00CA243F">
        <w:t>.</w:t>
      </w:r>
    </w:p>
    <w:p w:rsidR="00C157EC" w:rsidRPr="003220CC" w:rsidRDefault="00CA243F" w:rsidP="0019080D">
      <w:pPr>
        <w:pStyle w:val="ExhibitTitle"/>
        <w:pageBreakBefore/>
      </w:pPr>
      <w:r>
        <w:t>Table</w:t>
      </w:r>
      <w:r w:rsidR="00C157EC" w:rsidRPr="003220CC">
        <w:t xml:space="preserve"> </w:t>
      </w:r>
      <w:r w:rsidR="00C157EC">
        <w:t>C</w:t>
      </w:r>
      <w:r>
        <w:t>5</w:t>
      </w:r>
      <w:r w:rsidR="00C157EC" w:rsidRPr="003220CC">
        <w:t xml:space="preserve">. 95% Confidence Intervals </w:t>
      </w:r>
      <w:r w:rsidR="00C157EC">
        <w:t xml:space="preserve">for </w:t>
      </w:r>
      <w:r w:rsidR="00C157EC" w:rsidRPr="003220CC">
        <w:t xml:space="preserve">Projected </w:t>
      </w:r>
      <w:r w:rsidR="00C157EC">
        <w:t>Supply</w:t>
      </w:r>
      <w:r w:rsidR="00C157EC" w:rsidRPr="003220CC">
        <w:t xml:space="preserve"> </w:t>
      </w:r>
      <w:r w:rsidR="00C157EC">
        <w:t>of Re</w:t>
      </w:r>
      <w:r w:rsidR="00D41F40">
        <w:t xml:space="preserve">tained Teachers by Program Area, </w:t>
      </w:r>
      <w:r w:rsidR="00C157EC">
        <w:t xml:space="preserve">2014-15 and </w:t>
      </w:r>
      <w:r w:rsidR="00D41F40">
        <w:t>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211"/>
        <w:gridCol w:w="1107"/>
        <w:gridCol w:w="1732"/>
        <w:gridCol w:w="1684"/>
        <w:gridCol w:w="1569"/>
        <w:gridCol w:w="1287"/>
      </w:tblGrid>
      <w:tr w:rsidR="008756AD" w:rsidRPr="00FA77D6" w:rsidTr="00085539">
        <w:trPr>
          <w:cnfStyle w:val="100000000000"/>
        </w:trPr>
        <w:tc>
          <w:tcPr>
            <w:tcW w:w="1152" w:type="pct"/>
            <w:tcBorders>
              <w:bottom w:val="single" w:sz="4" w:space="0" w:color="auto"/>
            </w:tcBorders>
            <w:hideMark/>
          </w:tcPr>
          <w:p w:rsidR="008756AD" w:rsidRPr="00807FB9" w:rsidRDefault="008756AD" w:rsidP="003C50C4">
            <w:pPr>
              <w:pStyle w:val="TableText"/>
              <w:jc w:val="center"/>
            </w:pPr>
            <w:r>
              <w:t>Program Area FTEs/Year</w:t>
            </w:r>
          </w:p>
        </w:tc>
        <w:tc>
          <w:tcPr>
            <w:tcW w:w="577" w:type="pct"/>
            <w:tcBorders>
              <w:bottom w:val="single" w:sz="4" w:space="0" w:color="auto"/>
            </w:tcBorders>
            <w:hideMark/>
          </w:tcPr>
          <w:p w:rsidR="008756AD" w:rsidRPr="00807FB9" w:rsidRDefault="008756AD">
            <w:pPr>
              <w:pStyle w:val="TableTextCentered"/>
            </w:pPr>
            <w:r w:rsidRPr="00807FB9">
              <w:t xml:space="preserve">Average </w:t>
            </w:r>
            <w:r w:rsidR="003B58E4">
              <w:t>Point Estimate</w:t>
            </w:r>
          </w:p>
        </w:tc>
        <w:tc>
          <w:tcPr>
            <w:tcW w:w="903" w:type="pct"/>
            <w:tcBorders>
              <w:bottom w:val="single" w:sz="4" w:space="0" w:color="auto"/>
            </w:tcBorders>
            <w:hideMark/>
          </w:tcPr>
          <w:p w:rsidR="008756AD" w:rsidRPr="00807FB9" w:rsidRDefault="008756AD" w:rsidP="006D2330">
            <w:pPr>
              <w:pStyle w:val="TableTextCentered"/>
            </w:pPr>
            <w:r w:rsidRPr="008A3727">
              <w:t>95</w:t>
            </w:r>
            <w:r>
              <w:t>%</w:t>
            </w:r>
            <w:r w:rsidRPr="008A3727">
              <w:t xml:space="preserve"> Confidence Interval</w:t>
            </w:r>
            <w:r w:rsidRPr="00235005">
              <w:t>–</w:t>
            </w:r>
            <w:r w:rsidRPr="008A3727">
              <w:t>Lower Bound</w:t>
            </w:r>
          </w:p>
        </w:tc>
        <w:tc>
          <w:tcPr>
            <w:tcW w:w="878" w:type="pct"/>
            <w:tcBorders>
              <w:bottom w:val="single" w:sz="4" w:space="0" w:color="auto"/>
            </w:tcBorders>
            <w:hideMark/>
          </w:tcPr>
          <w:p w:rsidR="008756AD" w:rsidRPr="00807FB9" w:rsidRDefault="008756AD" w:rsidP="00910CA5">
            <w:pPr>
              <w:pStyle w:val="TableTextCentered"/>
            </w:pPr>
            <w:r w:rsidRPr="008A3727">
              <w:t>95</w:t>
            </w:r>
            <w:r>
              <w:t>%</w:t>
            </w:r>
            <w:r w:rsidRPr="008A3727">
              <w:t xml:space="preserve"> Confidence Interval</w:t>
            </w:r>
            <w:r w:rsidRPr="00235005">
              <w:t>–</w:t>
            </w:r>
            <w:r w:rsidRPr="008A3727">
              <w:t>Upper Bound</w:t>
            </w:r>
          </w:p>
        </w:tc>
        <w:tc>
          <w:tcPr>
            <w:tcW w:w="818" w:type="pct"/>
            <w:tcBorders>
              <w:bottom w:val="single" w:sz="4" w:space="0" w:color="auto"/>
            </w:tcBorders>
            <w:hideMark/>
          </w:tcPr>
          <w:p w:rsidR="008756AD" w:rsidRPr="00807FB9" w:rsidRDefault="008756AD" w:rsidP="00910CA5">
            <w:pPr>
              <w:pStyle w:val="TableTextCentered"/>
            </w:pPr>
            <w:r w:rsidRPr="00807FB9">
              <w:t>Percent Above/Below Estimate</w:t>
            </w:r>
          </w:p>
        </w:tc>
        <w:tc>
          <w:tcPr>
            <w:tcW w:w="671" w:type="pct"/>
            <w:tcBorders>
              <w:bottom w:val="single" w:sz="4" w:space="0" w:color="auto"/>
            </w:tcBorders>
          </w:tcPr>
          <w:p w:rsidR="008756AD" w:rsidRPr="00807FB9" w:rsidRDefault="008756AD" w:rsidP="00910CA5">
            <w:pPr>
              <w:pStyle w:val="TableTextCentered"/>
            </w:pPr>
            <w:r w:rsidRPr="00807FB9">
              <w:t>Growth of Interval Over Time</w:t>
            </w:r>
          </w:p>
        </w:tc>
      </w:tr>
      <w:tr w:rsidR="00B70E1A" w:rsidRPr="00FA77D6" w:rsidTr="003B58E4">
        <w:tc>
          <w:tcPr>
            <w:tcW w:w="1152" w:type="pct"/>
            <w:tcBorders>
              <w:bottom w:val="single" w:sz="4" w:space="0" w:color="auto"/>
            </w:tcBorders>
            <w:shd w:val="clear" w:color="auto" w:fill="D9E3ED" w:themeFill="accent1" w:themeFillTint="33"/>
            <w:hideMark/>
          </w:tcPr>
          <w:p w:rsidR="008756AD" w:rsidRPr="0044505A" w:rsidRDefault="008756AD" w:rsidP="003C50C4">
            <w:pPr>
              <w:pStyle w:val="TableText"/>
              <w:jc w:val="center"/>
            </w:pPr>
            <w:proofErr w:type="spellStart"/>
            <w:r>
              <w:t>GenED</w:t>
            </w:r>
            <w:proofErr w:type="spellEnd"/>
          </w:p>
        </w:tc>
        <w:tc>
          <w:tcPr>
            <w:tcW w:w="577" w:type="pct"/>
            <w:tcBorders>
              <w:bottom w:val="single" w:sz="4" w:space="0" w:color="auto"/>
            </w:tcBorders>
            <w:shd w:val="clear" w:color="auto" w:fill="D9E3ED" w:themeFill="accent1" w:themeFillTint="33"/>
            <w:hideMark/>
          </w:tcPr>
          <w:p w:rsidR="008756AD" w:rsidRPr="00807FB9" w:rsidRDefault="008756AD" w:rsidP="0019080D">
            <w:pPr>
              <w:pStyle w:val="TableTextCentered"/>
            </w:pPr>
          </w:p>
        </w:tc>
        <w:tc>
          <w:tcPr>
            <w:tcW w:w="903" w:type="pct"/>
            <w:tcBorders>
              <w:bottom w:val="single" w:sz="4" w:space="0" w:color="auto"/>
            </w:tcBorders>
            <w:shd w:val="clear" w:color="auto" w:fill="D9E3ED" w:themeFill="accent1" w:themeFillTint="33"/>
            <w:hideMark/>
          </w:tcPr>
          <w:p w:rsidR="008756AD" w:rsidRPr="00807FB9" w:rsidRDefault="008756AD" w:rsidP="0019080D">
            <w:pPr>
              <w:pStyle w:val="TableTextCentered"/>
            </w:pPr>
          </w:p>
        </w:tc>
        <w:tc>
          <w:tcPr>
            <w:tcW w:w="878" w:type="pct"/>
            <w:tcBorders>
              <w:bottom w:val="single" w:sz="4" w:space="0" w:color="auto"/>
            </w:tcBorders>
            <w:shd w:val="clear" w:color="auto" w:fill="D9E3ED" w:themeFill="accent1" w:themeFillTint="33"/>
            <w:hideMark/>
          </w:tcPr>
          <w:p w:rsidR="008756AD" w:rsidRPr="00807FB9" w:rsidRDefault="008756AD" w:rsidP="0019080D">
            <w:pPr>
              <w:pStyle w:val="TableTextCentered"/>
            </w:pPr>
          </w:p>
        </w:tc>
        <w:tc>
          <w:tcPr>
            <w:tcW w:w="818" w:type="pct"/>
            <w:tcBorders>
              <w:bottom w:val="single" w:sz="4" w:space="0" w:color="auto"/>
            </w:tcBorders>
            <w:shd w:val="clear" w:color="auto" w:fill="D9E3ED" w:themeFill="accent1" w:themeFillTint="33"/>
            <w:hideMark/>
          </w:tcPr>
          <w:p w:rsidR="008756AD" w:rsidRPr="00807FB9" w:rsidRDefault="008756AD" w:rsidP="0019080D">
            <w:pPr>
              <w:pStyle w:val="TableTextCentered"/>
            </w:pPr>
          </w:p>
        </w:tc>
        <w:tc>
          <w:tcPr>
            <w:tcW w:w="671" w:type="pct"/>
            <w:tcBorders>
              <w:bottom w:val="single" w:sz="4" w:space="0" w:color="auto"/>
            </w:tcBorders>
            <w:shd w:val="clear" w:color="auto" w:fill="D9E3ED" w:themeFill="accent1" w:themeFillTint="33"/>
          </w:tcPr>
          <w:p w:rsidR="008756AD" w:rsidRPr="00807FB9" w:rsidRDefault="008756AD" w:rsidP="0019080D">
            <w:pPr>
              <w:pStyle w:val="TableTextCentered"/>
            </w:pPr>
          </w:p>
        </w:tc>
      </w:tr>
      <w:tr w:rsidR="008756AD" w:rsidRPr="00FA77D6" w:rsidTr="00085539">
        <w:tc>
          <w:tcPr>
            <w:tcW w:w="1152" w:type="pct"/>
            <w:tcBorders>
              <w:bottom w:val="single" w:sz="4" w:space="0" w:color="auto"/>
            </w:tcBorders>
            <w:hideMark/>
          </w:tcPr>
          <w:p w:rsidR="008756AD" w:rsidRPr="00807FB9" w:rsidRDefault="008756AD" w:rsidP="003C50C4">
            <w:pPr>
              <w:pStyle w:val="TableText"/>
              <w:jc w:val="center"/>
            </w:pPr>
            <w:r w:rsidRPr="00C20B19">
              <w:t>20</w:t>
            </w:r>
            <w:r>
              <w:t>14</w:t>
            </w:r>
            <w:r>
              <w:rPr>
                <w:b/>
              </w:rPr>
              <w:t>–</w:t>
            </w:r>
            <w:r w:rsidRPr="00C20B19">
              <w:t>15</w:t>
            </w:r>
          </w:p>
        </w:tc>
        <w:tc>
          <w:tcPr>
            <w:tcW w:w="577" w:type="pct"/>
            <w:tcBorders>
              <w:bottom w:val="single" w:sz="4" w:space="0" w:color="auto"/>
            </w:tcBorders>
            <w:noWrap/>
            <w:hideMark/>
          </w:tcPr>
          <w:p w:rsidR="008756AD" w:rsidRPr="00807FB9" w:rsidRDefault="008756AD" w:rsidP="0019080D">
            <w:pPr>
              <w:pStyle w:val="TableTextCentered"/>
            </w:pPr>
            <w:r>
              <w:t>145.7</w:t>
            </w:r>
          </w:p>
        </w:tc>
        <w:tc>
          <w:tcPr>
            <w:tcW w:w="903" w:type="pct"/>
            <w:tcBorders>
              <w:bottom w:val="single" w:sz="4" w:space="0" w:color="auto"/>
            </w:tcBorders>
            <w:noWrap/>
            <w:hideMark/>
          </w:tcPr>
          <w:p w:rsidR="008756AD" w:rsidRPr="00807FB9" w:rsidRDefault="008756AD" w:rsidP="0019080D">
            <w:pPr>
              <w:pStyle w:val="TableTextCentered"/>
            </w:pPr>
            <w:r>
              <w:t>142.7</w:t>
            </w:r>
          </w:p>
        </w:tc>
        <w:tc>
          <w:tcPr>
            <w:tcW w:w="878" w:type="pct"/>
            <w:tcBorders>
              <w:bottom w:val="single" w:sz="4" w:space="0" w:color="auto"/>
            </w:tcBorders>
            <w:noWrap/>
            <w:hideMark/>
          </w:tcPr>
          <w:p w:rsidR="008756AD" w:rsidRPr="00807FB9" w:rsidRDefault="008756AD" w:rsidP="0019080D">
            <w:pPr>
              <w:pStyle w:val="TableTextCentered"/>
            </w:pPr>
            <w:r>
              <w:t>148.7</w:t>
            </w:r>
          </w:p>
        </w:tc>
        <w:tc>
          <w:tcPr>
            <w:tcW w:w="818" w:type="pct"/>
            <w:tcBorders>
              <w:bottom w:val="single" w:sz="4" w:space="0" w:color="auto"/>
            </w:tcBorders>
            <w:noWrap/>
            <w:hideMark/>
          </w:tcPr>
          <w:p w:rsidR="008756AD" w:rsidRPr="00807FB9" w:rsidRDefault="00AE30AC" w:rsidP="0019080D">
            <w:pPr>
              <w:pStyle w:val="TableTextCentered"/>
            </w:pPr>
            <w:r>
              <w:t xml:space="preserve">+/- </w:t>
            </w:r>
            <w:r w:rsidR="008756AD">
              <w:t>2%</w:t>
            </w:r>
          </w:p>
        </w:tc>
        <w:tc>
          <w:tcPr>
            <w:tcW w:w="671" w:type="pct"/>
            <w:vMerge w:val="restart"/>
          </w:tcPr>
          <w:p w:rsidR="008756AD" w:rsidRPr="00807FB9" w:rsidRDefault="008756AD" w:rsidP="0019080D">
            <w:pPr>
              <w:pStyle w:val="TableTextCentered"/>
            </w:pPr>
            <w:r>
              <w:t>3.42</w:t>
            </w:r>
          </w:p>
        </w:tc>
      </w:tr>
      <w:tr w:rsidR="008756AD" w:rsidRPr="00FA77D6" w:rsidTr="00085539">
        <w:tc>
          <w:tcPr>
            <w:tcW w:w="1152" w:type="pct"/>
            <w:tcBorders>
              <w:bottom w:val="single" w:sz="4" w:space="0" w:color="auto"/>
            </w:tcBorders>
            <w:hideMark/>
          </w:tcPr>
          <w:p w:rsidR="008756AD" w:rsidRPr="00807FB9" w:rsidRDefault="008756AD" w:rsidP="003C50C4">
            <w:pPr>
              <w:pStyle w:val="TableText"/>
              <w:jc w:val="center"/>
            </w:pPr>
            <w:r w:rsidRPr="00C20B19">
              <w:t>20</w:t>
            </w:r>
            <w:r>
              <w:t>23</w:t>
            </w:r>
            <w:r>
              <w:rPr>
                <w:b/>
              </w:rPr>
              <w:t>–</w:t>
            </w:r>
            <w:r w:rsidRPr="00C20B19">
              <w:t>24</w:t>
            </w:r>
          </w:p>
        </w:tc>
        <w:tc>
          <w:tcPr>
            <w:tcW w:w="577" w:type="pct"/>
            <w:tcBorders>
              <w:bottom w:val="single" w:sz="4" w:space="0" w:color="auto"/>
            </w:tcBorders>
            <w:noWrap/>
            <w:hideMark/>
          </w:tcPr>
          <w:p w:rsidR="008756AD" w:rsidRPr="00807FB9" w:rsidRDefault="008756AD" w:rsidP="0019080D">
            <w:pPr>
              <w:pStyle w:val="TableTextCentered"/>
            </w:pPr>
            <w:r>
              <w:t>155.0</w:t>
            </w:r>
          </w:p>
        </w:tc>
        <w:tc>
          <w:tcPr>
            <w:tcW w:w="903" w:type="pct"/>
            <w:tcBorders>
              <w:bottom w:val="single" w:sz="4" w:space="0" w:color="auto"/>
            </w:tcBorders>
            <w:noWrap/>
            <w:hideMark/>
          </w:tcPr>
          <w:p w:rsidR="008756AD" w:rsidRPr="00807FB9" w:rsidRDefault="008756AD" w:rsidP="0019080D">
            <w:pPr>
              <w:pStyle w:val="TableTextCentered"/>
            </w:pPr>
            <w:r>
              <w:t>144.8</w:t>
            </w:r>
          </w:p>
        </w:tc>
        <w:tc>
          <w:tcPr>
            <w:tcW w:w="878" w:type="pct"/>
            <w:tcBorders>
              <w:bottom w:val="single" w:sz="4" w:space="0" w:color="auto"/>
            </w:tcBorders>
            <w:noWrap/>
            <w:hideMark/>
          </w:tcPr>
          <w:p w:rsidR="008756AD" w:rsidRPr="00807FB9" w:rsidRDefault="008756AD" w:rsidP="0019080D">
            <w:pPr>
              <w:pStyle w:val="TableTextCentered"/>
            </w:pPr>
            <w:r>
              <w:t>165.1</w:t>
            </w:r>
          </w:p>
        </w:tc>
        <w:tc>
          <w:tcPr>
            <w:tcW w:w="818" w:type="pct"/>
            <w:tcBorders>
              <w:bottom w:val="single" w:sz="4" w:space="0" w:color="auto"/>
            </w:tcBorders>
            <w:noWrap/>
            <w:hideMark/>
          </w:tcPr>
          <w:p w:rsidR="008756AD" w:rsidRPr="00807FB9" w:rsidRDefault="00AE30AC" w:rsidP="0019080D">
            <w:pPr>
              <w:pStyle w:val="TableTextCentered"/>
            </w:pPr>
            <w:r>
              <w:t xml:space="preserve">+/- </w:t>
            </w:r>
            <w:r w:rsidR="008756AD">
              <w:t>7%</w:t>
            </w:r>
          </w:p>
        </w:tc>
        <w:tc>
          <w:tcPr>
            <w:tcW w:w="671" w:type="pct"/>
            <w:vMerge/>
            <w:tcBorders>
              <w:bottom w:val="single" w:sz="4" w:space="0" w:color="auto"/>
            </w:tcBorders>
          </w:tcPr>
          <w:p w:rsidR="008756AD" w:rsidRPr="00807FB9" w:rsidRDefault="008756AD" w:rsidP="0019080D">
            <w:pPr>
              <w:pStyle w:val="TableTextCentered"/>
            </w:pPr>
          </w:p>
        </w:tc>
      </w:tr>
      <w:tr w:rsidR="00B70E1A" w:rsidRPr="00FA77D6" w:rsidTr="003B58E4">
        <w:tc>
          <w:tcPr>
            <w:tcW w:w="1152" w:type="pct"/>
            <w:tcBorders>
              <w:bottom w:val="single" w:sz="4" w:space="0" w:color="auto"/>
            </w:tcBorders>
            <w:shd w:val="clear" w:color="auto" w:fill="D9E3ED" w:themeFill="accent1" w:themeFillTint="33"/>
            <w:noWrap/>
            <w:hideMark/>
          </w:tcPr>
          <w:p w:rsidR="008756AD" w:rsidRPr="0044505A" w:rsidRDefault="008756AD" w:rsidP="003C50C4">
            <w:pPr>
              <w:pStyle w:val="TableText"/>
              <w:jc w:val="center"/>
            </w:pPr>
            <w:r>
              <w:t>SPED</w:t>
            </w:r>
          </w:p>
        </w:tc>
        <w:tc>
          <w:tcPr>
            <w:tcW w:w="577"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903"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878"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818"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671" w:type="pct"/>
            <w:tcBorders>
              <w:bottom w:val="single" w:sz="4" w:space="0" w:color="auto"/>
            </w:tcBorders>
            <w:shd w:val="clear" w:color="auto" w:fill="D9E3ED" w:themeFill="accent1" w:themeFillTint="33"/>
          </w:tcPr>
          <w:p w:rsidR="008756AD" w:rsidRPr="00807FB9" w:rsidRDefault="008756AD" w:rsidP="0019080D">
            <w:pPr>
              <w:pStyle w:val="TableTextCentered"/>
            </w:pPr>
          </w:p>
        </w:tc>
      </w:tr>
      <w:tr w:rsidR="008756AD" w:rsidRPr="00FA77D6" w:rsidTr="00085539">
        <w:tc>
          <w:tcPr>
            <w:tcW w:w="1152" w:type="pct"/>
            <w:tcBorders>
              <w:bottom w:val="single" w:sz="4" w:space="0" w:color="auto"/>
            </w:tcBorders>
            <w:hideMark/>
          </w:tcPr>
          <w:p w:rsidR="008756AD" w:rsidRPr="00807FB9" w:rsidRDefault="008756AD" w:rsidP="003C50C4">
            <w:pPr>
              <w:pStyle w:val="TableText"/>
              <w:jc w:val="center"/>
            </w:pPr>
            <w:r w:rsidRPr="00C20B19">
              <w:t>20</w:t>
            </w:r>
            <w:r>
              <w:t>14</w:t>
            </w:r>
            <w:r>
              <w:rPr>
                <w:b/>
              </w:rPr>
              <w:t>–</w:t>
            </w:r>
            <w:r w:rsidRPr="00C20B19">
              <w:t>15</w:t>
            </w:r>
          </w:p>
        </w:tc>
        <w:tc>
          <w:tcPr>
            <w:tcW w:w="577" w:type="pct"/>
            <w:tcBorders>
              <w:bottom w:val="single" w:sz="4" w:space="0" w:color="auto"/>
            </w:tcBorders>
            <w:noWrap/>
            <w:hideMark/>
          </w:tcPr>
          <w:p w:rsidR="008756AD" w:rsidRPr="00807FB9" w:rsidRDefault="008756AD" w:rsidP="0019080D">
            <w:pPr>
              <w:pStyle w:val="TableTextCentered"/>
            </w:pPr>
            <w:r>
              <w:t>23.3</w:t>
            </w:r>
          </w:p>
        </w:tc>
        <w:tc>
          <w:tcPr>
            <w:tcW w:w="903" w:type="pct"/>
            <w:tcBorders>
              <w:bottom w:val="single" w:sz="4" w:space="0" w:color="auto"/>
            </w:tcBorders>
            <w:noWrap/>
            <w:hideMark/>
          </w:tcPr>
          <w:p w:rsidR="008756AD" w:rsidRPr="00807FB9" w:rsidRDefault="008756AD" w:rsidP="0019080D">
            <w:pPr>
              <w:pStyle w:val="TableTextCentered"/>
            </w:pPr>
            <w:r>
              <w:t>20.9</w:t>
            </w:r>
          </w:p>
        </w:tc>
        <w:tc>
          <w:tcPr>
            <w:tcW w:w="878" w:type="pct"/>
            <w:tcBorders>
              <w:bottom w:val="single" w:sz="4" w:space="0" w:color="auto"/>
            </w:tcBorders>
            <w:noWrap/>
            <w:hideMark/>
          </w:tcPr>
          <w:p w:rsidR="008756AD" w:rsidRPr="00807FB9" w:rsidRDefault="008756AD" w:rsidP="0019080D">
            <w:pPr>
              <w:pStyle w:val="TableTextCentered"/>
            </w:pPr>
            <w:r>
              <w:t>25.7</w:t>
            </w:r>
          </w:p>
        </w:tc>
        <w:tc>
          <w:tcPr>
            <w:tcW w:w="818" w:type="pct"/>
            <w:tcBorders>
              <w:bottom w:val="single" w:sz="4" w:space="0" w:color="auto"/>
            </w:tcBorders>
            <w:noWrap/>
            <w:hideMark/>
          </w:tcPr>
          <w:p w:rsidR="008756AD" w:rsidRPr="00807FB9" w:rsidRDefault="00AE30AC" w:rsidP="0019080D">
            <w:pPr>
              <w:pStyle w:val="TableTextCentered"/>
            </w:pPr>
            <w:r>
              <w:t xml:space="preserve">+/- </w:t>
            </w:r>
            <w:r w:rsidR="008756AD">
              <w:t>10%</w:t>
            </w:r>
          </w:p>
        </w:tc>
        <w:tc>
          <w:tcPr>
            <w:tcW w:w="671" w:type="pct"/>
            <w:vMerge w:val="restart"/>
          </w:tcPr>
          <w:p w:rsidR="008756AD" w:rsidRPr="00807FB9" w:rsidRDefault="008756AD" w:rsidP="0019080D">
            <w:pPr>
              <w:pStyle w:val="TableTextCentered"/>
            </w:pPr>
            <w:r>
              <w:t>1.81</w:t>
            </w:r>
          </w:p>
        </w:tc>
      </w:tr>
      <w:tr w:rsidR="008756AD" w:rsidRPr="00FA77D6" w:rsidTr="00085539">
        <w:tc>
          <w:tcPr>
            <w:tcW w:w="1152" w:type="pct"/>
            <w:tcBorders>
              <w:bottom w:val="single" w:sz="4" w:space="0" w:color="auto"/>
            </w:tcBorders>
            <w:hideMark/>
          </w:tcPr>
          <w:p w:rsidR="008756AD" w:rsidRPr="00807FB9" w:rsidRDefault="008756AD" w:rsidP="003C50C4">
            <w:pPr>
              <w:pStyle w:val="TableText"/>
              <w:jc w:val="center"/>
            </w:pPr>
            <w:r w:rsidRPr="00C20B19">
              <w:t>20</w:t>
            </w:r>
            <w:r>
              <w:t>23</w:t>
            </w:r>
            <w:r>
              <w:rPr>
                <w:b/>
              </w:rPr>
              <w:t>–</w:t>
            </w:r>
            <w:r w:rsidRPr="00C20B19">
              <w:t>24</w:t>
            </w:r>
          </w:p>
        </w:tc>
        <w:tc>
          <w:tcPr>
            <w:tcW w:w="577" w:type="pct"/>
            <w:tcBorders>
              <w:bottom w:val="single" w:sz="4" w:space="0" w:color="auto"/>
            </w:tcBorders>
            <w:noWrap/>
            <w:hideMark/>
          </w:tcPr>
          <w:p w:rsidR="008756AD" w:rsidRPr="00807FB9" w:rsidRDefault="008756AD" w:rsidP="0019080D">
            <w:pPr>
              <w:pStyle w:val="TableTextCentered"/>
            </w:pPr>
            <w:r>
              <w:t>19.1</w:t>
            </w:r>
          </w:p>
        </w:tc>
        <w:tc>
          <w:tcPr>
            <w:tcW w:w="903" w:type="pct"/>
            <w:tcBorders>
              <w:bottom w:val="single" w:sz="4" w:space="0" w:color="auto"/>
            </w:tcBorders>
            <w:noWrap/>
            <w:hideMark/>
          </w:tcPr>
          <w:p w:rsidR="008756AD" w:rsidRPr="00807FB9" w:rsidRDefault="008756AD" w:rsidP="0019080D">
            <w:pPr>
              <w:pStyle w:val="TableTextCentered"/>
            </w:pPr>
            <w:r>
              <w:t>14.7</w:t>
            </w:r>
          </w:p>
        </w:tc>
        <w:tc>
          <w:tcPr>
            <w:tcW w:w="878" w:type="pct"/>
            <w:tcBorders>
              <w:bottom w:val="single" w:sz="4" w:space="0" w:color="auto"/>
            </w:tcBorders>
            <w:noWrap/>
            <w:hideMark/>
          </w:tcPr>
          <w:p w:rsidR="008756AD" w:rsidRPr="00807FB9" w:rsidRDefault="008756AD" w:rsidP="0019080D">
            <w:pPr>
              <w:pStyle w:val="TableTextCentered"/>
            </w:pPr>
            <w:r>
              <w:t>23.4</w:t>
            </w:r>
          </w:p>
        </w:tc>
        <w:tc>
          <w:tcPr>
            <w:tcW w:w="818" w:type="pct"/>
            <w:tcBorders>
              <w:bottom w:val="single" w:sz="4" w:space="0" w:color="auto"/>
            </w:tcBorders>
            <w:noWrap/>
            <w:hideMark/>
          </w:tcPr>
          <w:p w:rsidR="008756AD" w:rsidRPr="00807FB9" w:rsidRDefault="00AE30AC" w:rsidP="0019080D">
            <w:pPr>
              <w:pStyle w:val="TableTextCentered"/>
            </w:pPr>
            <w:r>
              <w:t xml:space="preserve">+/- </w:t>
            </w:r>
            <w:r w:rsidR="008756AD">
              <w:t>23%</w:t>
            </w:r>
          </w:p>
        </w:tc>
        <w:tc>
          <w:tcPr>
            <w:tcW w:w="671" w:type="pct"/>
            <w:vMerge/>
            <w:tcBorders>
              <w:bottom w:val="single" w:sz="4" w:space="0" w:color="auto"/>
            </w:tcBorders>
          </w:tcPr>
          <w:p w:rsidR="008756AD" w:rsidRPr="00807FB9" w:rsidRDefault="008756AD" w:rsidP="0019080D">
            <w:pPr>
              <w:pStyle w:val="TableTextCentered"/>
            </w:pPr>
          </w:p>
        </w:tc>
      </w:tr>
      <w:tr w:rsidR="00B70E1A" w:rsidRPr="00FA77D6" w:rsidTr="003B58E4">
        <w:tc>
          <w:tcPr>
            <w:tcW w:w="1152" w:type="pct"/>
            <w:tcBorders>
              <w:bottom w:val="single" w:sz="4" w:space="0" w:color="auto"/>
            </w:tcBorders>
            <w:shd w:val="clear" w:color="auto" w:fill="D9E3ED" w:themeFill="accent1" w:themeFillTint="33"/>
            <w:hideMark/>
          </w:tcPr>
          <w:p w:rsidR="008756AD" w:rsidRPr="0044505A" w:rsidRDefault="008756AD" w:rsidP="003C50C4">
            <w:pPr>
              <w:pStyle w:val="TableText"/>
              <w:jc w:val="center"/>
            </w:pPr>
            <w:r w:rsidRPr="0044505A">
              <w:t>CTE</w:t>
            </w:r>
          </w:p>
        </w:tc>
        <w:tc>
          <w:tcPr>
            <w:tcW w:w="577"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903"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878"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818"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671" w:type="pct"/>
            <w:tcBorders>
              <w:bottom w:val="single" w:sz="4" w:space="0" w:color="auto"/>
            </w:tcBorders>
            <w:shd w:val="clear" w:color="auto" w:fill="D9E3ED" w:themeFill="accent1" w:themeFillTint="33"/>
          </w:tcPr>
          <w:p w:rsidR="008756AD" w:rsidRPr="00807FB9" w:rsidRDefault="008756AD" w:rsidP="0019080D">
            <w:pPr>
              <w:pStyle w:val="TableTextCentered"/>
            </w:pPr>
          </w:p>
        </w:tc>
      </w:tr>
      <w:tr w:rsidR="008756AD" w:rsidRPr="00FA77D6" w:rsidTr="00085539">
        <w:tc>
          <w:tcPr>
            <w:tcW w:w="1152" w:type="pct"/>
            <w:tcBorders>
              <w:bottom w:val="single" w:sz="4" w:space="0" w:color="auto"/>
            </w:tcBorders>
            <w:hideMark/>
          </w:tcPr>
          <w:p w:rsidR="008756AD" w:rsidRPr="00807FB9" w:rsidRDefault="008756AD" w:rsidP="003C50C4">
            <w:pPr>
              <w:pStyle w:val="TableText"/>
              <w:jc w:val="center"/>
            </w:pPr>
            <w:r w:rsidRPr="00C20B19">
              <w:t>20</w:t>
            </w:r>
            <w:r>
              <w:t>14</w:t>
            </w:r>
            <w:r>
              <w:rPr>
                <w:b/>
              </w:rPr>
              <w:t>–</w:t>
            </w:r>
            <w:r w:rsidRPr="00C20B19">
              <w:t>15</w:t>
            </w:r>
          </w:p>
        </w:tc>
        <w:tc>
          <w:tcPr>
            <w:tcW w:w="577" w:type="pct"/>
            <w:tcBorders>
              <w:bottom w:val="single" w:sz="4" w:space="0" w:color="auto"/>
            </w:tcBorders>
            <w:noWrap/>
            <w:hideMark/>
          </w:tcPr>
          <w:p w:rsidR="008756AD" w:rsidRPr="00807FB9" w:rsidRDefault="008756AD" w:rsidP="0019080D">
            <w:pPr>
              <w:pStyle w:val="TableTextCentered"/>
            </w:pPr>
            <w:r>
              <w:t>5.3</w:t>
            </w:r>
          </w:p>
        </w:tc>
        <w:tc>
          <w:tcPr>
            <w:tcW w:w="903" w:type="pct"/>
            <w:tcBorders>
              <w:bottom w:val="single" w:sz="4" w:space="0" w:color="auto"/>
            </w:tcBorders>
            <w:noWrap/>
            <w:hideMark/>
          </w:tcPr>
          <w:p w:rsidR="008756AD" w:rsidRPr="00807FB9" w:rsidRDefault="008756AD" w:rsidP="0019080D">
            <w:pPr>
              <w:pStyle w:val="TableTextCentered"/>
            </w:pPr>
            <w:r>
              <w:t>4.7</w:t>
            </w:r>
          </w:p>
        </w:tc>
        <w:tc>
          <w:tcPr>
            <w:tcW w:w="878" w:type="pct"/>
            <w:tcBorders>
              <w:bottom w:val="single" w:sz="4" w:space="0" w:color="auto"/>
            </w:tcBorders>
            <w:noWrap/>
            <w:hideMark/>
          </w:tcPr>
          <w:p w:rsidR="008756AD" w:rsidRPr="00807FB9" w:rsidRDefault="008756AD" w:rsidP="0019080D">
            <w:pPr>
              <w:pStyle w:val="TableTextCentered"/>
            </w:pPr>
            <w:r>
              <w:t>6.0</w:t>
            </w:r>
          </w:p>
        </w:tc>
        <w:tc>
          <w:tcPr>
            <w:tcW w:w="818" w:type="pct"/>
            <w:tcBorders>
              <w:bottom w:val="single" w:sz="4" w:space="0" w:color="auto"/>
            </w:tcBorders>
            <w:noWrap/>
            <w:hideMark/>
          </w:tcPr>
          <w:p w:rsidR="008756AD" w:rsidRPr="00807FB9" w:rsidRDefault="00AE30AC" w:rsidP="0019080D">
            <w:pPr>
              <w:pStyle w:val="TableTextCentered"/>
            </w:pPr>
            <w:r>
              <w:t xml:space="preserve">+/- </w:t>
            </w:r>
            <w:r w:rsidR="008756AD">
              <w:t>12%</w:t>
            </w:r>
          </w:p>
        </w:tc>
        <w:tc>
          <w:tcPr>
            <w:tcW w:w="671" w:type="pct"/>
            <w:vMerge w:val="restart"/>
          </w:tcPr>
          <w:p w:rsidR="008756AD" w:rsidRPr="00807FB9" w:rsidRDefault="008756AD" w:rsidP="0019080D">
            <w:pPr>
              <w:pStyle w:val="TableTextCentered"/>
            </w:pPr>
            <w:r>
              <w:t>3.14</w:t>
            </w:r>
          </w:p>
        </w:tc>
      </w:tr>
      <w:tr w:rsidR="008756AD" w:rsidRPr="00FA77D6" w:rsidTr="00085539">
        <w:tc>
          <w:tcPr>
            <w:tcW w:w="1152" w:type="pct"/>
            <w:tcBorders>
              <w:bottom w:val="single" w:sz="4" w:space="0" w:color="auto"/>
            </w:tcBorders>
            <w:hideMark/>
          </w:tcPr>
          <w:p w:rsidR="008756AD" w:rsidRPr="00807FB9" w:rsidRDefault="008756AD" w:rsidP="003C50C4">
            <w:pPr>
              <w:pStyle w:val="TableText"/>
              <w:jc w:val="center"/>
            </w:pPr>
            <w:r w:rsidRPr="00C20B19">
              <w:t>20</w:t>
            </w:r>
            <w:r>
              <w:t>23</w:t>
            </w:r>
            <w:r>
              <w:rPr>
                <w:b/>
              </w:rPr>
              <w:t>–</w:t>
            </w:r>
            <w:r w:rsidRPr="00C20B19">
              <w:t>24</w:t>
            </w:r>
          </w:p>
        </w:tc>
        <w:tc>
          <w:tcPr>
            <w:tcW w:w="577" w:type="pct"/>
            <w:tcBorders>
              <w:bottom w:val="single" w:sz="4" w:space="0" w:color="auto"/>
            </w:tcBorders>
            <w:noWrap/>
            <w:hideMark/>
          </w:tcPr>
          <w:p w:rsidR="008756AD" w:rsidRPr="00807FB9" w:rsidRDefault="008756AD" w:rsidP="0019080D">
            <w:pPr>
              <w:pStyle w:val="TableTextCentered"/>
            </w:pPr>
            <w:r>
              <w:t>5.1</w:t>
            </w:r>
          </w:p>
        </w:tc>
        <w:tc>
          <w:tcPr>
            <w:tcW w:w="903" w:type="pct"/>
            <w:tcBorders>
              <w:bottom w:val="single" w:sz="4" w:space="0" w:color="auto"/>
            </w:tcBorders>
            <w:noWrap/>
            <w:hideMark/>
          </w:tcPr>
          <w:p w:rsidR="008756AD" w:rsidRPr="00807FB9" w:rsidRDefault="008756AD" w:rsidP="0019080D">
            <w:pPr>
              <w:pStyle w:val="TableTextCentered"/>
            </w:pPr>
            <w:r>
              <w:t>3.1</w:t>
            </w:r>
          </w:p>
        </w:tc>
        <w:tc>
          <w:tcPr>
            <w:tcW w:w="878" w:type="pct"/>
            <w:tcBorders>
              <w:bottom w:val="single" w:sz="4" w:space="0" w:color="auto"/>
            </w:tcBorders>
            <w:noWrap/>
            <w:hideMark/>
          </w:tcPr>
          <w:p w:rsidR="008756AD" w:rsidRPr="00807FB9" w:rsidRDefault="008756AD" w:rsidP="0019080D">
            <w:pPr>
              <w:pStyle w:val="TableTextCentered"/>
            </w:pPr>
            <w:r>
              <w:t>7.2</w:t>
            </w:r>
          </w:p>
        </w:tc>
        <w:tc>
          <w:tcPr>
            <w:tcW w:w="818" w:type="pct"/>
            <w:tcBorders>
              <w:bottom w:val="single" w:sz="4" w:space="0" w:color="auto"/>
            </w:tcBorders>
            <w:noWrap/>
            <w:hideMark/>
          </w:tcPr>
          <w:p w:rsidR="008756AD" w:rsidRPr="00807FB9" w:rsidRDefault="00AE30AC" w:rsidP="0019080D">
            <w:pPr>
              <w:pStyle w:val="TableTextCentered"/>
            </w:pPr>
            <w:r>
              <w:t xml:space="preserve">+/- </w:t>
            </w:r>
            <w:r w:rsidR="008756AD">
              <w:t>40%</w:t>
            </w:r>
          </w:p>
        </w:tc>
        <w:tc>
          <w:tcPr>
            <w:tcW w:w="671" w:type="pct"/>
            <w:vMerge/>
            <w:tcBorders>
              <w:bottom w:val="single" w:sz="4" w:space="0" w:color="auto"/>
            </w:tcBorders>
          </w:tcPr>
          <w:p w:rsidR="008756AD" w:rsidRPr="00807FB9" w:rsidRDefault="008756AD" w:rsidP="0019080D">
            <w:pPr>
              <w:pStyle w:val="TableTextCentered"/>
            </w:pPr>
          </w:p>
        </w:tc>
      </w:tr>
      <w:tr w:rsidR="00B70E1A" w:rsidRPr="00FA77D6" w:rsidTr="003B58E4">
        <w:tc>
          <w:tcPr>
            <w:tcW w:w="1152" w:type="pct"/>
            <w:tcBorders>
              <w:bottom w:val="single" w:sz="4" w:space="0" w:color="auto"/>
            </w:tcBorders>
            <w:shd w:val="clear" w:color="auto" w:fill="D9E3ED" w:themeFill="accent1" w:themeFillTint="33"/>
            <w:hideMark/>
          </w:tcPr>
          <w:p w:rsidR="008756AD" w:rsidRPr="0044505A" w:rsidRDefault="008756AD" w:rsidP="003C50C4">
            <w:pPr>
              <w:pStyle w:val="TableText"/>
              <w:jc w:val="center"/>
            </w:pPr>
            <w:r w:rsidRPr="0044505A">
              <w:t>ELL</w:t>
            </w:r>
          </w:p>
        </w:tc>
        <w:tc>
          <w:tcPr>
            <w:tcW w:w="577"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903"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878"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818" w:type="pct"/>
            <w:tcBorders>
              <w:bottom w:val="single" w:sz="4" w:space="0" w:color="auto"/>
            </w:tcBorders>
            <w:shd w:val="clear" w:color="auto" w:fill="D9E3ED" w:themeFill="accent1" w:themeFillTint="33"/>
            <w:noWrap/>
            <w:hideMark/>
          </w:tcPr>
          <w:p w:rsidR="008756AD" w:rsidRPr="00807FB9" w:rsidRDefault="008756AD" w:rsidP="0019080D">
            <w:pPr>
              <w:pStyle w:val="TableTextCentered"/>
            </w:pPr>
          </w:p>
        </w:tc>
        <w:tc>
          <w:tcPr>
            <w:tcW w:w="671" w:type="pct"/>
            <w:tcBorders>
              <w:bottom w:val="single" w:sz="4" w:space="0" w:color="auto"/>
            </w:tcBorders>
            <w:shd w:val="clear" w:color="auto" w:fill="D9E3ED" w:themeFill="accent1" w:themeFillTint="33"/>
          </w:tcPr>
          <w:p w:rsidR="008756AD" w:rsidRPr="00807FB9" w:rsidRDefault="008756AD" w:rsidP="0019080D">
            <w:pPr>
              <w:pStyle w:val="TableTextCentered"/>
            </w:pPr>
          </w:p>
        </w:tc>
      </w:tr>
      <w:tr w:rsidR="008756AD" w:rsidRPr="00FA77D6" w:rsidTr="00085539">
        <w:tc>
          <w:tcPr>
            <w:tcW w:w="1152" w:type="pct"/>
            <w:tcBorders>
              <w:bottom w:val="single" w:sz="4" w:space="0" w:color="auto"/>
            </w:tcBorders>
            <w:hideMark/>
          </w:tcPr>
          <w:p w:rsidR="008756AD" w:rsidRPr="00807FB9" w:rsidRDefault="008756AD" w:rsidP="003C50C4">
            <w:pPr>
              <w:pStyle w:val="TableText"/>
              <w:jc w:val="center"/>
            </w:pPr>
            <w:r w:rsidRPr="00C20B19">
              <w:t>20</w:t>
            </w:r>
            <w:r>
              <w:t>14</w:t>
            </w:r>
            <w:r>
              <w:rPr>
                <w:b/>
              </w:rPr>
              <w:t>–</w:t>
            </w:r>
            <w:r w:rsidRPr="00C20B19">
              <w:t>15</w:t>
            </w:r>
          </w:p>
        </w:tc>
        <w:tc>
          <w:tcPr>
            <w:tcW w:w="577" w:type="pct"/>
            <w:tcBorders>
              <w:bottom w:val="single" w:sz="4" w:space="0" w:color="auto"/>
            </w:tcBorders>
            <w:noWrap/>
            <w:hideMark/>
          </w:tcPr>
          <w:p w:rsidR="008756AD" w:rsidRPr="00807FB9" w:rsidRDefault="008756AD" w:rsidP="0019080D">
            <w:pPr>
              <w:pStyle w:val="TableTextCentered"/>
            </w:pPr>
            <w:r>
              <w:t>2.3</w:t>
            </w:r>
          </w:p>
        </w:tc>
        <w:tc>
          <w:tcPr>
            <w:tcW w:w="903" w:type="pct"/>
            <w:tcBorders>
              <w:bottom w:val="single" w:sz="4" w:space="0" w:color="auto"/>
            </w:tcBorders>
            <w:noWrap/>
            <w:hideMark/>
          </w:tcPr>
          <w:p w:rsidR="008756AD" w:rsidRPr="00807FB9" w:rsidRDefault="008756AD" w:rsidP="0019080D">
            <w:pPr>
              <w:pStyle w:val="TableTextCentered"/>
            </w:pPr>
            <w:r>
              <w:t>1.8</w:t>
            </w:r>
          </w:p>
        </w:tc>
        <w:tc>
          <w:tcPr>
            <w:tcW w:w="878" w:type="pct"/>
            <w:tcBorders>
              <w:bottom w:val="single" w:sz="4" w:space="0" w:color="auto"/>
            </w:tcBorders>
            <w:noWrap/>
            <w:hideMark/>
          </w:tcPr>
          <w:p w:rsidR="008756AD" w:rsidRPr="00807FB9" w:rsidRDefault="008756AD" w:rsidP="0019080D">
            <w:pPr>
              <w:pStyle w:val="TableTextCentered"/>
            </w:pPr>
            <w:r>
              <w:t>2.7</w:t>
            </w:r>
          </w:p>
        </w:tc>
        <w:tc>
          <w:tcPr>
            <w:tcW w:w="818" w:type="pct"/>
            <w:tcBorders>
              <w:bottom w:val="single" w:sz="4" w:space="0" w:color="auto"/>
            </w:tcBorders>
            <w:noWrap/>
            <w:hideMark/>
          </w:tcPr>
          <w:p w:rsidR="008756AD" w:rsidRPr="00807FB9" w:rsidRDefault="00AE30AC" w:rsidP="0019080D">
            <w:pPr>
              <w:pStyle w:val="TableTextCentered"/>
            </w:pPr>
            <w:r>
              <w:t xml:space="preserve">+/- </w:t>
            </w:r>
            <w:r w:rsidR="008756AD">
              <w:t>20%</w:t>
            </w:r>
          </w:p>
        </w:tc>
        <w:tc>
          <w:tcPr>
            <w:tcW w:w="671" w:type="pct"/>
            <w:vMerge w:val="restart"/>
          </w:tcPr>
          <w:p w:rsidR="008756AD" w:rsidRPr="00807FB9" w:rsidRDefault="008756AD" w:rsidP="0019080D">
            <w:pPr>
              <w:pStyle w:val="TableTextCentered"/>
            </w:pPr>
            <w:r>
              <w:t>2.05</w:t>
            </w:r>
          </w:p>
        </w:tc>
      </w:tr>
      <w:tr w:rsidR="008756AD" w:rsidRPr="00FA77D6" w:rsidTr="00085539">
        <w:tc>
          <w:tcPr>
            <w:tcW w:w="1152" w:type="pct"/>
            <w:hideMark/>
          </w:tcPr>
          <w:p w:rsidR="008756AD" w:rsidRPr="00807FB9" w:rsidRDefault="008756AD" w:rsidP="003C50C4">
            <w:pPr>
              <w:pStyle w:val="TableText"/>
              <w:jc w:val="center"/>
            </w:pPr>
            <w:r w:rsidRPr="00C20B19">
              <w:t>20</w:t>
            </w:r>
            <w:r>
              <w:t>23</w:t>
            </w:r>
            <w:r>
              <w:rPr>
                <w:b/>
              </w:rPr>
              <w:t>–</w:t>
            </w:r>
            <w:r w:rsidRPr="00C20B19">
              <w:t>24</w:t>
            </w:r>
          </w:p>
        </w:tc>
        <w:tc>
          <w:tcPr>
            <w:tcW w:w="577" w:type="pct"/>
            <w:noWrap/>
            <w:hideMark/>
          </w:tcPr>
          <w:p w:rsidR="008756AD" w:rsidRPr="00807FB9" w:rsidRDefault="008756AD" w:rsidP="0019080D">
            <w:pPr>
              <w:pStyle w:val="TableTextCentered"/>
            </w:pPr>
            <w:r>
              <w:t>2.0</w:t>
            </w:r>
          </w:p>
        </w:tc>
        <w:tc>
          <w:tcPr>
            <w:tcW w:w="903" w:type="pct"/>
            <w:noWrap/>
            <w:hideMark/>
          </w:tcPr>
          <w:p w:rsidR="008756AD" w:rsidRPr="00807FB9" w:rsidRDefault="008756AD" w:rsidP="0019080D">
            <w:pPr>
              <w:pStyle w:val="TableTextCentered"/>
            </w:pPr>
            <w:r>
              <w:t>1.1</w:t>
            </w:r>
          </w:p>
        </w:tc>
        <w:tc>
          <w:tcPr>
            <w:tcW w:w="878" w:type="pct"/>
            <w:noWrap/>
            <w:hideMark/>
          </w:tcPr>
          <w:p w:rsidR="008756AD" w:rsidRPr="00807FB9" w:rsidRDefault="008756AD" w:rsidP="0019080D">
            <w:pPr>
              <w:pStyle w:val="TableTextCentered"/>
            </w:pPr>
            <w:r>
              <w:t>2.9</w:t>
            </w:r>
          </w:p>
        </w:tc>
        <w:tc>
          <w:tcPr>
            <w:tcW w:w="818" w:type="pct"/>
            <w:noWrap/>
            <w:hideMark/>
          </w:tcPr>
          <w:p w:rsidR="008756AD" w:rsidRPr="00807FB9" w:rsidRDefault="00AE30AC" w:rsidP="0019080D">
            <w:pPr>
              <w:pStyle w:val="TableTextCentered"/>
            </w:pPr>
            <w:r>
              <w:t xml:space="preserve">+/- </w:t>
            </w:r>
            <w:r w:rsidR="008756AD">
              <w:t>46%</w:t>
            </w:r>
          </w:p>
        </w:tc>
        <w:tc>
          <w:tcPr>
            <w:tcW w:w="671" w:type="pct"/>
            <w:vMerge/>
          </w:tcPr>
          <w:p w:rsidR="008756AD" w:rsidRPr="00807FB9" w:rsidRDefault="008756AD" w:rsidP="0019080D">
            <w:pPr>
              <w:pStyle w:val="TableTextCentered"/>
            </w:pPr>
          </w:p>
        </w:tc>
      </w:tr>
    </w:tbl>
    <w:p w:rsidR="00C157EC" w:rsidRPr="00EB58A1" w:rsidRDefault="00C157EC" w:rsidP="00A46F58">
      <w:pPr>
        <w:pStyle w:val="BodyText"/>
        <w:rPr>
          <w:rFonts w:cstheme="majorHAnsi"/>
          <w:szCs w:val="26"/>
        </w:rPr>
      </w:pPr>
      <w:r w:rsidRPr="00A46F58">
        <w:rPr>
          <w:rFonts w:asciiTheme="majorHAnsi" w:hAnsiTheme="majorHAnsi" w:cstheme="majorHAnsi"/>
          <w:b/>
          <w:i/>
          <w:sz w:val="26"/>
          <w:szCs w:val="26"/>
        </w:rPr>
        <w:t>Research Question 4a</w:t>
      </w:r>
      <w:r w:rsidR="00CA243F" w:rsidRPr="00A46F58">
        <w:rPr>
          <w:rFonts w:asciiTheme="majorHAnsi" w:hAnsiTheme="majorHAnsi" w:cstheme="majorHAnsi"/>
          <w:b/>
          <w:i/>
          <w:sz w:val="26"/>
          <w:szCs w:val="26"/>
        </w:rPr>
        <w:t>—</w:t>
      </w:r>
      <w:r w:rsidRPr="00A46F58">
        <w:rPr>
          <w:rFonts w:asciiTheme="majorHAnsi" w:hAnsiTheme="majorHAnsi" w:cstheme="majorHAnsi"/>
          <w:b/>
          <w:i/>
          <w:sz w:val="26"/>
          <w:szCs w:val="26"/>
        </w:rPr>
        <w:t>Validity of Results by Race</w:t>
      </w:r>
    </w:p>
    <w:p w:rsidR="00C157EC" w:rsidRPr="00A46F58" w:rsidRDefault="00C157EC" w:rsidP="00A46F58">
      <w:pPr>
        <w:pStyle w:val="BodyText"/>
        <w:rPr>
          <w:rFonts w:cstheme="majorHAnsi"/>
          <w:sz w:val="26"/>
          <w:szCs w:val="26"/>
        </w:rPr>
      </w:pPr>
      <w:r w:rsidRPr="00A46F58">
        <w:rPr>
          <w:rFonts w:asciiTheme="majorHAnsi" w:hAnsiTheme="majorHAnsi" w:cstheme="majorHAnsi"/>
          <w:b/>
          <w:sz w:val="26"/>
          <w:szCs w:val="26"/>
        </w:rPr>
        <w:t>Demand Projections</w:t>
      </w:r>
    </w:p>
    <w:p w:rsidR="00C157EC" w:rsidRDefault="00CA243F" w:rsidP="00C561D3">
      <w:pPr>
        <w:pStyle w:val="BodyText"/>
      </w:pPr>
      <w:r>
        <w:t>Table</w:t>
      </w:r>
      <w:r w:rsidR="00C157EC">
        <w:t xml:space="preserve"> C</w:t>
      </w:r>
      <w:r>
        <w:t>6</w:t>
      </w:r>
      <w:r w:rsidR="00C157EC">
        <w:t xml:space="preserve"> below shows the confidence intervals around the predicted point estimates for the proportions of teachers who are minority and white for the school years </w:t>
      </w:r>
      <w:r w:rsidR="00A4614C">
        <w:t xml:space="preserve">ending in 2014-15 and 2023-24. </w:t>
      </w:r>
      <w:r w:rsidR="00C157EC">
        <w:t xml:space="preserve">As can be seen, although the confidence intervals around the estimates of </w:t>
      </w:r>
      <w:r w:rsidR="00553EAF">
        <w:t>W</w:t>
      </w:r>
      <w:r w:rsidR="00C157EC">
        <w:t xml:space="preserve">hite teachers are larger in absolute terms than those of their minority counterparts, as a percentage of the point estimates the confidence intervals are actually tighter for </w:t>
      </w:r>
      <w:r w:rsidR="00553EAF">
        <w:t>W</w:t>
      </w:r>
      <w:r w:rsidR="00C157EC">
        <w:t xml:space="preserve">hite teachers. </w:t>
      </w:r>
    </w:p>
    <w:p w:rsidR="00C157EC" w:rsidRDefault="00C157EC" w:rsidP="00C561D3">
      <w:pPr>
        <w:pStyle w:val="BodyText"/>
      </w:pPr>
      <w:r>
        <w:t xml:space="preserve">However, for both teacher categories, the confidence intervals are large enough to cast some doubt on the overall predicted trends over time. This can be most easily seen in graphs of the point estimates and confidence intervals found in </w:t>
      </w:r>
      <w:r w:rsidR="00F11661">
        <w:t>Figures</w:t>
      </w:r>
      <w:r>
        <w:t xml:space="preserve"> C</w:t>
      </w:r>
      <w:r w:rsidR="00F11661">
        <w:t>1</w:t>
      </w:r>
      <w:r>
        <w:t xml:space="preserve"> and C</w:t>
      </w:r>
      <w:r w:rsidR="00F11661">
        <w:t>2</w:t>
      </w:r>
      <w:r>
        <w:t xml:space="preserve">. While the average trend is for the proportion of minority teachers to increase over time and the proportion of </w:t>
      </w:r>
      <w:r w:rsidR="00553EAF">
        <w:t>W</w:t>
      </w:r>
      <w:r>
        <w:t xml:space="preserve">hite teachers to decrease over time, confidence intervals indicate that decreases in the proportion of minority teachers and increases in the proportion of </w:t>
      </w:r>
      <w:r w:rsidR="00553EAF">
        <w:t>W</w:t>
      </w:r>
      <w:r>
        <w:t>hite teachers are certainly possible. Additionally, by 2023-24 the upper and lower bounds of the confidence intervals on the average proportion of minority teachers in districts are within +/</w:t>
      </w:r>
      <w:r>
        <w:rPr>
          <w:rFonts w:ascii="Times New Roman" w:hAnsi="Times New Roman"/>
        </w:rPr>
        <w:t>–</w:t>
      </w:r>
      <w:r>
        <w:t xml:space="preserve"> 33 percent of the point estimate, which suggests substantial uncertainty in the predictions. The size of the confidence intervals for both minority and </w:t>
      </w:r>
      <w:r w:rsidR="00553EAF">
        <w:t>W</w:t>
      </w:r>
      <w:r>
        <w:t>hite teachers grow by a factor of four over time, indicating more precision in earlier estimates.</w:t>
      </w:r>
      <w:r>
        <w:rPr>
          <w:rStyle w:val="FootnoteReference"/>
        </w:rPr>
        <w:footnoteReference w:id="51"/>
      </w:r>
    </w:p>
    <w:p w:rsidR="00C157EC" w:rsidRPr="00C279E4" w:rsidRDefault="00CA243F" w:rsidP="00C279E4">
      <w:pPr>
        <w:pStyle w:val="ExhibitTitle"/>
      </w:pPr>
      <w:r>
        <w:t>Table</w:t>
      </w:r>
      <w:r w:rsidR="00C157EC" w:rsidRPr="00DB105D">
        <w:t xml:space="preserve"> </w:t>
      </w:r>
      <w:r w:rsidR="00C157EC">
        <w:t>C</w:t>
      </w:r>
      <w:r>
        <w:t>6</w:t>
      </w:r>
      <w:r w:rsidR="00C157EC" w:rsidRPr="00DB105D">
        <w:t xml:space="preserve">. 95% Confidence Intervals </w:t>
      </w:r>
      <w:r w:rsidR="00C157EC">
        <w:t xml:space="preserve">for </w:t>
      </w:r>
      <w:r w:rsidR="00C157EC" w:rsidRPr="00DB105D">
        <w:t xml:space="preserve">Projected Proportions </w:t>
      </w:r>
      <w:r w:rsidR="00D41F40">
        <w:t xml:space="preserve">of Teachers by Teacher Race, </w:t>
      </w:r>
      <w:r w:rsidR="00787BB7">
        <w:t xml:space="preserve">  </w:t>
      </w:r>
      <w:r w:rsidR="00D41F40">
        <w:t>2014-15 and 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209"/>
        <w:gridCol w:w="1109"/>
        <w:gridCol w:w="1736"/>
        <w:gridCol w:w="1680"/>
        <w:gridCol w:w="1569"/>
        <w:gridCol w:w="1287"/>
      </w:tblGrid>
      <w:tr w:rsidR="00C279E4" w:rsidRPr="00AB5834" w:rsidTr="00085539">
        <w:trPr>
          <w:cnfStyle w:val="100000000000"/>
        </w:trPr>
        <w:tc>
          <w:tcPr>
            <w:tcW w:w="1152" w:type="pct"/>
            <w:tcBorders>
              <w:bottom w:val="single" w:sz="4" w:space="0" w:color="auto"/>
            </w:tcBorders>
          </w:tcPr>
          <w:p w:rsidR="00C157EC" w:rsidRPr="005C7312" w:rsidRDefault="00C157EC" w:rsidP="003C50C4">
            <w:pPr>
              <w:pStyle w:val="TableText"/>
              <w:jc w:val="center"/>
            </w:pPr>
            <w:r>
              <w:t>Race Proportion/Year</w:t>
            </w:r>
          </w:p>
        </w:tc>
        <w:tc>
          <w:tcPr>
            <w:tcW w:w="578" w:type="pct"/>
            <w:tcBorders>
              <w:bottom w:val="single" w:sz="4" w:space="0" w:color="auto"/>
            </w:tcBorders>
            <w:hideMark/>
          </w:tcPr>
          <w:p w:rsidR="00C157EC" w:rsidRPr="005C7312" w:rsidRDefault="00C157EC" w:rsidP="00C279E4">
            <w:pPr>
              <w:pStyle w:val="TableTextCentered"/>
            </w:pPr>
            <w:r w:rsidRPr="005C7312">
              <w:t>Average Point Estimate</w:t>
            </w:r>
          </w:p>
        </w:tc>
        <w:tc>
          <w:tcPr>
            <w:tcW w:w="905" w:type="pct"/>
            <w:tcBorders>
              <w:bottom w:val="single" w:sz="4" w:space="0" w:color="auto"/>
            </w:tcBorders>
            <w:hideMark/>
          </w:tcPr>
          <w:p w:rsidR="00C157EC" w:rsidRPr="005C7312" w:rsidRDefault="006D2330" w:rsidP="00C279E4">
            <w:pPr>
              <w:pStyle w:val="TableTextCentered"/>
            </w:pPr>
            <w:r>
              <w:t>95% Confidence Interval</w:t>
            </w:r>
            <w:r w:rsidRPr="00235005">
              <w:t>–</w:t>
            </w:r>
            <w:r w:rsidR="00C157EC" w:rsidRPr="005C7312">
              <w:t>Lower Bound</w:t>
            </w:r>
          </w:p>
        </w:tc>
        <w:tc>
          <w:tcPr>
            <w:tcW w:w="876" w:type="pct"/>
            <w:tcBorders>
              <w:bottom w:val="single" w:sz="4" w:space="0" w:color="auto"/>
            </w:tcBorders>
            <w:hideMark/>
          </w:tcPr>
          <w:p w:rsidR="00C157EC" w:rsidRPr="005C7312" w:rsidRDefault="006D2330" w:rsidP="00C279E4">
            <w:pPr>
              <w:pStyle w:val="TableTextCentered"/>
            </w:pPr>
            <w:r>
              <w:t>95% Confidence Interval</w:t>
            </w:r>
            <w:r w:rsidRPr="00235005">
              <w:t>–</w:t>
            </w:r>
            <w:r w:rsidR="00C157EC" w:rsidRPr="005C7312">
              <w:t>Upper Bound</w:t>
            </w:r>
          </w:p>
        </w:tc>
        <w:tc>
          <w:tcPr>
            <w:tcW w:w="818" w:type="pct"/>
            <w:tcBorders>
              <w:bottom w:val="single" w:sz="4" w:space="0" w:color="auto"/>
            </w:tcBorders>
            <w:hideMark/>
          </w:tcPr>
          <w:p w:rsidR="00C157EC" w:rsidRPr="005C7312" w:rsidRDefault="00C157EC" w:rsidP="00C279E4">
            <w:pPr>
              <w:pStyle w:val="TableTextCentered"/>
            </w:pPr>
            <w:r w:rsidRPr="005C7312">
              <w:t>Percent Above/Below Estimate</w:t>
            </w:r>
          </w:p>
        </w:tc>
        <w:tc>
          <w:tcPr>
            <w:tcW w:w="671" w:type="pct"/>
            <w:tcBorders>
              <w:bottom w:val="single" w:sz="4" w:space="0" w:color="auto"/>
            </w:tcBorders>
          </w:tcPr>
          <w:p w:rsidR="00C157EC" w:rsidRPr="005C7312" w:rsidRDefault="00C157EC" w:rsidP="00C279E4">
            <w:pPr>
              <w:pStyle w:val="TableTextCentered"/>
            </w:pPr>
            <w:r w:rsidRPr="005C7312">
              <w:t>Growth of Interval Over Time</w:t>
            </w:r>
          </w:p>
        </w:tc>
      </w:tr>
      <w:tr w:rsidR="00B70E1A" w:rsidRPr="00AB5834" w:rsidTr="007820C5">
        <w:tc>
          <w:tcPr>
            <w:tcW w:w="1152" w:type="pct"/>
            <w:tcBorders>
              <w:bottom w:val="single" w:sz="4" w:space="0" w:color="auto"/>
            </w:tcBorders>
            <w:shd w:val="clear" w:color="auto" w:fill="D9E3ED" w:themeFill="accent1" w:themeFillTint="33"/>
            <w:hideMark/>
          </w:tcPr>
          <w:p w:rsidR="00C157EC" w:rsidRPr="0044505A" w:rsidRDefault="00C157EC" w:rsidP="003C50C4">
            <w:pPr>
              <w:pStyle w:val="TableText"/>
              <w:jc w:val="center"/>
            </w:pPr>
            <w:r w:rsidRPr="0044505A">
              <w:t>All Minority</w:t>
            </w:r>
          </w:p>
        </w:tc>
        <w:tc>
          <w:tcPr>
            <w:tcW w:w="578" w:type="pct"/>
            <w:tcBorders>
              <w:bottom w:val="single" w:sz="4" w:space="0" w:color="auto"/>
            </w:tcBorders>
            <w:shd w:val="clear" w:color="auto" w:fill="D9E3ED" w:themeFill="accent1" w:themeFillTint="33"/>
            <w:noWrap/>
            <w:hideMark/>
          </w:tcPr>
          <w:p w:rsidR="00C157EC" w:rsidRPr="005C7312" w:rsidRDefault="00C157EC" w:rsidP="00C279E4">
            <w:pPr>
              <w:pStyle w:val="TableTextCentered"/>
            </w:pPr>
          </w:p>
        </w:tc>
        <w:tc>
          <w:tcPr>
            <w:tcW w:w="905" w:type="pct"/>
            <w:tcBorders>
              <w:bottom w:val="single" w:sz="4" w:space="0" w:color="auto"/>
            </w:tcBorders>
            <w:shd w:val="clear" w:color="auto" w:fill="D9E3ED" w:themeFill="accent1" w:themeFillTint="33"/>
            <w:noWrap/>
            <w:hideMark/>
          </w:tcPr>
          <w:p w:rsidR="00C157EC" w:rsidRPr="005C7312" w:rsidRDefault="00C157EC" w:rsidP="00C279E4">
            <w:pPr>
              <w:pStyle w:val="TableTextCentered"/>
            </w:pPr>
          </w:p>
        </w:tc>
        <w:tc>
          <w:tcPr>
            <w:tcW w:w="876" w:type="pct"/>
            <w:tcBorders>
              <w:bottom w:val="single" w:sz="4" w:space="0" w:color="auto"/>
            </w:tcBorders>
            <w:shd w:val="clear" w:color="auto" w:fill="D9E3ED" w:themeFill="accent1" w:themeFillTint="33"/>
            <w:noWrap/>
            <w:hideMark/>
          </w:tcPr>
          <w:p w:rsidR="00C157EC" w:rsidRPr="005C7312" w:rsidRDefault="00C157EC" w:rsidP="00C279E4">
            <w:pPr>
              <w:pStyle w:val="TableTextCentered"/>
            </w:pPr>
          </w:p>
        </w:tc>
        <w:tc>
          <w:tcPr>
            <w:tcW w:w="818" w:type="pct"/>
            <w:tcBorders>
              <w:bottom w:val="single" w:sz="4" w:space="0" w:color="auto"/>
            </w:tcBorders>
            <w:shd w:val="clear" w:color="auto" w:fill="D9E3ED" w:themeFill="accent1" w:themeFillTint="33"/>
            <w:noWrap/>
            <w:hideMark/>
          </w:tcPr>
          <w:p w:rsidR="00C157EC" w:rsidRPr="005C7312" w:rsidRDefault="00C157EC" w:rsidP="00C279E4">
            <w:pPr>
              <w:pStyle w:val="TableTextCentered"/>
            </w:pPr>
          </w:p>
        </w:tc>
        <w:tc>
          <w:tcPr>
            <w:tcW w:w="671" w:type="pct"/>
            <w:tcBorders>
              <w:bottom w:val="single" w:sz="4" w:space="0" w:color="auto"/>
            </w:tcBorders>
            <w:shd w:val="clear" w:color="auto" w:fill="D9E3ED" w:themeFill="accent1" w:themeFillTint="33"/>
          </w:tcPr>
          <w:p w:rsidR="00C157EC" w:rsidRPr="005C7312" w:rsidRDefault="00C157EC" w:rsidP="00C279E4">
            <w:pPr>
              <w:pStyle w:val="TableTextCentered"/>
            </w:pPr>
          </w:p>
        </w:tc>
      </w:tr>
      <w:tr w:rsidR="00C279E4" w:rsidRPr="00AB5834" w:rsidTr="00085539">
        <w:tc>
          <w:tcPr>
            <w:tcW w:w="1152" w:type="pct"/>
            <w:tcBorders>
              <w:bottom w:val="single" w:sz="4" w:space="0" w:color="auto"/>
            </w:tcBorders>
            <w:hideMark/>
          </w:tcPr>
          <w:p w:rsidR="00C279E4" w:rsidRPr="005C7312" w:rsidRDefault="00C279E4" w:rsidP="003C50C4">
            <w:pPr>
              <w:pStyle w:val="TableText"/>
              <w:jc w:val="center"/>
            </w:pPr>
            <w:r>
              <w:t>2014-</w:t>
            </w:r>
            <w:r w:rsidRPr="005C7312">
              <w:t>15</w:t>
            </w:r>
          </w:p>
        </w:tc>
        <w:tc>
          <w:tcPr>
            <w:tcW w:w="578" w:type="pct"/>
            <w:tcBorders>
              <w:bottom w:val="single" w:sz="4" w:space="0" w:color="auto"/>
            </w:tcBorders>
            <w:noWrap/>
            <w:hideMark/>
          </w:tcPr>
          <w:p w:rsidR="00C279E4" w:rsidRPr="005C7312" w:rsidRDefault="00C279E4" w:rsidP="00C279E4">
            <w:pPr>
              <w:pStyle w:val="TableTextCentered"/>
            </w:pPr>
            <w:r w:rsidRPr="005C7312">
              <w:t>0.029</w:t>
            </w:r>
          </w:p>
        </w:tc>
        <w:tc>
          <w:tcPr>
            <w:tcW w:w="905" w:type="pct"/>
            <w:tcBorders>
              <w:bottom w:val="single" w:sz="4" w:space="0" w:color="auto"/>
            </w:tcBorders>
            <w:noWrap/>
            <w:hideMark/>
          </w:tcPr>
          <w:p w:rsidR="00C279E4" w:rsidRPr="005C7312" w:rsidRDefault="00C279E4" w:rsidP="00C279E4">
            <w:pPr>
              <w:pStyle w:val="TableTextCentered"/>
            </w:pPr>
            <w:r w:rsidRPr="005C7312">
              <w:t>0.027</w:t>
            </w:r>
          </w:p>
        </w:tc>
        <w:tc>
          <w:tcPr>
            <w:tcW w:w="876" w:type="pct"/>
            <w:tcBorders>
              <w:bottom w:val="single" w:sz="4" w:space="0" w:color="auto"/>
            </w:tcBorders>
            <w:noWrap/>
            <w:hideMark/>
          </w:tcPr>
          <w:p w:rsidR="00C279E4" w:rsidRPr="005C7312" w:rsidRDefault="00C279E4" w:rsidP="00C279E4">
            <w:pPr>
              <w:pStyle w:val="TableTextCentered"/>
            </w:pPr>
            <w:r w:rsidRPr="005C7312">
              <w:t>0.032</w:t>
            </w:r>
          </w:p>
        </w:tc>
        <w:tc>
          <w:tcPr>
            <w:tcW w:w="818" w:type="pct"/>
            <w:tcBorders>
              <w:bottom w:val="single" w:sz="4" w:space="0" w:color="auto"/>
            </w:tcBorders>
            <w:noWrap/>
            <w:hideMark/>
          </w:tcPr>
          <w:p w:rsidR="00C279E4" w:rsidRPr="005C7312" w:rsidRDefault="00C279E4" w:rsidP="00C279E4">
            <w:pPr>
              <w:pStyle w:val="TableTextCentered"/>
            </w:pPr>
            <w:r>
              <w:t xml:space="preserve">+/- </w:t>
            </w:r>
            <w:r w:rsidRPr="005C7312">
              <w:t>10%</w:t>
            </w:r>
          </w:p>
        </w:tc>
        <w:tc>
          <w:tcPr>
            <w:tcW w:w="671" w:type="pct"/>
            <w:vMerge w:val="restart"/>
          </w:tcPr>
          <w:p w:rsidR="00C279E4" w:rsidRPr="005C7312" w:rsidRDefault="00C279E4" w:rsidP="00C279E4">
            <w:pPr>
              <w:pStyle w:val="TableTextCentered"/>
            </w:pPr>
            <w:r>
              <w:t>3</w:t>
            </w:r>
            <w:r w:rsidRPr="005C7312">
              <w:t>.98</w:t>
            </w:r>
          </w:p>
        </w:tc>
      </w:tr>
      <w:tr w:rsidR="00C279E4" w:rsidRPr="00AB5834" w:rsidTr="00085539">
        <w:tc>
          <w:tcPr>
            <w:tcW w:w="1152" w:type="pct"/>
            <w:tcBorders>
              <w:bottom w:val="single" w:sz="4" w:space="0" w:color="auto"/>
            </w:tcBorders>
            <w:hideMark/>
          </w:tcPr>
          <w:p w:rsidR="00C279E4" w:rsidRPr="005C7312" w:rsidRDefault="00C279E4" w:rsidP="003C50C4">
            <w:pPr>
              <w:pStyle w:val="TableText"/>
              <w:jc w:val="center"/>
            </w:pPr>
            <w:r>
              <w:t>2023-</w:t>
            </w:r>
            <w:r w:rsidRPr="005C7312">
              <w:t>24</w:t>
            </w:r>
          </w:p>
        </w:tc>
        <w:tc>
          <w:tcPr>
            <w:tcW w:w="578" w:type="pct"/>
            <w:tcBorders>
              <w:bottom w:val="single" w:sz="4" w:space="0" w:color="auto"/>
            </w:tcBorders>
            <w:noWrap/>
            <w:hideMark/>
          </w:tcPr>
          <w:p w:rsidR="00C279E4" w:rsidRPr="005C7312" w:rsidRDefault="00C279E4" w:rsidP="00C279E4">
            <w:pPr>
              <w:pStyle w:val="TableTextCentered"/>
            </w:pPr>
            <w:r w:rsidRPr="005C7312">
              <w:t>0.034</w:t>
            </w:r>
          </w:p>
        </w:tc>
        <w:tc>
          <w:tcPr>
            <w:tcW w:w="905" w:type="pct"/>
            <w:tcBorders>
              <w:bottom w:val="single" w:sz="4" w:space="0" w:color="auto"/>
            </w:tcBorders>
            <w:noWrap/>
            <w:hideMark/>
          </w:tcPr>
          <w:p w:rsidR="00C279E4" w:rsidRPr="005C7312" w:rsidRDefault="00C279E4" w:rsidP="00C279E4">
            <w:pPr>
              <w:pStyle w:val="TableTextCentered"/>
            </w:pPr>
            <w:r w:rsidRPr="005C7312">
              <w:t>0.022</w:t>
            </w:r>
          </w:p>
        </w:tc>
        <w:tc>
          <w:tcPr>
            <w:tcW w:w="876" w:type="pct"/>
            <w:tcBorders>
              <w:bottom w:val="single" w:sz="4" w:space="0" w:color="auto"/>
            </w:tcBorders>
            <w:noWrap/>
            <w:hideMark/>
          </w:tcPr>
          <w:p w:rsidR="00C279E4" w:rsidRPr="005C7312" w:rsidRDefault="00C279E4" w:rsidP="00C279E4">
            <w:pPr>
              <w:pStyle w:val="TableTextCentered"/>
            </w:pPr>
            <w:r w:rsidRPr="005C7312">
              <w:t>0.045</w:t>
            </w:r>
          </w:p>
        </w:tc>
        <w:tc>
          <w:tcPr>
            <w:tcW w:w="818" w:type="pct"/>
            <w:tcBorders>
              <w:bottom w:val="single" w:sz="4" w:space="0" w:color="auto"/>
            </w:tcBorders>
            <w:noWrap/>
            <w:hideMark/>
          </w:tcPr>
          <w:p w:rsidR="00C279E4" w:rsidRPr="005C7312" w:rsidRDefault="00C279E4" w:rsidP="00C279E4">
            <w:pPr>
              <w:pStyle w:val="TableTextCentered"/>
            </w:pPr>
            <w:r>
              <w:t xml:space="preserve">+/- </w:t>
            </w:r>
            <w:r w:rsidRPr="005C7312">
              <w:t>33%</w:t>
            </w:r>
          </w:p>
        </w:tc>
        <w:tc>
          <w:tcPr>
            <w:tcW w:w="671" w:type="pct"/>
            <w:vMerge/>
            <w:tcBorders>
              <w:bottom w:val="single" w:sz="4" w:space="0" w:color="auto"/>
            </w:tcBorders>
          </w:tcPr>
          <w:p w:rsidR="00C279E4" w:rsidRPr="005C7312" w:rsidRDefault="00C279E4" w:rsidP="00C279E4">
            <w:pPr>
              <w:pStyle w:val="TableTextCentered"/>
            </w:pPr>
          </w:p>
        </w:tc>
      </w:tr>
      <w:tr w:rsidR="00B70E1A" w:rsidRPr="00AB5834" w:rsidTr="007820C5">
        <w:tc>
          <w:tcPr>
            <w:tcW w:w="1152" w:type="pct"/>
            <w:tcBorders>
              <w:bottom w:val="single" w:sz="4" w:space="0" w:color="auto"/>
            </w:tcBorders>
            <w:shd w:val="clear" w:color="auto" w:fill="D9E3ED" w:themeFill="accent1" w:themeFillTint="33"/>
            <w:noWrap/>
            <w:hideMark/>
          </w:tcPr>
          <w:p w:rsidR="00C157EC" w:rsidRPr="0044505A" w:rsidRDefault="00C157EC" w:rsidP="003C50C4">
            <w:pPr>
              <w:pStyle w:val="TableText"/>
              <w:jc w:val="center"/>
            </w:pPr>
            <w:r w:rsidRPr="0044505A">
              <w:t>White</w:t>
            </w:r>
          </w:p>
        </w:tc>
        <w:tc>
          <w:tcPr>
            <w:tcW w:w="578" w:type="pct"/>
            <w:tcBorders>
              <w:bottom w:val="single" w:sz="4" w:space="0" w:color="auto"/>
            </w:tcBorders>
            <w:shd w:val="clear" w:color="auto" w:fill="D9E3ED" w:themeFill="accent1" w:themeFillTint="33"/>
            <w:noWrap/>
            <w:hideMark/>
          </w:tcPr>
          <w:p w:rsidR="00C157EC" w:rsidRPr="005C7312" w:rsidRDefault="00C157EC" w:rsidP="00C279E4">
            <w:pPr>
              <w:pStyle w:val="TableTextCentered"/>
            </w:pPr>
          </w:p>
        </w:tc>
        <w:tc>
          <w:tcPr>
            <w:tcW w:w="905" w:type="pct"/>
            <w:tcBorders>
              <w:bottom w:val="single" w:sz="4" w:space="0" w:color="auto"/>
            </w:tcBorders>
            <w:shd w:val="clear" w:color="auto" w:fill="D9E3ED" w:themeFill="accent1" w:themeFillTint="33"/>
            <w:noWrap/>
            <w:hideMark/>
          </w:tcPr>
          <w:p w:rsidR="00C157EC" w:rsidRPr="005C7312" w:rsidRDefault="00C157EC" w:rsidP="00C279E4">
            <w:pPr>
              <w:pStyle w:val="TableTextCentered"/>
            </w:pPr>
          </w:p>
        </w:tc>
        <w:tc>
          <w:tcPr>
            <w:tcW w:w="876" w:type="pct"/>
            <w:tcBorders>
              <w:bottom w:val="single" w:sz="4" w:space="0" w:color="auto"/>
            </w:tcBorders>
            <w:shd w:val="clear" w:color="auto" w:fill="D9E3ED" w:themeFill="accent1" w:themeFillTint="33"/>
            <w:noWrap/>
            <w:hideMark/>
          </w:tcPr>
          <w:p w:rsidR="00C157EC" w:rsidRPr="005C7312" w:rsidRDefault="00C157EC" w:rsidP="00C279E4">
            <w:pPr>
              <w:pStyle w:val="TableTextCentered"/>
            </w:pPr>
          </w:p>
        </w:tc>
        <w:tc>
          <w:tcPr>
            <w:tcW w:w="818" w:type="pct"/>
            <w:tcBorders>
              <w:bottom w:val="single" w:sz="4" w:space="0" w:color="auto"/>
            </w:tcBorders>
            <w:shd w:val="clear" w:color="auto" w:fill="D9E3ED" w:themeFill="accent1" w:themeFillTint="33"/>
            <w:noWrap/>
            <w:hideMark/>
          </w:tcPr>
          <w:p w:rsidR="00C157EC" w:rsidRPr="005C7312" w:rsidRDefault="00C157EC" w:rsidP="00C279E4">
            <w:pPr>
              <w:pStyle w:val="TableTextCentered"/>
            </w:pPr>
          </w:p>
        </w:tc>
        <w:tc>
          <w:tcPr>
            <w:tcW w:w="671" w:type="pct"/>
            <w:tcBorders>
              <w:bottom w:val="single" w:sz="4" w:space="0" w:color="auto"/>
            </w:tcBorders>
            <w:shd w:val="clear" w:color="auto" w:fill="D9E3ED" w:themeFill="accent1" w:themeFillTint="33"/>
          </w:tcPr>
          <w:p w:rsidR="00C157EC" w:rsidRPr="005C7312" w:rsidRDefault="00C157EC" w:rsidP="00C279E4">
            <w:pPr>
              <w:pStyle w:val="TableTextCentered"/>
            </w:pPr>
          </w:p>
        </w:tc>
      </w:tr>
      <w:tr w:rsidR="00C279E4" w:rsidRPr="00AB5834" w:rsidTr="00085539">
        <w:tc>
          <w:tcPr>
            <w:tcW w:w="1152" w:type="pct"/>
            <w:tcBorders>
              <w:bottom w:val="single" w:sz="4" w:space="0" w:color="auto"/>
            </w:tcBorders>
            <w:hideMark/>
          </w:tcPr>
          <w:p w:rsidR="00C279E4" w:rsidRPr="005C7312" w:rsidRDefault="00C279E4" w:rsidP="003C50C4">
            <w:pPr>
              <w:pStyle w:val="TableText"/>
              <w:jc w:val="center"/>
            </w:pPr>
            <w:r>
              <w:t>2014-</w:t>
            </w:r>
            <w:r w:rsidRPr="005C7312">
              <w:t>15</w:t>
            </w:r>
          </w:p>
        </w:tc>
        <w:tc>
          <w:tcPr>
            <w:tcW w:w="578" w:type="pct"/>
            <w:tcBorders>
              <w:bottom w:val="single" w:sz="4" w:space="0" w:color="auto"/>
            </w:tcBorders>
            <w:noWrap/>
            <w:hideMark/>
          </w:tcPr>
          <w:p w:rsidR="00C279E4" w:rsidRPr="005C7312" w:rsidRDefault="00C279E4" w:rsidP="00C279E4">
            <w:pPr>
              <w:pStyle w:val="TableTextCentered"/>
            </w:pPr>
            <w:r w:rsidRPr="005C7312">
              <w:t>0.971</w:t>
            </w:r>
          </w:p>
        </w:tc>
        <w:tc>
          <w:tcPr>
            <w:tcW w:w="905" w:type="pct"/>
            <w:tcBorders>
              <w:bottom w:val="single" w:sz="4" w:space="0" w:color="auto"/>
            </w:tcBorders>
            <w:noWrap/>
            <w:hideMark/>
          </w:tcPr>
          <w:p w:rsidR="00C279E4" w:rsidRPr="005C7312" w:rsidRDefault="00C279E4" w:rsidP="00C279E4">
            <w:pPr>
              <w:pStyle w:val="TableTextCentered"/>
            </w:pPr>
            <w:r w:rsidRPr="005C7312">
              <w:t>0.968</w:t>
            </w:r>
          </w:p>
        </w:tc>
        <w:tc>
          <w:tcPr>
            <w:tcW w:w="876" w:type="pct"/>
            <w:tcBorders>
              <w:bottom w:val="single" w:sz="4" w:space="0" w:color="auto"/>
            </w:tcBorders>
            <w:noWrap/>
            <w:hideMark/>
          </w:tcPr>
          <w:p w:rsidR="00C279E4" w:rsidRPr="005C7312" w:rsidRDefault="00C279E4" w:rsidP="00C279E4">
            <w:pPr>
              <w:pStyle w:val="TableTextCentered"/>
            </w:pPr>
            <w:r w:rsidRPr="005C7312">
              <w:t>0.973</w:t>
            </w:r>
          </w:p>
        </w:tc>
        <w:tc>
          <w:tcPr>
            <w:tcW w:w="818" w:type="pct"/>
            <w:tcBorders>
              <w:bottom w:val="single" w:sz="4" w:space="0" w:color="auto"/>
            </w:tcBorders>
            <w:noWrap/>
            <w:hideMark/>
          </w:tcPr>
          <w:p w:rsidR="00C279E4" w:rsidRPr="005C7312" w:rsidRDefault="00C279E4" w:rsidP="00C279E4">
            <w:pPr>
              <w:pStyle w:val="TableTextCentered"/>
            </w:pPr>
            <w:r>
              <w:t xml:space="preserve">+/- </w:t>
            </w:r>
            <w:r w:rsidRPr="005C7312">
              <w:t>0.3%</w:t>
            </w:r>
          </w:p>
        </w:tc>
        <w:tc>
          <w:tcPr>
            <w:tcW w:w="671" w:type="pct"/>
            <w:vMerge w:val="restart"/>
          </w:tcPr>
          <w:p w:rsidR="00C279E4" w:rsidRPr="005C7312" w:rsidRDefault="00C279E4" w:rsidP="00C279E4">
            <w:pPr>
              <w:pStyle w:val="TableTextCentered"/>
            </w:pPr>
            <w:r>
              <w:t>3</w:t>
            </w:r>
            <w:r w:rsidRPr="005C7312">
              <w:t>.97</w:t>
            </w:r>
          </w:p>
        </w:tc>
      </w:tr>
      <w:tr w:rsidR="00C279E4" w:rsidRPr="00AB5834" w:rsidTr="00085539">
        <w:tc>
          <w:tcPr>
            <w:tcW w:w="1152" w:type="pct"/>
            <w:hideMark/>
          </w:tcPr>
          <w:p w:rsidR="00C279E4" w:rsidRPr="005C7312" w:rsidRDefault="00C279E4" w:rsidP="003C50C4">
            <w:pPr>
              <w:pStyle w:val="TableText"/>
              <w:jc w:val="center"/>
            </w:pPr>
            <w:r>
              <w:t>2023-</w:t>
            </w:r>
            <w:r w:rsidRPr="005C7312">
              <w:t>24</w:t>
            </w:r>
          </w:p>
        </w:tc>
        <w:tc>
          <w:tcPr>
            <w:tcW w:w="578" w:type="pct"/>
            <w:noWrap/>
            <w:hideMark/>
          </w:tcPr>
          <w:p w:rsidR="00C279E4" w:rsidRPr="005C7312" w:rsidRDefault="00C279E4" w:rsidP="00C279E4">
            <w:pPr>
              <w:pStyle w:val="TableTextCentered"/>
            </w:pPr>
            <w:r w:rsidRPr="005C7312">
              <w:t>0.967</w:t>
            </w:r>
          </w:p>
        </w:tc>
        <w:tc>
          <w:tcPr>
            <w:tcW w:w="905" w:type="pct"/>
            <w:noWrap/>
            <w:hideMark/>
          </w:tcPr>
          <w:p w:rsidR="00C279E4" w:rsidRPr="005C7312" w:rsidRDefault="00C279E4" w:rsidP="00C279E4">
            <w:pPr>
              <w:pStyle w:val="TableTextCentered"/>
            </w:pPr>
            <w:r w:rsidRPr="005C7312">
              <w:t>0.955</w:t>
            </w:r>
          </w:p>
        </w:tc>
        <w:tc>
          <w:tcPr>
            <w:tcW w:w="876" w:type="pct"/>
            <w:noWrap/>
            <w:hideMark/>
          </w:tcPr>
          <w:p w:rsidR="00C279E4" w:rsidRPr="005C7312" w:rsidRDefault="00C279E4" w:rsidP="00C279E4">
            <w:pPr>
              <w:pStyle w:val="TableTextCentered"/>
            </w:pPr>
            <w:r w:rsidRPr="005C7312">
              <w:t>0.978</w:t>
            </w:r>
          </w:p>
        </w:tc>
        <w:tc>
          <w:tcPr>
            <w:tcW w:w="818" w:type="pct"/>
            <w:noWrap/>
            <w:hideMark/>
          </w:tcPr>
          <w:p w:rsidR="00C279E4" w:rsidRPr="005C7312" w:rsidRDefault="00C279E4" w:rsidP="00C279E4">
            <w:pPr>
              <w:pStyle w:val="TableTextCentered"/>
            </w:pPr>
            <w:r>
              <w:t xml:space="preserve">+/- </w:t>
            </w:r>
            <w:r w:rsidRPr="005C7312">
              <w:t>1.1%</w:t>
            </w:r>
          </w:p>
        </w:tc>
        <w:tc>
          <w:tcPr>
            <w:tcW w:w="671" w:type="pct"/>
            <w:vMerge/>
          </w:tcPr>
          <w:p w:rsidR="00C279E4" w:rsidRDefault="00C279E4" w:rsidP="00C279E4">
            <w:pPr>
              <w:pStyle w:val="TableTextCentered"/>
            </w:pPr>
          </w:p>
        </w:tc>
      </w:tr>
    </w:tbl>
    <w:p w:rsidR="00C157EC" w:rsidRPr="002D0F6A" w:rsidRDefault="00CA243F" w:rsidP="00C279E4">
      <w:pPr>
        <w:pStyle w:val="ExhibitTitle"/>
      </w:pPr>
      <w:r>
        <w:t>Figure</w:t>
      </w:r>
      <w:r w:rsidR="00C157EC" w:rsidRPr="002D0F6A">
        <w:t xml:space="preserve"> </w:t>
      </w:r>
      <w:r w:rsidR="00C157EC">
        <w:t>C</w:t>
      </w:r>
      <w:r>
        <w:t>1</w:t>
      </w:r>
      <w:r w:rsidR="00C157EC" w:rsidRPr="002D0F6A">
        <w:t xml:space="preserve">. Confidence Intervals for </w:t>
      </w:r>
      <w:r w:rsidR="00C157EC">
        <w:t xml:space="preserve">the </w:t>
      </w:r>
      <w:r w:rsidR="00C157EC" w:rsidRPr="002D0F6A">
        <w:t xml:space="preserve">Average Projected Proportion </w:t>
      </w:r>
      <w:r w:rsidR="00C157EC">
        <w:t>of</w:t>
      </w:r>
      <w:r w:rsidR="00C157EC" w:rsidRPr="002D0F6A">
        <w:t xml:space="preserve"> </w:t>
      </w:r>
      <w:r w:rsidR="00D41F40">
        <w:t>Minority Teachers,</w:t>
      </w:r>
      <w:r w:rsidR="00C157EC">
        <w:t xml:space="preserve"> </w:t>
      </w:r>
      <w:r w:rsidR="00C157EC" w:rsidRPr="00F52938">
        <w:t>200</w:t>
      </w:r>
      <w:r w:rsidR="00C157EC">
        <w:t>8-0</w:t>
      </w:r>
      <w:r w:rsidR="00C157EC" w:rsidRPr="00F52938">
        <w:t>9</w:t>
      </w:r>
      <w:r w:rsidR="0092042A">
        <w:t xml:space="preserve"> </w:t>
      </w:r>
      <w:proofErr w:type="gramStart"/>
      <w:r w:rsidR="0092042A">
        <w:t>Through</w:t>
      </w:r>
      <w:proofErr w:type="gramEnd"/>
      <w:r w:rsidR="0092042A">
        <w:t xml:space="preserve"> </w:t>
      </w:r>
      <w:r w:rsidR="00C157EC" w:rsidRPr="00F52938">
        <w:t>20</w:t>
      </w:r>
      <w:r w:rsidR="00C157EC">
        <w:t>23-</w:t>
      </w:r>
      <w:r w:rsidR="00C157EC" w:rsidRPr="00F52938">
        <w:t>24</w:t>
      </w:r>
    </w:p>
    <w:p w:rsidR="00C157EC" w:rsidRDefault="00C157EC" w:rsidP="00C279E4">
      <w:pPr>
        <w:pStyle w:val="FigurePlacement"/>
      </w:pPr>
      <w:r w:rsidRPr="00914CAB">
        <w:rPr>
          <w:noProof/>
          <w:lang w:eastAsia="zh-CN" w:bidi="km-KH"/>
        </w:rPr>
        <w:drawing>
          <wp:inline distT="0" distB="0" distL="0" distR="0">
            <wp:extent cx="5633085" cy="3657280"/>
            <wp:effectExtent l="19050" t="0" r="5715" b="0"/>
            <wp:docPr id="288" name="Picture 288" descr="Figure C1. Confidence Intervals for the Average Projected Proportion of Minority Teacher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7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23" t="3555" r="2958" b="6362"/>
                    <a:stretch/>
                  </pic:blipFill>
                  <pic:spPr bwMode="auto">
                    <a:xfrm>
                      <a:off x="0" y="0"/>
                      <a:ext cx="5633578"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Default="00F11661" w:rsidP="00C157EC">
      <w:r w:rsidRPr="00605BE7">
        <w:rPr>
          <w:rFonts w:asciiTheme="majorHAnsi" w:hAnsiTheme="majorHAnsi" w:cstheme="majorHAnsi"/>
          <w:b/>
          <w:sz w:val="20"/>
          <w:szCs w:val="20"/>
        </w:rPr>
        <w:t>Figure</w:t>
      </w:r>
      <w:r w:rsidR="00C157EC" w:rsidRPr="00605BE7">
        <w:rPr>
          <w:rFonts w:asciiTheme="majorHAnsi" w:hAnsiTheme="majorHAnsi" w:cstheme="majorHAnsi"/>
          <w:b/>
          <w:sz w:val="20"/>
          <w:szCs w:val="20"/>
        </w:rPr>
        <w:t xml:space="preserve"> C</w:t>
      </w:r>
      <w:r w:rsidRPr="00605BE7">
        <w:rPr>
          <w:rFonts w:asciiTheme="majorHAnsi" w:hAnsiTheme="majorHAnsi" w:cstheme="majorHAnsi"/>
          <w:b/>
          <w:sz w:val="20"/>
          <w:szCs w:val="20"/>
        </w:rPr>
        <w:t>2</w:t>
      </w:r>
      <w:r w:rsidR="00C157EC" w:rsidRPr="00605BE7">
        <w:rPr>
          <w:rFonts w:asciiTheme="majorHAnsi" w:hAnsiTheme="majorHAnsi" w:cstheme="majorHAnsi"/>
          <w:b/>
          <w:sz w:val="20"/>
          <w:szCs w:val="20"/>
        </w:rPr>
        <w:t xml:space="preserve">. Confidence Intervals for the Average Projected Proportion of </w:t>
      </w:r>
      <w:r w:rsidR="00D41F40">
        <w:rPr>
          <w:rFonts w:asciiTheme="majorHAnsi" w:hAnsiTheme="majorHAnsi" w:cstheme="majorHAnsi"/>
          <w:b/>
          <w:sz w:val="20"/>
          <w:szCs w:val="20"/>
        </w:rPr>
        <w:t>White Teachers,</w:t>
      </w:r>
      <w:r w:rsidR="00C157EC" w:rsidRPr="00605BE7">
        <w:rPr>
          <w:rFonts w:asciiTheme="majorHAnsi" w:hAnsiTheme="majorHAnsi" w:cstheme="majorHAnsi"/>
          <w:b/>
          <w:sz w:val="20"/>
          <w:szCs w:val="20"/>
        </w:rPr>
        <w:t xml:space="preserve"> 2008-09</w:t>
      </w:r>
      <w:r w:rsidR="0092042A" w:rsidRPr="00605BE7">
        <w:rPr>
          <w:rFonts w:asciiTheme="majorHAnsi" w:hAnsiTheme="majorHAnsi" w:cstheme="majorHAnsi"/>
          <w:b/>
          <w:sz w:val="20"/>
          <w:szCs w:val="20"/>
        </w:rPr>
        <w:t xml:space="preserve"> </w:t>
      </w:r>
      <w:proofErr w:type="gramStart"/>
      <w:r w:rsidR="0092042A" w:rsidRPr="00605BE7">
        <w:rPr>
          <w:rFonts w:asciiTheme="majorHAnsi" w:hAnsiTheme="majorHAnsi" w:cstheme="majorHAnsi"/>
          <w:b/>
          <w:sz w:val="20"/>
          <w:szCs w:val="20"/>
        </w:rPr>
        <w:t>Through</w:t>
      </w:r>
      <w:proofErr w:type="gramEnd"/>
      <w:r w:rsidR="0092042A" w:rsidRPr="00605BE7">
        <w:rPr>
          <w:rFonts w:asciiTheme="majorHAnsi" w:hAnsiTheme="majorHAnsi" w:cstheme="majorHAnsi"/>
          <w:b/>
          <w:sz w:val="20"/>
          <w:szCs w:val="20"/>
        </w:rPr>
        <w:t xml:space="preserve"> </w:t>
      </w:r>
      <w:r w:rsidR="00C157EC" w:rsidRPr="00605BE7">
        <w:rPr>
          <w:rFonts w:asciiTheme="majorHAnsi" w:hAnsiTheme="majorHAnsi" w:cstheme="majorHAnsi"/>
          <w:b/>
          <w:sz w:val="20"/>
          <w:szCs w:val="20"/>
        </w:rPr>
        <w:t>2023-24</w:t>
      </w:r>
      <w:r w:rsidR="00C157EC" w:rsidRPr="00914CAB">
        <w:rPr>
          <w:noProof/>
          <w:lang w:eastAsia="zh-CN" w:bidi="km-KH"/>
        </w:rPr>
        <w:drawing>
          <wp:inline distT="0" distB="0" distL="0" distR="0">
            <wp:extent cx="5629275" cy="3656965"/>
            <wp:effectExtent l="19050" t="0" r="9525" b="0"/>
            <wp:docPr id="289" name="Picture 289" descr="Figure C2. Confidence Intervals for the Average Projected Proportion of White Teacher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7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104" t="3399" r="2969" b="6460"/>
                    <a:stretch/>
                  </pic:blipFill>
                  <pic:spPr bwMode="auto">
                    <a:xfrm>
                      <a:off x="0" y="0"/>
                      <a:ext cx="5630252"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Pr="00A46F58" w:rsidRDefault="00C157EC" w:rsidP="00A46F58">
      <w:pPr>
        <w:pStyle w:val="BodyText"/>
        <w:rPr>
          <w:rFonts w:cstheme="majorHAnsi"/>
          <w:sz w:val="26"/>
          <w:szCs w:val="26"/>
        </w:rPr>
      </w:pPr>
      <w:r w:rsidRPr="00A46F58">
        <w:rPr>
          <w:rFonts w:asciiTheme="majorHAnsi" w:hAnsiTheme="majorHAnsi" w:cstheme="majorHAnsi"/>
          <w:b/>
          <w:sz w:val="26"/>
          <w:szCs w:val="26"/>
        </w:rPr>
        <w:t>Supply Projections</w:t>
      </w:r>
    </w:p>
    <w:p w:rsidR="00C157EC" w:rsidRDefault="00C157EC" w:rsidP="00290CDD">
      <w:pPr>
        <w:pStyle w:val="BodyText"/>
      </w:pPr>
      <w:r>
        <w:t>The confidence intervals for supply of minority teachers indicate that for an average district, the trend in the supply of minority teachers over time is quite uncertain (</w:t>
      </w:r>
      <w:r w:rsidR="00F11661">
        <w:t>Table</w:t>
      </w:r>
      <w:r>
        <w:t xml:space="preserve"> C</w:t>
      </w:r>
      <w:r w:rsidR="00F11661">
        <w:t>7</w:t>
      </w:r>
      <w:r>
        <w:t xml:space="preserve">). For an average district, the point estimates indicate the number of minority teachers should stay steady over time at around 13.3 to 13.4. However the 95 percent confidence intervals increase from +/-9 percent above and below the estimate to +/-28% around the estimate, indicating substantial increase in uncertainty over time. For </w:t>
      </w:r>
      <w:r w:rsidR="00491259">
        <w:t>W</w:t>
      </w:r>
      <w:r>
        <w:t xml:space="preserve">hite teachers, there is much more confidence in the point estimates as confidence intervals increase from +/- 1 percent around </w:t>
      </w:r>
      <w:r w:rsidR="004457B7">
        <w:t xml:space="preserve">the estimate to +/- 4 percent. </w:t>
      </w:r>
      <w:r>
        <w:t xml:space="preserve">For the district average estimates for both minority and </w:t>
      </w:r>
      <w:r w:rsidR="00491259">
        <w:t>W</w:t>
      </w:r>
      <w:r>
        <w:t>hite supply, confidence intervals are more than three times larger in 2023-24 compared to 2014-15.</w:t>
      </w:r>
    </w:p>
    <w:p w:rsidR="00C157EC" w:rsidRDefault="00F11661" w:rsidP="00290CDD">
      <w:pPr>
        <w:pStyle w:val="ExhibitTitle"/>
        <w:pageBreakBefore/>
      </w:pPr>
      <w:r>
        <w:t>Table</w:t>
      </w:r>
      <w:r w:rsidR="00C157EC" w:rsidRPr="00DB105D">
        <w:t xml:space="preserve"> </w:t>
      </w:r>
      <w:r w:rsidR="00C157EC">
        <w:t>C</w:t>
      </w:r>
      <w:r>
        <w:t>7</w:t>
      </w:r>
      <w:r w:rsidR="00C157EC" w:rsidRPr="00DB105D">
        <w:t xml:space="preserve">. 95% Confidence Intervals for Projected </w:t>
      </w:r>
      <w:r w:rsidR="00C157EC">
        <w:t>Supply</w:t>
      </w:r>
      <w:r w:rsidR="00C157EC" w:rsidRPr="00DB105D">
        <w:t xml:space="preserve"> </w:t>
      </w:r>
      <w:r w:rsidR="00D41F40">
        <w:t>of Teachers by Race, 2014-15 and    2023-24</w:t>
      </w:r>
    </w:p>
    <w:tbl>
      <w:tblPr>
        <w:tblStyle w:val="AIRBlueTable"/>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122"/>
        <w:gridCol w:w="1109"/>
        <w:gridCol w:w="1753"/>
        <w:gridCol w:w="1752"/>
        <w:gridCol w:w="1567"/>
        <w:gridCol w:w="1252"/>
      </w:tblGrid>
      <w:tr w:rsidR="007820C5" w:rsidRPr="00AB5834" w:rsidTr="00085539">
        <w:trPr>
          <w:cnfStyle w:val="100000000000"/>
        </w:trPr>
        <w:tc>
          <w:tcPr>
            <w:tcW w:w="1110" w:type="pct"/>
            <w:tcBorders>
              <w:bottom w:val="single" w:sz="4" w:space="0" w:color="auto"/>
            </w:tcBorders>
          </w:tcPr>
          <w:p w:rsidR="00C157EC" w:rsidRPr="00807FB9" w:rsidRDefault="00C157EC" w:rsidP="003C50C4">
            <w:pPr>
              <w:pStyle w:val="TableText"/>
              <w:jc w:val="center"/>
            </w:pPr>
            <w:r>
              <w:t>Race FTEs/Year</w:t>
            </w:r>
          </w:p>
        </w:tc>
        <w:tc>
          <w:tcPr>
            <w:tcW w:w="580" w:type="pct"/>
            <w:tcBorders>
              <w:bottom w:val="single" w:sz="4" w:space="0" w:color="auto"/>
            </w:tcBorders>
            <w:hideMark/>
          </w:tcPr>
          <w:p w:rsidR="00C157EC" w:rsidRPr="00807FB9" w:rsidRDefault="00C157EC" w:rsidP="00290CDD">
            <w:pPr>
              <w:pStyle w:val="TableTextCentered"/>
              <w:rPr>
                <w:szCs w:val="24"/>
              </w:rPr>
            </w:pPr>
            <w:r w:rsidRPr="005C7312">
              <w:t>Average Point Estimate</w:t>
            </w:r>
          </w:p>
        </w:tc>
        <w:tc>
          <w:tcPr>
            <w:tcW w:w="917" w:type="pct"/>
            <w:tcBorders>
              <w:bottom w:val="single" w:sz="4" w:space="0" w:color="auto"/>
            </w:tcBorders>
            <w:hideMark/>
          </w:tcPr>
          <w:p w:rsidR="00C157EC" w:rsidRPr="00807FB9" w:rsidRDefault="00C157EC" w:rsidP="00290CDD">
            <w:pPr>
              <w:pStyle w:val="TableTextCentered"/>
              <w:rPr>
                <w:szCs w:val="24"/>
              </w:rPr>
            </w:pPr>
            <w:r w:rsidRPr="005C7312">
              <w:t>95% Confidence Interval</w:t>
            </w:r>
            <w:r w:rsidR="006D2330" w:rsidRPr="00235005">
              <w:t>–</w:t>
            </w:r>
            <w:r w:rsidRPr="005C7312">
              <w:t>Lower Bound</w:t>
            </w:r>
          </w:p>
        </w:tc>
        <w:tc>
          <w:tcPr>
            <w:tcW w:w="917" w:type="pct"/>
            <w:tcBorders>
              <w:bottom w:val="single" w:sz="4" w:space="0" w:color="auto"/>
            </w:tcBorders>
            <w:hideMark/>
          </w:tcPr>
          <w:p w:rsidR="00C157EC" w:rsidRPr="00807FB9" w:rsidRDefault="00C157EC" w:rsidP="00290CDD">
            <w:pPr>
              <w:pStyle w:val="TableTextCentered"/>
              <w:rPr>
                <w:szCs w:val="24"/>
              </w:rPr>
            </w:pPr>
            <w:r w:rsidRPr="005C7312">
              <w:t>95% Confidence Interval</w:t>
            </w:r>
            <w:r w:rsidR="006D2330" w:rsidRPr="00235005">
              <w:t>–</w:t>
            </w:r>
            <w:r w:rsidRPr="005C7312">
              <w:t>Upper Bound</w:t>
            </w:r>
          </w:p>
        </w:tc>
        <w:tc>
          <w:tcPr>
            <w:tcW w:w="820" w:type="pct"/>
            <w:tcBorders>
              <w:bottom w:val="single" w:sz="4" w:space="0" w:color="auto"/>
            </w:tcBorders>
            <w:hideMark/>
          </w:tcPr>
          <w:p w:rsidR="00C157EC" w:rsidRPr="00807FB9" w:rsidRDefault="00C157EC" w:rsidP="00290CDD">
            <w:pPr>
              <w:pStyle w:val="TableTextCentered"/>
              <w:rPr>
                <w:szCs w:val="24"/>
              </w:rPr>
            </w:pPr>
            <w:r w:rsidRPr="005C7312">
              <w:t>Percent Above/Below Estimate</w:t>
            </w:r>
          </w:p>
        </w:tc>
        <w:tc>
          <w:tcPr>
            <w:tcW w:w="655" w:type="pct"/>
            <w:tcBorders>
              <w:bottom w:val="single" w:sz="4" w:space="0" w:color="auto"/>
            </w:tcBorders>
          </w:tcPr>
          <w:p w:rsidR="00C157EC" w:rsidRPr="00807FB9" w:rsidRDefault="00C157EC" w:rsidP="00290CDD">
            <w:pPr>
              <w:pStyle w:val="TableTextCentered"/>
              <w:rPr>
                <w:szCs w:val="24"/>
              </w:rPr>
            </w:pPr>
            <w:r w:rsidRPr="005C7312">
              <w:t>Growth of Interval Over Time</w:t>
            </w:r>
          </w:p>
        </w:tc>
      </w:tr>
      <w:tr w:rsidR="00B70E1A" w:rsidRPr="00AB5834" w:rsidTr="007820C5">
        <w:tc>
          <w:tcPr>
            <w:tcW w:w="1110" w:type="pct"/>
            <w:tcBorders>
              <w:bottom w:val="single" w:sz="4" w:space="0" w:color="auto"/>
            </w:tcBorders>
            <w:shd w:val="clear" w:color="auto" w:fill="D9E3ED" w:themeFill="accent1" w:themeFillTint="33"/>
            <w:hideMark/>
          </w:tcPr>
          <w:p w:rsidR="00C157EC" w:rsidRPr="0044505A" w:rsidRDefault="00C157EC" w:rsidP="003C50C4">
            <w:pPr>
              <w:pStyle w:val="TableText"/>
              <w:jc w:val="center"/>
            </w:pPr>
            <w:r w:rsidRPr="0044505A">
              <w:t>All Minority</w:t>
            </w:r>
          </w:p>
        </w:tc>
        <w:tc>
          <w:tcPr>
            <w:tcW w:w="580" w:type="pct"/>
            <w:tcBorders>
              <w:bottom w:val="single" w:sz="4" w:space="0" w:color="auto"/>
            </w:tcBorders>
            <w:shd w:val="clear" w:color="auto" w:fill="D9E3ED" w:themeFill="accent1" w:themeFillTint="33"/>
            <w:noWrap/>
            <w:hideMark/>
          </w:tcPr>
          <w:p w:rsidR="00C157EC" w:rsidRPr="00807FB9" w:rsidRDefault="00C157EC" w:rsidP="00290CDD">
            <w:pPr>
              <w:pStyle w:val="TableTextCentered"/>
            </w:pPr>
          </w:p>
        </w:tc>
        <w:tc>
          <w:tcPr>
            <w:tcW w:w="917" w:type="pct"/>
            <w:tcBorders>
              <w:bottom w:val="single" w:sz="4" w:space="0" w:color="auto"/>
            </w:tcBorders>
            <w:shd w:val="clear" w:color="auto" w:fill="D9E3ED" w:themeFill="accent1" w:themeFillTint="33"/>
            <w:noWrap/>
            <w:hideMark/>
          </w:tcPr>
          <w:p w:rsidR="00C157EC" w:rsidRPr="00807FB9" w:rsidRDefault="00C157EC" w:rsidP="00290CDD">
            <w:pPr>
              <w:pStyle w:val="TableTextCentered"/>
            </w:pPr>
          </w:p>
        </w:tc>
        <w:tc>
          <w:tcPr>
            <w:tcW w:w="917" w:type="pct"/>
            <w:tcBorders>
              <w:bottom w:val="single" w:sz="4" w:space="0" w:color="auto"/>
            </w:tcBorders>
            <w:shd w:val="clear" w:color="auto" w:fill="D9E3ED" w:themeFill="accent1" w:themeFillTint="33"/>
            <w:noWrap/>
            <w:hideMark/>
          </w:tcPr>
          <w:p w:rsidR="00C157EC" w:rsidRPr="00807FB9" w:rsidRDefault="00C157EC" w:rsidP="00290CDD">
            <w:pPr>
              <w:pStyle w:val="TableTextCentered"/>
            </w:pPr>
          </w:p>
        </w:tc>
        <w:tc>
          <w:tcPr>
            <w:tcW w:w="820" w:type="pct"/>
            <w:tcBorders>
              <w:bottom w:val="single" w:sz="4" w:space="0" w:color="auto"/>
            </w:tcBorders>
            <w:shd w:val="clear" w:color="auto" w:fill="D9E3ED" w:themeFill="accent1" w:themeFillTint="33"/>
            <w:noWrap/>
            <w:hideMark/>
          </w:tcPr>
          <w:p w:rsidR="00C157EC" w:rsidRPr="00807FB9" w:rsidRDefault="00C157EC" w:rsidP="00290CDD">
            <w:pPr>
              <w:pStyle w:val="TableTextCentered"/>
            </w:pPr>
          </w:p>
        </w:tc>
        <w:tc>
          <w:tcPr>
            <w:tcW w:w="655" w:type="pct"/>
            <w:tcBorders>
              <w:bottom w:val="single" w:sz="4" w:space="0" w:color="auto"/>
            </w:tcBorders>
            <w:shd w:val="clear" w:color="auto" w:fill="D9E3ED" w:themeFill="accent1" w:themeFillTint="33"/>
          </w:tcPr>
          <w:p w:rsidR="00C157EC" w:rsidRPr="00807FB9" w:rsidRDefault="00C157EC" w:rsidP="00290CDD">
            <w:pPr>
              <w:pStyle w:val="TableTextCentered"/>
            </w:pPr>
          </w:p>
        </w:tc>
      </w:tr>
      <w:tr w:rsidR="007820C5" w:rsidRPr="00AB5834" w:rsidTr="00085539">
        <w:tc>
          <w:tcPr>
            <w:tcW w:w="1110" w:type="pct"/>
            <w:tcBorders>
              <w:bottom w:val="single" w:sz="4" w:space="0" w:color="auto"/>
            </w:tcBorders>
            <w:hideMark/>
          </w:tcPr>
          <w:p w:rsidR="00290CDD" w:rsidRPr="00807FB9" w:rsidRDefault="00290CDD" w:rsidP="003C50C4">
            <w:pPr>
              <w:pStyle w:val="TableText"/>
              <w:jc w:val="center"/>
            </w:pPr>
            <w:r>
              <w:t>2014-</w:t>
            </w:r>
            <w:r w:rsidRPr="00807FB9">
              <w:t>15</w:t>
            </w:r>
          </w:p>
        </w:tc>
        <w:tc>
          <w:tcPr>
            <w:tcW w:w="580" w:type="pct"/>
            <w:tcBorders>
              <w:bottom w:val="single" w:sz="4" w:space="0" w:color="auto"/>
            </w:tcBorders>
            <w:noWrap/>
            <w:hideMark/>
          </w:tcPr>
          <w:p w:rsidR="00290CDD" w:rsidRPr="00807FB9" w:rsidRDefault="00290CDD" w:rsidP="00290CDD">
            <w:pPr>
              <w:pStyle w:val="TableTextCentered"/>
            </w:pPr>
            <w:r w:rsidRPr="00807FB9">
              <w:t>13.4</w:t>
            </w:r>
          </w:p>
        </w:tc>
        <w:tc>
          <w:tcPr>
            <w:tcW w:w="917" w:type="pct"/>
            <w:tcBorders>
              <w:bottom w:val="single" w:sz="4" w:space="0" w:color="auto"/>
            </w:tcBorders>
            <w:noWrap/>
            <w:hideMark/>
          </w:tcPr>
          <w:p w:rsidR="00290CDD" w:rsidRPr="00807FB9" w:rsidRDefault="00290CDD" w:rsidP="00290CDD">
            <w:pPr>
              <w:pStyle w:val="TableTextCentered"/>
            </w:pPr>
            <w:r w:rsidRPr="00807FB9">
              <w:t>12.2</w:t>
            </w:r>
          </w:p>
        </w:tc>
        <w:tc>
          <w:tcPr>
            <w:tcW w:w="917" w:type="pct"/>
            <w:tcBorders>
              <w:bottom w:val="single" w:sz="4" w:space="0" w:color="auto"/>
            </w:tcBorders>
            <w:noWrap/>
            <w:hideMark/>
          </w:tcPr>
          <w:p w:rsidR="00290CDD" w:rsidRPr="00807FB9" w:rsidRDefault="00290CDD" w:rsidP="00290CDD">
            <w:pPr>
              <w:pStyle w:val="TableTextCentered"/>
            </w:pPr>
            <w:r w:rsidRPr="00807FB9">
              <w:t>14.5</w:t>
            </w:r>
          </w:p>
        </w:tc>
        <w:tc>
          <w:tcPr>
            <w:tcW w:w="820" w:type="pct"/>
            <w:tcBorders>
              <w:bottom w:val="single" w:sz="4" w:space="0" w:color="auto"/>
            </w:tcBorders>
            <w:noWrap/>
            <w:hideMark/>
          </w:tcPr>
          <w:p w:rsidR="00290CDD" w:rsidRPr="00807FB9" w:rsidRDefault="00290CDD" w:rsidP="00290CDD">
            <w:pPr>
              <w:pStyle w:val="TableTextCentered"/>
            </w:pPr>
            <w:r>
              <w:t xml:space="preserve">+/- </w:t>
            </w:r>
            <w:r w:rsidRPr="00807FB9">
              <w:t>9%</w:t>
            </w:r>
          </w:p>
        </w:tc>
        <w:tc>
          <w:tcPr>
            <w:tcW w:w="655" w:type="pct"/>
            <w:vMerge w:val="restart"/>
          </w:tcPr>
          <w:p w:rsidR="00290CDD" w:rsidRPr="00807FB9" w:rsidRDefault="00290CDD" w:rsidP="00290CDD">
            <w:pPr>
              <w:pStyle w:val="TableTextCentered"/>
            </w:pPr>
            <w:r>
              <w:t>3</w:t>
            </w:r>
            <w:r w:rsidRPr="00807FB9">
              <w:t>.2</w:t>
            </w:r>
          </w:p>
        </w:tc>
      </w:tr>
      <w:tr w:rsidR="007820C5" w:rsidRPr="00AB5834" w:rsidTr="00085539">
        <w:tc>
          <w:tcPr>
            <w:tcW w:w="1110" w:type="pct"/>
            <w:tcBorders>
              <w:bottom w:val="single" w:sz="4" w:space="0" w:color="auto"/>
            </w:tcBorders>
            <w:hideMark/>
          </w:tcPr>
          <w:p w:rsidR="00290CDD" w:rsidRPr="00807FB9" w:rsidRDefault="00290CDD" w:rsidP="003C50C4">
            <w:pPr>
              <w:pStyle w:val="TableText"/>
              <w:jc w:val="center"/>
            </w:pPr>
            <w:r>
              <w:t>2023-</w:t>
            </w:r>
            <w:r w:rsidRPr="00807FB9">
              <w:t>24</w:t>
            </w:r>
          </w:p>
        </w:tc>
        <w:tc>
          <w:tcPr>
            <w:tcW w:w="580" w:type="pct"/>
            <w:tcBorders>
              <w:bottom w:val="single" w:sz="4" w:space="0" w:color="auto"/>
            </w:tcBorders>
            <w:noWrap/>
            <w:hideMark/>
          </w:tcPr>
          <w:p w:rsidR="00290CDD" w:rsidRPr="00807FB9" w:rsidRDefault="00290CDD" w:rsidP="00290CDD">
            <w:pPr>
              <w:pStyle w:val="TableTextCentered"/>
            </w:pPr>
            <w:r w:rsidRPr="00807FB9">
              <w:t>13.3</w:t>
            </w:r>
          </w:p>
        </w:tc>
        <w:tc>
          <w:tcPr>
            <w:tcW w:w="917" w:type="pct"/>
            <w:tcBorders>
              <w:bottom w:val="single" w:sz="4" w:space="0" w:color="auto"/>
            </w:tcBorders>
            <w:noWrap/>
            <w:hideMark/>
          </w:tcPr>
          <w:p w:rsidR="00290CDD" w:rsidRPr="00807FB9" w:rsidRDefault="00290CDD" w:rsidP="00290CDD">
            <w:pPr>
              <w:pStyle w:val="TableTextCentered"/>
            </w:pPr>
            <w:r w:rsidRPr="00807FB9">
              <w:t>9.5</w:t>
            </w:r>
          </w:p>
        </w:tc>
        <w:tc>
          <w:tcPr>
            <w:tcW w:w="917" w:type="pct"/>
            <w:tcBorders>
              <w:bottom w:val="single" w:sz="4" w:space="0" w:color="auto"/>
            </w:tcBorders>
            <w:noWrap/>
            <w:hideMark/>
          </w:tcPr>
          <w:p w:rsidR="00290CDD" w:rsidRPr="00807FB9" w:rsidRDefault="00290CDD" w:rsidP="00290CDD">
            <w:pPr>
              <w:pStyle w:val="TableTextCentered"/>
            </w:pPr>
            <w:r w:rsidRPr="00807FB9">
              <w:t>17.0</w:t>
            </w:r>
          </w:p>
        </w:tc>
        <w:tc>
          <w:tcPr>
            <w:tcW w:w="820" w:type="pct"/>
            <w:tcBorders>
              <w:bottom w:val="single" w:sz="4" w:space="0" w:color="auto"/>
            </w:tcBorders>
            <w:noWrap/>
            <w:hideMark/>
          </w:tcPr>
          <w:p w:rsidR="00290CDD" w:rsidRPr="00807FB9" w:rsidRDefault="00290CDD" w:rsidP="00290CDD">
            <w:pPr>
              <w:pStyle w:val="TableTextCentered"/>
            </w:pPr>
            <w:r>
              <w:t xml:space="preserve">+/- </w:t>
            </w:r>
            <w:r w:rsidRPr="00807FB9">
              <w:t>28%</w:t>
            </w:r>
          </w:p>
        </w:tc>
        <w:tc>
          <w:tcPr>
            <w:tcW w:w="655" w:type="pct"/>
            <w:vMerge/>
            <w:tcBorders>
              <w:bottom w:val="single" w:sz="4" w:space="0" w:color="auto"/>
            </w:tcBorders>
          </w:tcPr>
          <w:p w:rsidR="00290CDD" w:rsidRPr="00807FB9" w:rsidRDefault="00290CDD" w:rsidP="00290CDD">
            <w:pPr>
              <w:pStyle w:val="TableTextCentered"/>
            </w:pPr>
          </w:p>
        </w:tc>
      </w:tr>
      <w:tr w:rsidR="00B70E1A" w:rsidRPr="00AB5834" w:rsidTr="007820C5">
        <w:tc>
          <w:tcPr>
            <w:tcW w:w="1110" w:type="pct"/>
            <w:tcBorders>
              <w:bottom w:val="single" w:sz="4" w:space="0" w:color="auto"/>
            </w:tcBorders>
            <w:shd w:val="clear" w:color="auto" w:fill="D9E3ED" w:themeFill="accent1" w:themeFillTint="33"/>
            <w:noWrap/>
            <w:hideMark/>
          </w:tcPr>
          <w:p w:rsidR="00C157EC" w:rsidRPr="0044505A" w:rsidRDefault="00C157EC" w:rsidP="003C50C4">
            <w:pPr>
              <w:pStyle w:val="TableText"/>
              <w:jc w:val="center"/>
            </w:pPr>
            <w:r w:rsidRPr="0044505A">
              <w:t>White</w:t>
            </w:r>
          </w:p>
        </w:tc>
        <w:tc>
          <w:tcPr>
            <w:tcW w:w="580" w:type="pct"/>
            <w:tcBorders>
              <w:bottom w:val="single" w:sz="4" w:space="0" w:color="auto"/>
            </w:tcBorders>
            <w:shd w:val="clear" w:color="auto" w:fill="D9E3ED" w:themeFill="accent1" w:themeFillTint="33"/>
            <w:noWrap/>
            <w:hideMark/>
          </w:tcPr>
          <w:p w:rsidR="00C157EC" w:rsidRPr="00807FB9" w:rsidRDefault="00C157EC" w:rsidP="00290CDD">
            <w:pPr>
              <w:pStyle w:val="TableTextCentered"/>
            </w:pPr>
          </w:p>
        </w:tc>
        <w:tc>
          <w:tcPr>
            <w:tcW w:w="917" w:type="pct"/>
            <w:tcBorders>
              <w:bottom w:val="single" w:sz="4" w:space="0" w:color="auto"/>
            </w:tcBorders>
            <w:shd w:val="clear" w:color="auto" w:fill="D9E3ED" w:themeFill="accent1" w:themeFillTint="33"/>
            <w:noWrap/>
            <w:hideMark/>
          </w:tcPr>
          <w:p w:rsidR="00C157EC" w:rsidRPr="00807FB9" w:rsidRDefault="00C157EC" w:rsidP="00290CDD">
            <w:pPr>
              <w:pStyle w:val="TableTextCentered"/>
            </w:pPr>
          </w:p>
        </w:tc>
        <w:tc>
          <w:tcPr>
            <w:tcW w:w="917" w:type="pct"/>
            <w:tcBorders>
              <w:bottom w:val="single" w:sz="4" w:space="0" w:color="auto"/>
            </w:tcBorders>
            <w:shd w:val="clear" w:color="auto" w:fill="D9E3ED" w:themeFill="accent1" w:themeFillTint="33"/>
            <w:noWrap/>
            <w:hideMark/>
          </w:tcPr>
          <w:p w:rsidR="00C157EC" w:rsidRPr="00807FB9" w:rsidRDefault="00C157EC" w:rsidP="00290CDD">
            <w:pPr>
              <w:pStyle w:val="TableTextCentered"/>
            </w:pPr>
          </w:p>
        </w:tc>
        <w:tc>
          <w:tcPr>
            <w:tcW w:w="820" w:type="pct"/>
            <w:tcBorders>
              <w:bottom w:val="single" w:sz="4" w:space="0" w:color="auto"/>
            </w:tcBorders>
            <w:shd w:val="clear" w:color="auto" w:fill="D9E3ED" w:themeFill="accent1" w:themeFillTint="33"/>
            <w:noWrap/>
            <w:hideMark/>
          </w:tcPr>
          <w:p w:rsidR="00C157EC" w:rsidRPr="00807FB9" w:rsidRDefault="00C157EC" w:rsidP="00290CDD">
            <w:pPr>
              <w:pStyle w:val="TableTextCentered"/>
            </w:pPr>
          </w:p>
        </w:tc>
        <w:tc>
          <w:tcPr>
            <w:tcW w:w="655" w:type="pct"/>
            <w:tcBorders>
              <w:bottom w:val="single" w:sz="4" w:space="0" w:color="auto"/>
            </w:tcBorders>
            <w:shd w:val="clear" w:color="auto" w:fill="D9E3ED" w:themeFill="accent1" w:themeFillTint="33"/>
          </w:tcPr>
          <w:p w:rsidR="00C157EC" w:rsidRPr="00807FB9" w:rsidRDefault="00C157EC" w:rsidP="00290CDD">
            <w:pPr>
              <w:pStyle w:val="TableTextCentered"/>
            </w:pPr>
          </w:p>
        </w:tc>
      </w:tr>
      <w:tr w:rsidR="007820C5" w:rsidRPr="00AB5834" w:rsidTr="00085539">
        <w:tc>
          <w:tcPr>
            <w:tcW w:w="1110" w:type="pct"/>
            <w:tcBorders>
              <w:bottom w:val="single" w:sz="4" w:space="0" w:color="auto"/>
            </w:tcBorders>
            <w:hideMark/>
          </w:tcPr>
          <w:p w:rsidR="00290CDD" w:rsidRPr="00807FB9" w:rsidRDefault="00290CDD" w:rsidP="003C50C4">
            <w:pPr>
              <w:pStyle w:val="TableText"/>
              <w:jc w:val="center"/>
            </w:pPr>
            <w:r>
              <w:t>2014-</w:t>
            </w:r>
            <w:r w:rsidRPr="00CC32AC">
              <w:t>15</w:t>
            </w:r>
          </w:p>
        </w:tc>
        <w:tc>
          <w:tcPr>
            <w:tcW w:w="580" w:type="pct"/>
            <w:tcBorders>
              <w:bottom w:val="single" w:sz="4" w:space="0" w:color="auto"/>
            </w:tcBorders>
            <w:noWrap/>
            <w:hideMark/>
          </w:tcPr>
          <w:p w:rsidR="00290CDD" w:rsidRPr="00807FB9" w:rsidRDefault="00290CDD" w:rsidP="00290CDD">
            <w:pPr>
              <w:pStyle w:val="TableTextCentered"/>
            </w:pPr>
            <w:r w:rsidRPr="00807FB9">
              <w:t>189.6</w:t>
            </w:r>
          </w:p>
        </w:tc>
        <w:tc>
          <w:tcPr>
            <w:tcW w:w="917" w:type="pct"/>
            <w:tcBorders>
              <w:bottom w:val="single" w:sz="4" w:space="0" w:color="auto"/>
            </w:tcBorders>
            <w:noWrap/>
            <w:hideMark/>
          </w:tcPr>
          <w:p w:rsidR="00290CDD" w:rsidRPr="00807FB9" w:rsidRDefault="00290CDD" w:rsidP="00290CDD">
            <w:pPr>
              <w:pStyle w:val="TableTextCentered"/>
            </w:pPr>
            <w:r w:rsidRPr="00807FB9">
              <w:t>187.2</w:t>
            </w:r>
          </w:p>
        </w:tc>
        <w:tc>
          <w:tcPr>
            <w:tcW w:w="917" w:type="pct"/>
            <w:tcBorders>
              <w:bottom w:val="single" w:sz="4" w:space="0" w:color="auto"/>
            </w:tcBorders>
            <w:noWrap/>
            <w:hideMark/>
          </w:tcPr>
          <w:p w:rsidR="00290CDD" w:rsidRPr="00807FB9" w:rsidRDefault="00290CDD" w:rsidP="00290CDD">
            <w:pPr>
              <w:pStyle w:val="TableTextCentered"/>
            </w:pPr>
            <w:r w:rsidRPr="00807FB9">
              <w:t>192.1</w:t>
            </w:r>
          </w:p>
        </w:tc>
        <w:tc>
          <w:tcPr>
            <w:tcW w:w="820" w:type="pct"/>
            <w:tcBorders>
              <w:bottom w:val="single" w:sz="4" w:space="0" w:color="auto"/>
            </w:tcBorders>
            <w:noWrap/>
            <w:hideMark/>
          </w:tcPr>
          <w:p w:rsidR="00290CDD" w:rsidRPr="00807FB9" w:rsidRDefault="00290CDD" w:rsidP="00290CDD">
            <w:pPr>
              <w:pStyle w:val="TableTextCentered"/>
            </w:pPr>
            <w:r>
              <w:t xml:space="preserve">+/- </w:t>
            </w:r>
            <w:r w:rsidRPr="00807FB9">
              <w:t>1%</w:t>
            </w:r>
          </w:p>
        </w:tc>
        <w:tc>
          <w:tcPr>
            <w:tcW w:w="655" w:type="pct"/>
            <w:vMerge w:val="restart"/>
          </w:tcPr>
          <w:p w:rsidR="00290CDD" w:rsidRPr="00807FB9" w:rsidRDefault="00290CDD" w:rsidP="00290CDD">
            <w:pPr>
              <w:pStyle w:val="TableTextCentered"/>
            </w:pPr>
            <w:r>
              <w:t>3</w:t>
            </w:r>
            <w:r w:rsidRPr="00807FB9">
              <w:t>.1</w:t>
            </w:r>
          </w:p>
        </w:tc>
      </w:tr>
      <w:tr w:rsidR="007820C5" w:rsidRPr="00AB5834" w:rsidTr="00085539">
        <w:tc>
          <w:tcPr>
            <w:tcW w:w="1110" w:type="pct"/>
            <w:hideMark/>
          </w:tcPr>
          <w:p w:rsidR="00290CDD" w:rsidRPr="00807FB9" w:rsidRDefault="00290CDD" w:rsidP="003C50C4">
            <w:pPr>
              <w:pStyle w:val="TableText"/>
              <w:jc w:val="center"/>
            </w:pPr>
            <w:r>
              <w:t>2023-</w:t>
            </w:r>
            <w:r w:rsidRPr="00CC32AC">
              <w:t>24</w:t>
            </w:r>
          </w:p>
        </w:tc>
        <w:tc>
          <w:tcPr>
            <w:tcW w:w="580" w:type="pct"/>
            <w:noWrap/>
            <w:hideMark/>
          </w:tcPr>
          <w:p w:rsidR="00290CDD" w:rsidRPr="00807FB9" w:rsidRDefault="00290CDD" w:rsidP="00290CDD">
            <w:pPr>
              <w:pStyle w:val="TableTextCentered"/>
            </w:pPr>
            <w:r w:rsidRPr="00807FB9">
              <w:t>183.0</w:t>
            </w:r>
          </w:p>
        </w:tc>
        <w:tc>
          <w:tcPr>
            <w:tcW w:w="917" w:type="pct"/>
            <w:noWrap/>
            <w:hideMark/>
          </w:tcPr>
          <w:p w:rsidR="00290CDD" w:rsidRPr="00807FB9" w:rsidRDefault="00290CDD" w:rsidP="00290CDD">
            <w:pPr>
              <w:pStyle w:val="TableTextCentered"/>
            </w:pPr>
            <w:r w:rsidRPr="00807FB9">
              <w:t>175.5</w:t>
            </w:r>
          </w:p>
        </w:tc>
        <w:tc>
          <w:tcPr>
            <w:tcW w:w="917" w:type="pct"/>
            <w:noWrap/>
            <w:hideMark/>
          </w:tcPr>
          <w:p w:rsidR="00290CDD" w:rsidRPr="00807FB9" w:rsidRDefault="00290CDD" w:rsidP="00290CDD">
            <w:pPr>
              <w:pStyle w:val="TableTextCentered"/>
            </w:pPr>
            <w:r w:rsidRPr="00807FB9">
              <w:t>190.6</w:t>
            </w:r>
          </w:p>
        </w:tc>
        <w:tc>
          <w:tcPr>
            <w:tcW w:w="820" w:type="pct"/>
            <w:noWrap/>
            <w:hideMark/>
          </w:tcPr>
          <w:p w:rsidR="00290CDD" w:rsidRPr="00807FB9" w:rsidRDefault="00290CDD" w:rsidP="00290CDD">
            <w:pPr>
              <w:pStyle w:val="TableTextCentered"/>
            </w:pPr>
            <w:r>
              <w:t xml:space="preserve">+/- </w:t>
            </w:r>
            <w:r w:rsidRPr="00807FB9">
              <w:t>4%</w:t>
            </w:r>
          </w:p>
        </w:tc>
        <w:tc>
          <w:tcPr>
            <w:tcW w:w="655" w:type="pct"/>
            <w:vMerge/>
          </w:tcPr>
          <w:p w:rsidR="00290CDD" w:rsidRPr="00807FB9" w:rsidRDefault="00290CDD" w:rsidP="00290CDD">
            <w:pPr>
              <w:pStyle w:val="TableTextCentered"/>
            </w:pPr>
          </w:p>
        </w:tc>
      </w:tr>
    </w:tbl>
    <w:p w:rsidR="00C157EC" w:rsidRPr="00A46F58" w:rsidRDefault="00C157EC" w:rsidP="00A46F58">
      <w:pPr>
        <w:pStyle w:val="BodyText"/>
        <w:rPr>
          <w:rFonts w:cstheme="majorHAnsi"/>
          <w:sz w:val="26"/>
          <w:szCs w:val="26"/>
        </w:rPr>
      </w:pPr>
      <w:r w:rsidRPr="00A46F58">
        <w:rPr>
          <w:rFonts w:asciiTheme="majorHAnsi" w:hAnsiTheme="majorHAnsi" w:cstheme="majorHAnsi"/>
          <w:b/>
          <w:sz w:val="26"/>
          <w:szCs w:val="26"/>
        </w:rPr>
        <w:t>Retained Teachers</w:t>
      </w:r>
    </w:p>
    <w:p w:rsidR="00C157EC" w:rsidRDefault="00C157EC" w:rsidP="00290CDD">
      <w:pPr>
        <w:pStyle w:val="BodyText"/>
      </w:pPr>
      <w:r>
        <w:t>It is first important to bear in mind the confidence intervals around the estimated retention rates which drive the results of this analysis were quite large for all minorities (</w:t>
      </w:r>
      <w:r w:rsidR="00F11661">
        <w:t>Table</w:t>
      </w:r>
      <w:r>
        <w:t xml:space="preserve"> </w:t>
      </w:r>
      <w:r w:rsidR="00553EAF">
        <w:t>B4</w:t>
      </w:r>
      <w:r>
        <w:t>). This indicates a great deal of error in these estimated rates, and since the estimations of retained teachers by race are based on these average rates, this error has implications on the accuracy of this analysis. Given this, we suggest the results be interpreted with caution.</w:t>
      </w:r>
    </w:p>
    <w:p w:rsidR="00C157EC" w:rsidRDefault="00C157EC" w:rsidP="00290CDD">
      <w:pPr>
        <w:pStyle w:val="BodyText"/>
      </w:pPr>
      <w:r>
        <w:t>We also considered the 95 percent confidence intervals for the projections of retained teachers by race and in general, these metrics followed the trends for overall supply, though the confidence intervals were tighter in the final projected year and grew less over the projected years for retained minority teachers (</w:t>
      </w:r>
      <w:r w:rsidR="00F11661">
        <w:t>Table</w:t>
      </w:r>
      <w:r>
        <w:t xml:space="preserve"> C</w:t>
      </w:r>
      <w:r w:rsidR="00F11661">
        <w:t>8</w:t>
      </w:r>
      <w:r>
        <w:t>).</w:t>
      </w:r>
    </w:p>
    <w:p w:rsidR="00C157EC" w:rsidRDefault="00F11661" w:rsidP="00290CDD">
      <w:pPr>
        <w:pStyle w:val="ExhibitTitle"/>
      </w:pPr>
      <w:r>
        <w:t>Table</w:t>
      </w:r>
      <w:r w:rsidR="00C157EC" w:rsidRPr="003220CC">
        <w:t xml:space="preserve"> </w:t>
      </w:r>
      <w:r w:rsidR="00C157EC">
        <w:t>C</w:t>
      </w:r>
      <w:r>
        <w:t>8</w:t>
      </w:r>
      <w:r w:rsidR="00C157EC" w:rsidRPr="003220CC">
        <w:t xml:space="preserve">. 95% </w:t>
      </w:r>
      <w:r w:rsidR="00C157EC" w:rsidRPr="00DB105D">
        <w:t xml:space="preserve">Confidence Intervals for </w:t>
      </w:r>
      <w:r w:rsidR="00C157EC" w:rsidRPr="003220CC">
        <w:t xml:space="preserve">Projected </w:t>
      </w:r>
      <w:r w:rsidR="00C157EC">
        <w:t>Supply</w:t>
      </w:r>
      <w:r w:rsidR="00C157EC" w:rsidRPr="003220CC">
        <w:t xml:space="preserve"> </w:t>
      </w:r>
      <w:r w:rsidR="00D41F40">
        <w:t xml:space="preserve">of Retained Teachers by Race, </w:t>
      </w:r>
      <w:r w:rsidR="00C157EC">
        <w:t xml:space="preserve">2014-15 and </w:t>
      </w:r>
      <w:r w:rsidR="00D41F40">
        <w:t>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tblPr>
      <w:tblGrid>
        <w:gridCol w:w="2131"/>
        <w:gridCol w:w="1091"/>
        <w:gridCol w:w="1759"/>
        <w:gridCol w:w="1753"/>
        <w:gridCol w:w="1569"/>
        <w:gridCol w:w="1287"/>
      </w:tblGrid>
      <w:tr w:rsidR="007820C5" w:rsidRPr="00615266" w:rsidTr="007820C5">
        <w:trPr>
          <w:cnfStyle w:val="100000000000"/>
        </w:trPr>
        <w:tc>
          <w:tcPr>
            <w:tcW w:w="1111" w:type="pct"/>
            <w:tcBorders>
              <w:bottom w:val="single" w:sz="4" w:space="0" w:color="auto"/>
            </w:tcBorders>
            <w:hideMark/>
          </w:tcPr>
          <w:p w:rsidR="00C157EC" w:rsidRPr="00807FB9" w:rsidRDefault="00C157EC" w:rsidP="003C50C4">
            <w:pPr>
              <w:pStyle w:val="TableText"/>
              <w:jc w:val="center"/>
            </w:pPr>
            <w:r w:rsidRPr="00807FB9">
              <w:t>Retained Teachers/Year</w:t>
            </w:r>
          </w:p>
        </w:tc>
        <w:tc>
          <w:tcPr>
            <w:tcW w:w="569" w:type="pct"/>
            <w:tcBorders>
              <w:bottom w:val="single" w:sz="4" w:space="0" w:color="auto"/>
            </w:tcBorders>
            <w:hideMark/>
          </w:tcPr>
          <w:p w:rsidR="00C157EC" w:rsidRPr="00807FB9" w:rsidRDefault="00C157EC" w:rsidP="001F517C">
            <w:pPr>
              <w:pStyle w:val="TableTextCentered"/>
            </w:pPr>
            <w:r w:rsidRPr="00807FB9">
              <w:t>Average Point Estimate</w:t>
            </w:r>
          </w:p>
        </w:tc>
        <w:tc>
          <w:tcPr>
            <w:tcW w:w="917" w:type="pct"/>
            <w:tcBorders>
              <w:bottom w:val="single" w:sz="4" w:space="0" w:color="auto"/>
            </w:tcBorders>
            <w:hideMark/>
          </w:tcPr>
          <w:p w:rsidR="00C157EC" w:rsidRPr="00807FB9" w:rsidRDefault="00C157EC" w:rsidP="001F517C">
            <w:pPr>
              <w:pStyle w:val="TableTextCentered"/>
            </w:pPr>
            <w:r w:rsidRPr="00807FB9">
              <w:t>95% Confidence Interval</w:t>
            </w:r>
            <w:r w:rsidR="006D2330" w:rsidRPr="00235005">
              <w:t>–</w:t>
            </w:r>
            <w:r w:rsidRPr="00807FB9">
              <w:t>Lower Bound</w:t>
            </w:r>
          </w:p>
        </w:tc>
        <w:tc>
          <w:tcPr>
            <w:tcW w:w="914" w:type="pct"/>
            <w:tcBorders>
              <w:bottom w:val="single" w:sz="4" w:space="0" w:color="auto"/>
            </w:tcBorders>
            <w:hideMark/>
          </w:tcPr>
          <w:p w:rsidR="00C157EC" w:rsidRPr="00807FB9" w:rsidRDefault="00C157EC" w:rsidP="001F517C">
            <w:pPr>
              <w:pStyle w:val="TableTextCentered"/>
            </w:pPr>
            <w:r w:rsidRPr="00807FB9">
              <w:t>95% Confidence Interval</w:t>
            </w:r>
            <w:r w:rsidR="006D2330" w:rsidRPr="00235005">
              <w:t>–</w:t>
            </w:r>
            <w:r w:rsidRPr="00807FB9">
              <w:t>Upper Bound</w:t>
            </w:r>
          </w:p>
        </w:tc>
        <w:tc>
          <w:tcPr>
            <w:tcW w:w="818" w:type="pct"/>
            <w:tcBorders>
              <w:bottom w:val="single" w:sz="4" w:space="0" w:color="auto"/>
            </w:tcBorders>
            <w:hideMark/>
          </w:tcPr>
          <w:p w:rsidR="00C157EC" w:rsidRPr="00807FB9" w:rsidRDefault="00C157EC" w:rsidP="001F517C">
            <w:pPr>
              <w:pStyle w:val="TableTextCentered"/>
            </w:pPr>
            <w:r w:rsidRPr="00807FB9">
              <w:t>Percent Above/Below Estimate</w:t>
            </w:r>
          </w:p>
        </w:tc>
        <w:tc>
          <w:tcPr>
            <w:tcW w:w="671" w:type="pct"/>
            <w:tcBorders>
              <w:bottom w:val="single" w:sz="4" w:space="0" w:color="auto"/>
            </w:tcBorders>
            <w:hideMark/>
          </w:tcPr>
          <w:p w:rsidR="00C157EC" w:rsidRPr="00807FB9" w:rsidRDefault="00C157EC" w:rsidP="00B70EB0">
            <w:pPr>
              <w:pStyle w:val="TableTextCentered"/>
            </w:pPr>
            <w:r w:rsidRPr="00807FB9">
              <w:t>Growth of Interval Over Time</w:t>
            </w:r>
          </w:p>
        </w:tc>
      </w:tr>
      <w:tr w:rsidR="007820C5" w:rsidRPr="00615266" w:rsidTr="007820C5">
        <w:tc>
          <w:tcPr>
            <w:tcW w:w="1111" w:type="pct"/>
            <w:tcBorders>
              <w:bottom w:val="single" w:sz="4" w:space="0" w:color="auto"/>
            </w:tcBorders>
            <w:shd w:val="clear" w:color="auto" w:fill="D9E3ED" w:themeFill="accent1" w:themeFillTint="33"/>
            <w:noWrap/>
            <w:hideMark/>
          </w:tcPr>
          <w:p w:rsidR="00C157EC" w:rsidRPr="0044505A" w:rsidRDefault="00C157EC" w:rsidP="003C50C4">
            <w:pPr>
              <w:pStyle w:val="TableText"/>
              <w:jc w:val="center"/>
            </w:pPr>
            <w:r w:rsidRPr="0044505A">
              <w:t>All Minority</w:t>
            </w:r>
          </w:p>
        </w:tc>
        <w:tc>
          <w:tcPr>
            <w:tcW w:w="569" w:type="pct"/>
            <w:tcBorders>
              <w:bottom w:val="single" w:sz="4" w:space="0" w:color="auto"/>
            </w:tcBorders>
            <w:shd w:val="clear" w:color="auto" w:fill="D9E3ED" w:themeFill="accent1" w:themeFillTint="33"/>
            <w:noWrap/>
            <w:hideMark/>
          </w:tcPr>
          <w:p w:rsidR="00C157EC" w:rsidRPr="00807FB9" w:rsidRDefault="00C157EC" w:rsidP="001F517C">
            <w:pPr>
              <w:pStyle w:val="TableTextCentered"/>
            </w:pPr>
          </w:p>
        </w:tc>
        <w:tc>
          <w:tcPr>
            <w:tcW w:w="917" w:type="pct"/>
            <w:tcBorders>
              <w:bottom w:val="single" w:sz="4" w:space="0" w:color="auto"/>
            </w:tcBorders>
            <w:shd w:val="clear" w:color="auto" w:fill="D9E3ED" w:themeFill="accent1" w:themeFillTint="33"/>
            <w:noWrap/>
            <w:hideMark/>
          </w:tcPr>
          <w:p w:rsidR="00C157EC" w:rsidRPr="00807FB9" w:rsidRDefault="00C157EC" w:rsidP="001F517C">
            <w:pPr>
              <w:pStyle w:val="TableTextCentered"/>
            </w:pPr>
          </w:p>
        </w:tc>
        <w:tc>
          <w:tcPr>
            <w:tcW w:w="914" w:type="pct"/>
            <w:tcBorders>
              <w:bottom w:val="single" w:sz="4" w:space="0" w:color="auto"/>
            </w:tcBorders>
            <w:shd w:val="clear" w:color="auto" w:fill="D9E3ED" w:themeFill="accent1" w:themeFillTint="33"/>
            <w:noWrap/>
            <w:hideMark/>
          </w:tcPr>
          <w:p w:rsidR="00C157EC" w:rsidRPr="00807FB9" w:rsidRDefault="00C157EC" w:rsidP="001F517C">
            <w:pPr>
              <w:pStyle w:val="TableTextCentered"/>
            </w:pPr>
          </w:p>
        </w:tc>
        <w:tc>
          <w:tcPr>
            <w:tcW w:w="818" w:type="pct"/>
            <w:tcBorders>
              <w:bottom w:val="single" w:sz="4" w:space="0" w:color="auto"/>
            </w:tcBorders>
            <w:shd w:val="clear" w:color="auto" w:fill="D9E3ED" w:themeFill="accent1" w:themeFillTint="33"/>
            <w:noWrap/>
            <w:hideMark/>
          </w:tcPr>
          <w:p w:rsidR="00C157EC" w:rsidRPr="00807FB9" w:rsidRDefault="00C157EC" w:rsidP="001F517C">
            <w:pPr>
              <w:pStyle w:val="TableTextCentered"/>
            </w:pPr>
          </w:p>
        </w:tc>
        <w:tc>
          <w:tcPr>
            <w:tcW w:w="671" w:type="pct"/>
            <w:tcBorders>
              <w:bottom w:val="single" w:sz="4" w:space="0" w:color="auto"/>
            </w:tcBorders>
            <w:shd w:val="clear" w:color="auto" w:fill="D9E3ED" w:themeFill="accent1" w:themeFillTint="33"/>
            <w:noWrap/>
            <w:hideMark/>
          </w:tcPr>
          <w:p w:rsidR="00C157EC" w:rsidRPr="00807FB9" w:rsidRDefault="00C157EC" w:rsidP="001F517C">
            <w:pPr>
              <w:pStyle w:val="TableTextCentered"/>
            </w:pPr>
          </w:p>
        </w:tc>
      </w:tr>
      <w:tr w:rsidR="007820C5" w:rsidRPr="00615266" w:rsidTr="007820C5">
        <w:tc>
          <w:tcPr>
            <w:tcW w:w="1111" w:type="pct"/>
            <w:tcBorders>
              <w:bottom w:val="single" w:sz="4" w:space="0" w:color="auto"/>
            </w:tcBorders>
            <w:hideMark/>
          </w:tcPr>
          <w:p w:rsidR="001F517C" w:rsidRPr="00807FB9" w:rsidRDefault="001F517C" w:rsidP="003C50C4">
            <w:pPr>
              <w:pStyle w:val="TableText"/>
              <w:jc w:val="center"/>
            </w:pPr>
            <w:r>
              <w:t>2014-</w:t>
            </w:r>
            <w:r w:rsidRPr="00807FB9">
              <w:t>15</w:t>
            </w:r>
          </w:p>
        </w:tc>
        <w:tc>
          <w:tcPr>
            <w:tcW w:w="569" w:type="pct"/>
            <w:tcBorders>
              <w:bottom w:val="single" w:sz="4" w:space="0" w:color="auto"/>
            </w:tcBorders>
            <w:noWrap/>
            <w:hideMark/>
          </w:tcPr>
          <w:p w:rsidR="001F517C" w:rsidRPr="00807FB9" w:rsidRDefault="001F517C" w:rsidP="001F517C">
            <w:pPr>
              <w:pStyle w:val="TableTextCentered"/>
            </w:pPr>
            <w:r w:rsidRPr="00807FB9">
              <w:t>8.9</w:t>
            </w:r>
          </w:p>
        </w:tc>
        <w:tc>
          <w:tcPr>
            <w:tcW w:w="917" w:type="pct"/>
            <w:tcBorders>
              <w:bottom w:val="single" w:sz="4" w:space="0" w:color="auto"/>
            </w:tcBorders>
            <w:noWrap/>
            <w:hideMark/>
          </w:tcPr>
          <w:p w:rsidR="001F517C" w:rsidRPr="00807FB9" w:rsidRDefault="001F517C" w:rsidP="001F517C">
            <w:pPr>
              <w:pStyle w:val="TableTextCentered"/>
            </w:pPr>
            <w:r w:rsidRPr="00807FB9">
              <w:t>8.7</w:t>
            </w:r>
          </w:p>
        </w:tc>
        <w:tc>
          <w:tcPr>
            <w:tcW w:w="914" w:type="pct"/>
            <w:tcBorders>
              <w:bottom w:val="single" w:sz="4" w:space="0" w:color="auto"/>
            </w:tcBorders>
            <w:noWrap/>
            <w:hideMark/>
          </w:tcPr>
          <w:p w:rsidR="001F517C" w:rsidRPr="00807FB9" w:rsidRDefault="001F517C" w:rsidP="001F517C">
            <w:pPr>
              <w:pStyle w:val="TableTextCentered"/>
            </w:pPr>
            <w:r w:rsidRPr="00807FB9">
              <w:t>9.1</w:t>
            </w:r>
          </w:p>
        </w:tc>
        <w:tc>
          <w:tcPr>
            <w:tcW w:w="818" w:type="pct"/>
            <w:tcBorders>
              <w:bottom w:val="single" w:sz="4" w:space="0" w:color="auto"/>
            </w:tcBorders>
            <w:noWrap/>
            <w:hideMark/>
          </w:tcPr>
          <w:p w:rsidR="001F517C" w:rsidRPr="00807FB9" w:rsidRDefault="001F517C" w:rsidP="001F517C">
            <w:pPr>
              <w:pStyle w:val="TableTextCentered"/>
            </w:pPr>
            <w:r>
              <w:t xml:space="preserve">+/- </w:t>
            </w:r>
            <w:r w:rsidRPr="00807FB9">
              <w:t>2%</w:t>
            </w:r>
          </w:p>
        </w:tc>
        <w:tc>
          <w:tcPr>
            <w:tcW w:w="671" w:type="pct"/>
            <w:vMerge w:val="restart"/>
            <w:noWrap/>
            <w:hideMark/>
          </w:tcPr>
          <w:p w:rsidR="001F517C" w:rsidRPr="00807FB9" w:rsidRDefault="001F517C" w:rsidP="001F517C">
            <w:pPr>
              <w:pStyle w:val="TableTextCentered"/>
            </w:pPr>
            <w:r w:rsidRPr="00807FB9">
              <w:t>2.84</w:t>
            </w:r>
          </w:p>
        </w:tc>
      </w:tr>
      <w:tr w:rsidR="007820C5" w:rsidRPr="00615266" w:rsidTr="007820C5">
        <w:tc>
          <w:tcPr>
            <w:tcW w:w="1111" w:type="pct"/>
            <w:tcBorders>
              <w:bottom w:val="single" w:sz="4" w:space="0" w:color="auto"/>
            </w:tcBorders>
            <w:hideMark/>
          </w:tcPr>
          <w:p w:rsidR="001F517C" w:rsidRPr="00807FB9" w:rsidRDefault="001F517C" w:rsidP="003C50C4">
            <w:pPr>
              <w:pStyle w:val="TableText"/>
              <w:jc w:val="center"/>
            </w:pPr>
            <w:r>
              <w:t>2023-</w:t>
            </w:r>
            <w:r w:rsidRPr="00807FB9">
              <w:t>24</w:t>
            </w:r>
          </w:p>
        </w:tc>
        <w:tc>
          <w:tcPr>
            <w:tcW w:w="569" w:type="pct"/>
            <w:tcBorders>
              <w:bottom w:val="single" w:sz="4" w:space="0" w:color="auto"/>
            </w:tcBorders>
            <w:noWrap/>
            <w:hideMark/>
          </w:tcPr>
          <w:p w:rsidR="001F517C" w:rsidRPr="00807FB9" w:rsidRDefault="001F517C" w:rsidP="001F517C">
            <w:pPr>
              <w:pStyle w:val="TableTextCentered"/>
            </w:pPr>
            <w:r w:rsidRPr="00807FB9">
              <w:t>8.5</w:t>
            </w:r>
          </w:p>
        </w:tc>
        <w:tc>
          <w:tcPr>
            <w:tcW w:w="917" w:type="pct"/>
            <w:tcBorders>
              <w:bottom w:val="single" w:sz="4" w:space="0" w:color="auto"/>
            </w:tcBorders>
            <w:noWrap/>
            <w:hideMark/>
          </w:tcPr>
          <w:p w:rsidR="001F517C" w:rsidRPr="00807FB9" w:rsidRDefault="001F517C" w:rsidP="001F517C">
            <w:pPr>
              <w:pStyle w:val="TableTextCentered"/>
            </w:pPr>
            <w:r w:rsidRPr="00807FB9">
              <w:t>7.9</w:t>
            </w:r>
          </w:p>
        </w:tc>
        <w:tc>
          <w:tcPr>
            <w:tcW w:w="914" w:type="pct"/>
            <w:tcBorders>
              <w:bottom w:val="single" w:sz="4" w:space="0" w:color="auto"/>
            </w:tcBorders>
            <w:noWrap/>
            <w:hideMark/>
          </w:tcPr>
          <w:p w:rsidR="001F517C" w:rsidRPr="00807FB9" w:rsidRDefault="001F517C" w:rsidP="001F517C">
            <w:pPr>
              <w:pStyle w:val="TableTextCentered"/>
            </w:pPr>
            <w:r w:rsidRPr="00807FB9">
              <w:t>9.0</w:t>
            </w:r>
          </w:p>
        </w:tc>
        <w:tc>
          <w:tcPr>
            <w:tcW w:w="818" w:type="pct"/>
            <w:tcBorders>
              <w:bottom w:val="single" w:sz="4" w:space="0" w:color="auto"/>
            </w:tcBorders>
            <w:noWrap/>
            <w:hideMark/>
          </w:tcPr>
          <w:p w:rsidR="001F517C" w:rsidRPr="00807FB9" w:rsidRDefault="001F517C" w:rsidP="001F517C">
            <w:pPr>
              <w:pStyle w:val="TableTextCentered"/>
            </w:pPr>
            <w:r>
              <w:t xml:space="preserve">+/- </w:t>
            </w:r>
            <w:r w:rsidRPr="00807FB9">
              <w:t>7%</w:t>
            </w:r>
          </w:p>
        </w:tc>
        <w:tc>
          <w:tcPr>
            <w:tcW w:w="671" w:type="pct"/>
            <w:vMerge/>
            <w:tcBorders>
              <w:bottom w:val="single" w:sz="4" w:space="0" w:color="auto"/>
            </w:tcBorders>
            <w:hideMark/>
          </w:tcPr>
          <w:p w:rsidR="001F517C" w:rsidRPr="00807FB9" w:rsidRDefault="001F517C" w:rsidP="001F517C">
            <w:pPr>
              <w:pStyle w:val="TableTextCentered"/>
            </w:pPr>
          </w:p>
        </w:tc>
      </w:tr>
      <w:tr w:rsidR="007820C5" w:rsidRPr="00615266" w:rsidTr="007820C5">
        <w:tc>
          <w:tcPr>
            <w:tcW w:w="1111" w:type="pct"/>
            <w:tcBorders>
              <w:bottom w:val="single" w:sz="4" w:space="0" w:color="auto"/>
            </w:tcBorders>
            <w:shd w:val="clear" w:color="auto" w:fill="D9E3ED" w:themeFill="accent1" w:themeFillTint="33"/>
            <w:noWrap/>
            <w:hideMark/>
          </w:tcPr>
          <w:p w:rsidR="00C157EC" w:rsidRPr="0044505A" w:rsidRDefault="00C157EC" w:rsidP="003C50C4">
            <w:pPr>
              <w:pStyle w:val="TableText"/>
              <w:jc w:val="center"/>
            </w:pPr>
            <w:r w:rsidRPr="0044505A">
              <w:t>White</w:t>
            </w:r>
          </w:p>
        </w:tc>
        <w:tc>
          <w:tcPr>
            <w:tcW w:w="569" w:type="pct"/>
            <w:tcBorders>
              <w:bottom w:val="single" w:sz="4" w:space="0" w:color="auto"/>
            </w:tcBorders>
            <w:shd w:val="clear" w:color="auto" w:fill="D9E3ED" w:themeFill="accent1" w:themeFillTint="33"/>
            <w:noWrap/>
            <w:hideMark/>
          </w:tcPr>
          <w:p w:rsidR="00C157EC" w:rsidRPr="00807FB9" w:rsidRDefault="00C157EC" w:rsidP="001F517C">
            <w:pPr>
              <w:pStyle w:val="TableTextCentered"/>
            </w:pPr>
          </w:p>
        </w:tc>
        <w:tc>
          <w:tcPr>
            <w:tcW w:w="917" w:type="pct"/>
            <w:tcBorders>
              <w:bottom w:val="single" w:sz="4" w:space="0" w:color="auto"/>
            </w:tcBorders>
            <w:shd w:val="clear" w:color="auto" w:fill="D9E3ED" w:themeFill="accent1" w:themeFillTint="33"/>
            <w:noWrap/>
            <w:hideMark/>
          </w:tcPr>
          <w:p w:rsidR="00C157EC" w:rsidRPr="00807FB9" w:rsidRDefault="00C157EC" w:rsidP="001F517C">
            <w:pPr>
              <w:pStyle w:val="TableTextCentered"/>
            </w:pPr>
          </w:p>
        </w:tc>
        <w:tc>
          <w:tcPr>
            <w:tcW w:w="914" w:type="pct"/>
            <w:tcBorders>
              <w:bottom w:val="single" w:sz="4" w:space="0" w:color="auto"/>
            </w:tcBorders>
            <w:shd w:val="clear" w:color="auto" w:fill="D9E3ED" w:themeFill="accent1" w:themeFillTint="33"/>
            <w:noWrap/>
            <w:hideMark/>
          </w:tcPr>
          <w:p w:rsidR="00C157EC" w:rsidRPr="00807FB9" w:rsidRDefault="00C157EC" w:rsidP="001F517C">
            <w:pPr>
              <w:pStyle w:val="TableTextCentered"/>
            </w:pPr>
          </w:p>
        </w:tc>
        <w:tc>
          <w:tcPr>
            <w:tcW w:w="818" w:type="pct"/>
            <w:tcBorders>
              <w:bottom w:val="single" w:sz="4" w:space="0" w:color="auto"/>
            </w:tcBorders>
            <w:shd w:val="clear" w:color="auto" w:fill="D9E3ED" w:themeFill="accent1" w:themeFillTint="33"/>
            <w:noWrap/>
            <w:hideMark/>
          </w:tcPr>
          <w:p w:rsidR="00C157EC" w:rsidRPr="00807FB9" w:rsidRDefault="00C157EC" w:rsidP="001F517C">
            <w:pPr>
              <w:pStyle w:val="TableTextCentered"/>
            </w:pPr>
          </w:p>
        </w:tc>
        <w:tc>
          <w:tcPr>
            <w:tcW w:w="671" w:type="pct"/>
            <w:tcBorders>
              <w:bottom w:val="single" w:sz="4" w:space="0" w:color="auto"/>
            </w:tcBorders>
            <w:shd w:val="clear" w:color="auto" w:fill="D9E3ED" w:themeFill="accent1" w:themeFillTint="33"/>
            <w:noWrap/>
            <w:hideMark/>
          </w:tcPr>
          <w:p w:rsidR="00C157EC" w:rsidRPr="00807FB9" w:rsidRDefault="00C157EC" w:rsidP="001F517C">
            <w:pPr>
              <w:pStyle w:val="TableTextCentered"/>
            </w:pPr>
          </w:p>
        </w:tc>
      </w:tr>
      <w:tr w:rsidR="007820C5" w:rsidRPr="00615266" w:rsidTr="007820C5">
        <w:tc>
          <w:tcPr>
            <w:tcW w:w="1111" w:type="pct"/>
            <w:tcBorders>
              <w:bottom w:val="single" w:sz="4" w:space="0" w:color="auto"/>
            </w:tcBorders>
            <w:hideMark/>
          </w:tcPr>
          <w:p w:rsidR="001F517C" w:rsidRPr="00807FB9" w:rsidRDefault="001F517C" w:rsidP="003C50C4">
            <w:pPr>
              <w:pStyle w:val="TableText"/>
              <w:jc w:val="center"/>
            </w:pPr>
            <w:r>
              <w:t>2014-</w:t>
            </w:r>
            <w:r w:rsidRPr="00807FB9">
              <w:t>15</w:t>
            </w:r>
          </w:p>
        </w:tc>
        <w:tc>
          <w:tcPr>
            <w:tcW w:w="569" w:type="pct"/>
            <w:tcBorders>
              <w:bottom w:val="single" w:sz="4" w:space="0" w:color="auto"/>
            </w:tcBorders>
            <w:noWrap/>
            <w:hideMark/>
          </w:tcPr>
          <w:p w:rsidR="001F517C" w:rsidRPr="00807FB9" w:rsidRDefault="001F517C" w:rsidP="001F517C">
            <w:pPr>
              <w:pStyle w:val="TableTextCentered"/>
            </w:pPr>
            <w:r w:rsidRPr="00807FB9">
              <w:t>164.7</w:t>
            </w:r>
          </w:p>
        </w:tc>
        <w:tc>
          <w:tcPr>
            <w:tcW w:w="917" w:type="pct"/>
            <w:tcBorders>
              <w:bottom w:val="single" w:sz="4" w:space="0" w:color="auto"/>
            </w:tcBorders>
            <w:noWrap/>
            <w:hideMark/>
          </w:tcPr>
          <w:p w:rsidR="001F517C" w:rsidRPr="00807FB9" w:rsidRDefault="001F517C" w:rsidP="001F517C">
            <w:pPr>
              <w:pStyle w:val="TableTextCentered"/>
            </w:pPr>
            <w:r w:rsidRPr="00807FB9">
              <w:t>161.9</w:t>
            </w:r>
          </w:p>
        </w:tc>
        <w:tc>
          <w:tcPr>
            <w:tcW w:w="914" w:type="pct"/>
            <w:tcBorders>
              <w:bottom w:val="single" w:sz="4" w:space="0" w:color="auto"/>
            </w:tcBorders>
            <w:noWrap/>
            <w:hideMark/>
          </w:tcPr>
          <w:p w:rsidR="001F517C" w:rsidRPr="00807FB9" w:rsidRDefault="001F517C" w:rsidP="001F517C">
            <w:pPr>
              <w:pStyle w:val="TableTextCentered"/>
            </w:pPr>
            <w:r w:rsidRPr="00807FB9">
              <w:t>167.5</w:t>
            </w:r>
          </w:p>
        </w:tc>
        <w:tc>
          <w:tcPr>
            <w:tcW w:w="818" w:type="pct"/>
            <w:tcBorders>
              <w:bottom w:val="single" w:sz="4" w:space="0" w:color="auto"/>
            </w:tcBorders>
            <w:noWrap/>
            <w:hideMark/>
          </w:tcPr>
          <w:p w:rsidR="001F517C" w:rsidRPr="00807FB9" w:rsidRDefault="001F517C" w:rsidP="001F517C">
            <w:pPr>
              <w:pStyle w:val="TableTextCentered"/>
            </w:pPr>
            <w:r>
              <w:t xml:space="preserve">+/- </w:t>
            </w:r>
            <w:r w:rsidRPr="00807FB9">
              <w:t>2%</w:t>
            </w:r>
          </w:p>
        </w:tc>
        <w:tc>
          <w:tcPr>
            <w:tcW w:w="671" w:type="pct"/>
            <w:vMerge w:val="restart"/>
            <w:noWrap/>
            <w:hideMark/>
          </w:tcPr>
          <w:p w:rsidR="001F517C" w:rsidRPr="00807FB9" w:rsidRDefault="001F517C" w:rsidP="001F517C">
            <w:pPr>
              <w:pStyle w:val="TableTextCentered"/>
            </w:pPr>
            <w:r w:rsidRPr="00807FB9">
              <w:t>3.11</w:t>
            </w:r>
          </w:p>
        </w:tc>
      </w:tr>
      <w:tr w:rsidR="007820C5" w:rsidRPr="00615266" w:rsidTr="007820C5">
        <w:tc>
          <w:tcPr>
            <w:tcW w:w="1111" w:type="pct"/>
            <w:hideMark/>
          </w:tcPr>
          <w:p w:rsidR="001F517C" w:rsidRPr="00807FB9" w:rsidRDefault="001F517C" w:rsidP="003C50C4">
            <w:pPr>
              <w:pStyle w:val="TableText"/>
              <w:jc w:val="center"/>
            </w:pPr>
            <w:r>
              <w:t>2023-</w:t>
            </w:r>
            <w:r w:rsidRPr="00807FB9">
              <w:t>24</w:t>
            </w:r>
          </w:p>
        </w:tc>
        <w:tc>
          <w:tcPr>
            <w:tcW w:w="569" w:type="pct"/>
            <w:noWrap/>
            <w:hideMark/>
          </w:tcPr>
          <w:p w:rsidR="001F517C" w:rsidRPr="00807FB9" w:rsidRDefault="001F517C" w:rsidP="001F517C">
            <w:pPr>
              <w:pStyle w:val="TableTextCentered"/>
            </w:pPr>
            <w:r w:rsidRPr="00807FB9">
              <w:t>160.8</w:t>
            </w:r>
          </w:p>
        </w:tc>
        <w:tc>
          <w:tcPr>
            <w:tcW w:w="917" w:type="pct"/>
            <w:noWrap/>
            <w:hideMark/>
          </w:tcPr>
          <w:p w:rsidR="001F517C" w:rsidRPr="00807FB9" w:rsidRDefault="001F517C" w:rsidP="001F517C">
            <w:pPr>
              <w:pStyle w:val="TableTextCentered"/>
            </w:pPr>
            <w:r w:rsidRPr="00807FB9">
              <w:t>152.2</w:t>
            </w:r>
          </w:p>
        </w:tc>
        <w:tc>
          <w:tcPr>
            <w:tcW w:w="914" w:type="pct"/>
            <w:noWrap/>
            <w:hideMark/>
          </w:tcPr>
          <w:p w:rsidR="001F517C" w:rsidRPr="00807FB9" w:rsidRDefault="001F517C" w:rsidP="001F517C">
            <w:pPr>
              <w:pStyle w:val="TableTextCentered"/>
            </w:pPr>
            <w:r w:rsidRPr="00807FB9">
              <w:t>169.4</w:t>
            </w:r>
          </w:p>
        </w:tc>
        <w:tc>
          <w:tcPr>
            <w:tcW w:w="818" w:type="pct"/>
            <w:noWrap/>
            <w:hideMark/>
          </w:tcPr>
          <w:p w:rsidR="001F517C" w:rsidRPr="00807FB9" w:rsidRDefault="001F517C" w:rsidP="001F517C">
            <w:pPr>
              <w:pStyle w:val="TableTextCentered"/>
            </w:pPr>
            <w:r>
              <w:t xml:space="preserve">+/- </w:t>
            </w:r>
            <w:r w:rsidRPr="00807FB9">
              <w:t>5%</w:t>
            </w:r>
          </w:p>
        </w:tc>
        <w:tc>
          <w:tcPr>
            <w:tcW w:w="671" w:type="pct"/>
            <w:vMerge/>
            <w:hideMark/>
          </w:tcPr>
          <w:p w:rsidR="001F517C" w:rsidRPr="00807FB9" w:rsidRDefault="001F517C" w:rsidP="001F517C">
            <w:pPr>
              <w:pStyle w:val="TableTextCentered"/>
            </w:pPr>
          </w:p>
        </w:tc>
      </w:tr>
    </w:tbl>
    <w:p w:rsidR="00C157EC" w:rsidRPr="00A46F58" w:rsidRDefault="00C157EC" w:rsidP="00A46F58">
      <w:pPr>
        <w:pStyle w:val="BodyText"/>
        <w:rPr>
          <w:rFonts w:cstheme="majorHAnsi"/>
          <w:sz w:val="26"/>
          <w:szCs w:val="26"/>
        </w:rPr>
      </w:pPr>
      <w:r w:rsidRPr="00A46F58">
        <w:rPr>
          <w:rFonts w:asciiTheme="majorHAnsi" w:hAnsiTheme="majorHAnsi" w:cstheme="majorHAnsi"/>
          <w:b/>
          <w:sz w:val="26"/>
          <w:szCs w:val="26"/>
        </w:rPr>
        <w:t>New Entrants</w:t>
      </w:r>
    </w:p>
    <w:p w:rsidR="00C157EC" w:rsidRDefault="00C157EC" w:rsidP="00294F44">
      <w:pPr>
        <w:pStyle w:val="BodyText"/>
      </w:pPr>
      <w:r>
        <w:t xml:space="preserve">We also considered the 95 percent confidence intervals for the projections of new entrants by race. As with the retained teacher projections, these metrics generally followed the trends for overall supply, with the confidence intervals growing over the projected years. However, the intervals were much larger in the final projected year for both minority and </w:t>
      </w:r>
      <w:r w:rsidR="00491259">
        <w:t>W</w:t>
      </w:r>
      <w:r>
        <w:t>hite teachers (</w:t>
      </w:r>
      <w:r w:rsidR="00F11661">
        <w:t>Table</w:t>
      </w:r>
      <w:r>
        <w:t xml:space="preserve"> C</w:t>
      </w:r>
      <w:r w:rsidR="00F11661">
        <w:t>9</w:t>
      </w:r>
      <w:r>
        <w:t xml:space="preserve">). This was especially true for </w:t>
      </w:r>
      <w:r w:rsidR="00491259">
        <w:t>W</w:t>
      </w:r>
      <w:r>
        <w:t xml:space="preserve">hite teachers, which had substantially larger intervals than those in the total supply analysis. </w:t>
      </w:r>
    </w:p>
    <w:p w:rsidR="00C157EC" w:rsidRPr="00294F44" w:rsidRDefault="00F11661" w:rsidP="00294F44">
      <w:pPr>
        <w:pStyle w:val="ExhibitTitle"/>
      </w:pPr>
      <w:r>
        <w:t>Table</w:t>
      </w:r>
      <w:r w:rsidR="00C157EC" w:rsidRPr="003220CC">
        <w:t xml:space="preserve"> </w:t>
      </w:r>
      <w:r w:rsidR="00C157EC">
        <w:t>C</w:t>
      </w:r>
      <w:r>
        <w:t>9.</w:t>
      </w:r>
      <w:r w:rsidR="00C157EC" w:rsidRPr="003220CC">
        <w:t xml:space="preserve"> 95% </w:t>
      </w:r>
      <w:r w:rsidR="00C157EC" w:rsidRPr="00DB105D">
        <w:t xml:space="preserve">Confidence Intervals for </w:t>
      </w:r>
      <w:r w:rsidR="00C157EC" w:rsidRPr="003220CC">
        <w:t xml:space="preserve">Projected </w:t>
      </w:r>
      <w:r w:rsidR="00C157EC">
        <w:t>Supply</w:t>
      </w:r>
      <w:r w:rsidR="00C157EC" w:rsidRPr="003220CC">
        <w:t xml:space="preserve"> </w:t>
      </w:r>
      <w:r w:rsidR="00C157EC">
        <w:t>of New</w:t>
      </w:r>
      <w:r w:rsidR="00D41F40">
        <w:t xml:space="preserve"> Entrants by Race, </w:t>
      </w:r>
      <w:r w:rsidR="00C157EC">
        <w:t>2013-14 and 2022-23</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118"/>
        <w:gridCol w:w="1146"/>
        <w:gridCol w:w="1717"/>
        <w:gridCol w:w="1753"/>
        <w:gridCol w:w="1569"/>
        <w:gridCol w:w="1287"/>
      </w:tblGrid>
      <w:tr w:rsidR="00D23B73" w:rsidRPr="00123E5E" w:rsidTr="00085539">
        <w:trPr>
          <w:cnfStyle w:val="100000000000"/>
        </w:trPr>
        <w:tc>
          <w:tcPr>
            <w:tcW w:w="1104" w:type="pct"/>
            <w:tcBorders>
              <w:bottom w:val="single" w:sz="4" w:space="0" w:color="auto"/>
            </w:tcBorders>
            <w:hideMark/>
          </w:tcPr>
          <w:p w:rsidR="00C157EC" w:rsidRPr="00123E5E" w:rsidRDefault="00C157EC" w:rsidP="003C50C4">
            <w:pPr>
              <w:pStyle w:val="TableText"/>
              <w:jc w:val="center"/>
            </w:pPr>
            <w:r w:rsidRPr="00123E5E">
              <w:t>New Entrants/Year</w:t>
            </w:r>
          </w:p>
        </w:tc>
        <w:tc>
          <w:tcPr>
            <w:tcW w:w="597" w:type="pct"/>
            <w:tcBorders>
              <w:bottom w:val="single" w:sz="4" w:space="0" w:color="auto"/>
            </w:tcBorders>
            <w:hideMark/>
          </w:tcPr>
          <w:p w:rsidR="00C157EC" w:rsidRPr="00123E5E" w:rsidRDefault="00C157EC" w:rsidP="00294F44">
            <w:pPr>
              <w:pStyle w:val="TableTextCentered"/>
            </w:pPr>
            <w:r w:rsidRPr="00123E5E">
              <w:t>Average Point Estimate</w:t>
            </w:r>
          </w:p>
        </w:tc>
        <w:tc>
          <w:tcPr>
            <w:tcW w:w="895" w:type="pct"/>
            <w:tcBorders>
              <w:bottom w:val="single" w:sz="4" w:space="0" w:color="auto"/>
            </w:tcBorders>
            <w:hideMark/>
          </w:tcPr>
          <w:p w:rsidR="00C157EC" w:rsidRPr="00123E5E" w:rsidRDefault="00C157EC" w:rsidP="00294F44">
            <w:pPr>
              <w:pStyle w:val="TableTextCentered"/>
            </w:pPr>
            <w:r w:rsidRPr="00123E5E">
              <w:t>95% Confidence Interval</w:t>
            </w:r>
            <w:r w:rsidR="006D2330" w:rsidRPr="00235005">
              <w:t>–</w:t>
            </w:r>
            <w:r w:rsidRPr="00123E5E">
              <w:t>Lower Bound</w:t>
            </w:r>
          </w:p>
        </w:tc>
        <w:tc>
          <w:tcPr>
            <w:tcW w:w="914" w:type="pct"/>
            <w:tcBorders>
              <w:bottom w:val="single" w:sz="4" w:space="0" w:color="auto"/>
            </w:tcBorders>
            <w:hideMark/>
          </w:tcPr>
          <w:p w:rsidR="00C157EC" w:rsidRPr="00123E5E" w:rsidRDefault="00C157EC" w:rsidP="00294F44">
            <w:pPr>
              <w:pStyle w:val="TableTextCentered"/>
            </w:pPr>
            <w:r w:rsidRPr="00123E5E">
              <w:t>95% Confidence Interval</w:t>
            </w:r>
            <w:r w:rsidR="006D2330" w:rsidRPr="00235005">
              <w:t>–</w:t>
            </w:r>
            <w:r w:rsidRPr="00123E5E">
              <w:t>Upper Bound</w:t>
            </w:r>
          </w:p>
        </w:tc>
        <w:tc>
          <w:tcPr>
            <w:tcW w:w="818" w:type="pct"/>
            <w:tcBorders>
              <w:bottom w:val="single" w:sz="4" w:space="0" w:color="auto"/>
            </w:tcBorders>
            <w:hideMark/>
          </w:tcPr>
          <w:p w:rsidR="00C157EC" w:rsidRPr="00123E5E" w:rsidRDefault="00C157EC" w:rsidP="00294F44">
            <w:pPr>
              <w:pStyle w:val="TableTextCentered"/>
            </w:pPr>
            <w:r w:rsidRPr="00123E5E">
              <w:t>Percent Above/Below Estimate</w:t>
            </w:r>
          </w:p>
        </w:tc>
        <w:tc>
          <w:tcPr>
            <w:tcW w:w="671" w:type="pct"/>
            <w:tcBorders>
              <w:bottom w:val="single" w:sz="4" w:space="0" w:color="auto"/>
            </w:tcBorders>
            <w:hideMark/>
          </w:tcPr>
          <w:p w:rsidR="00C157EC" w:rsidRPr="00123E5E" w:rsidRDefault="00C157EC" w:rsidP="00B70EB0">
            <w:pPr>
              <w:pStyle w:val="TableTextCentered"/>
            </w:pPr>
            <w:r w:rsidRPr="00123E5E">
              <w:t>Growth of Interval Over Time</w:t>
            </w:r>
          </w:p>
        </w:tc>
      </w:tr>
      <w:tr w:rsidR="00B70E1A" w:rsidRPr="00123E5E" w:rsidTr="007820C5">
        <w:tc>
          <w:tcPr>
            <w:tcW w:w="1104" w:type="pct"/>
            <w:tcBorders>
              <w:bottom w:val="single" w:sz="4" w:space="0" w:color="auto"/>
            </w:tcBorders>
            <w:shd w:val="clear" w:color="auto" w:fill="D9E3ED" w:themeFill="accent1" w:themeFillTint="33"/>
            <w:noWrap/>
            <w:hideMark/>
          </w:tcPr>
          <w:p w:rsidR="00C157EC" w:rsidRPr="0044505A" w:rsidRDefault="00C157EC" w:rsidP="003C50C4">
            <w:pPr>
              <w:pStyle w:val="TableText"/>
              <w:jc w:val="center"/>
            </w:pPr>
            <w:r w:rsidRPr="0044505A">
              <w:t>All Minority</w:t>
            </w:r>
          </w:p>
        </w:tc>
        <w:tc>
          <w:tcPr>
            <w:tcW w:w="597" w:type="pct"/>
            <w:tcBorders>
              <w:bottom w:val="single" w:sz="4" w:space="0" w:color="auto"/>
            </w:tcBorders>
            <w:shd w:val="clear" w:color="auto" w:fill="D9E3ED" w:themeFill="accent1" w:themeFillTint="33"/>
            <w:noWrap/>
            <w:hideMark/>
          </w:tcPr>
          <w:p w:rsidR="00C157EC" w:rsidRPr="00123E5E" w:rsidRDefault="00C157EC" w:rsidP="00294F44">
            <w:pPr>
              <w:pStyle w:val="TableTextCentered"/>
            </w:pPr>
          </w:p>
        </w:tc>
        <w:tc>
          <w:tcPr>
            <w:tcW w:w="895" w:type="pct"/>
            <w:tcBorders>
              <w:bottom w:val="single" w:sz="4" w:space="0" w:color="auto"/>
            </w:tcBorders>
            <w:shd w:val="clear" w:color="auto" w:fill="D9E3ED" w:themeFill="accent1" w:themeFillTint="33"/>
            <w:noWrap/>
            <w:hideMark/>
          </w:tcPr>
          <w:p w:rsidR="00C157EC" w:rsidRPr="00123E5E" w:rsidRDefault="00C157EC" w:rsidP="00294F44">
            <w:pPr>
              <w:pStyle w:val="TableTextCentered"/>
            </w:pPr>
          </w:p>
        </w:tc>
        <w:tc>
          <w:tcPr>
            <w:tcW w:w="914" w:type="pct"/>
            <w:tcBorders>
              <w:bottom w:val="single" w:sz="4" w:space="0" w:color="auto"/>
            </w:tcBorders>
            <w:shd w:val="clear" w:color="auto" w:fill="D9E3ED" w:themeFill="accent1" w:themeFillTint="33"/>
            <w:noWrap/>
            <w:hideMark/>
          </w:tcPr>
          <w:p w:rsidR="00C157EC" w:rsidRPr="00123E5E" w:rsidRDefault="00C157EC" w:rsidP="00294F44">
            <w:pPr>
              <w:pStyle w:val="TableTextCentered"/>
            </w:pPr>
          </w:p>
        </w:tc>
        <w:tc>
          <w:tcPr>
            <w:tcW w:w="818" w:type="pct"/>
            <w:tcBorders>
              <w:bottom w:val="single" w:sz="4" w:space="0" w:color="auto"/>
            </w:tcBorders>
            <w:shd w:val="clear" w:color="auto" w:fill="D9E3ED" w:themeFill="accent1" w:themeFillTint="33"/>
            <w:noWrap/>
            <w:hideMark/>
          </w:tcPr>
          <w:p w:rsidR="00C157EC" w:rsidRPr="00123E5E" w:rsidRDefault="00C157EC" w:rsidP="00294F44">
            <w:pPr>
              <w:pStyle w:val="TableTextCentered"/>
            </w:pPr>
          </w:p>
        </w:tc>
        <w:tc>
          <w:tcPr>
            <w:tcW w:w="671" w:type="pct"/>
            <w:tcBorders>
              <w:bottom w:val="single" w:sz="4" w:space="0" w:color="auto"/>
            </w:tcBorders>
            <w:shd w:val="clear" w:color="auto" w:fill="D9E3ED" w:themeFill="accent1" w:themeFillTint="33"/>
            <w:noWrap/>
            <w:hideMark/>
          </w:tcPr>
          <w:p w:rsidR="00C157EC" w:rsidRPr="00123E5E" w:rsidRDefault="00C157EC" w:rsidP="00294F44">
            <w:pPr>
              <w:pStyle w:val="TableTextCentered"/>
            </w:pPr>
          </w:p>
        </w:tc>
      </w:tr>
      <w:tr w:rsidR="00D23B73" w:rsidRPr="00123E5E" w:rsidTr="00085539">
        <w:tc>
          <w:tcPr>
            <w:tcW w:w="1104" w:type="pct"/>
            <w:tcBorders>
              <w:bottom w:val="single" w:sz="4" w:space="0" w:color="auto"/>
            </w:tcBorders>
            <w:hideMark/>
          </w:tcPr>
          <w:p w:rsidR="00294F44" w:rsidRPr="00123E5E" w:rsidRDefault="00294F44" w:rsidP="003C50C4">
            <w:pPr>
              <w:pStyle w:val="TableText"/>
              <w:jc w:val="center"/>
              <w:rPr>
                <w:rFonts w:ascii="Calibri" w:hAnsi="Calibri"/>
              </w:rPr>
            </w:pPr>
            <w:r>
              <w:t>2014-</w:t>
            </w:r>
            <w:r w:rsidRPr="00807FB9">
              <w:t>15</w:t>
            </w:r>
          </w:p>
        </w:tc>
        <w:tc>
          <w:tcPr>
            <w:tcW w:w="597" w:type="pct"/>
            <w:tcBorders>
              <w:bottom w:val="single" w:sz="4" w:space="0" w:color="auto"/>
            </w:tcBorders>
            <w:noWrap/>
            <w:hideMark/>
          </w:tcPr>
          <w:p w:rsidR="00294F44" w:rsidRPr="00123E5E" w:rsidRDefault="00294F44" w:rsidP="00294F44">
            <w:pPr>
              <w:pStyle w:val="TableTextCentered"/>
            </w:pPr>
            <w:r w:rsidRPr="00123E5E">
              <w:t>1.0</w:t>
            </w:r>
          </w:p>
        </w:tc>
        <w:tc>
          <w:tcPr>
            <w:tcW w:w="895" w:type="pct"/>
            <w:tcBorders>
              <w:bottom w:val="single" w:sz="4" w:space="0" w:color="auto"/>
            </w:tcBorders>
            <w:noWrap/>
            <w:hideMark/>
          </w:tcPr>
          <w:p w:rsidR="00294F44" w:rsidRPr="00123E5E" w:rsidRDefault="00294F44" w:rsidP="00294F44">
            <w:pPr>
              <w:pStyle w:val="TableTextCentered"/>
            </w:pPr>
            <w:r w:rsidRPr="00123E5E">
              <w:t>1.0</w:t>
            </w:r>
          </w:p>
        </w:tc>
        <w:tc>
          <w:tcPr>
            <w:tcW w:w="914" w:type="pct"/>
            <w:tcBorders>
              <w:bottom w:val="single" w:sz="4" w:space="0" w:color="auto"/>
            </w:tcBorders>
            <w:noWrap/>
            <w:hideMark/>
          </w:tcPr>
          <w:p w:rsidR="00294F44" w:rsidRPr="00123E5E" w:rsidRDefault="00294F44" w:rsidP="00294F44">
            <w:pPr>
              <w:pStyle w:val="TableTextCentered"/>
            </w:pPr>
            <w:r w:rsidRPr="00123E5E">
              <w:t>1.1</w:t>
            </w:r>
          </w:p>
        </w:tc>
        <w:tc>
          <w:tcPr>
            <w:tcW w:w="818" w:type="pct"/>
            <w:tcBorders>
              <w:bottom w:val="single" w:sz="4" w:space="0" w:color="auto"/>
            </w:tcBorders>
            <w:noWrap/>
            <w:hideMark/>
          </w:tcPr>
          <w:p w:rsidR="00294F44" w:rsidRPr="00123E5E" w:rsidRDefault="00294F44" w:rsidP="00294F44">
            <w:pPr>
              <w:pStyle w:val="TableTextCentered"/>
            </w:pPr>
            <w:r>
              <w:t xml:space="preserve">+/- </w:t>
            </w:r>
            <w:r w:rsidRPr="00123E5E">
              <w:t>8%</w:t>
            </w:r>
          </w:p>
        </w:tc>
        <w:tc>
          <w:tcPr>
            <w:tcW w:w="671" w:type="pct"/>
            <w:vMerge w:val="restart"/>
            <w:noWrap/>
            <w:hideMark/>
          </w:tcPr>
          <w:p w:rsidR="00294F44" w:rsidRPr="00123E5E" w:rsidRDefault="00294F44" w:rsidP="00294F44">
            <w:pPr>
              <w:pStyle w:val="TableTextCentered"/>
            </w:pPr>
            <w:r w:rsidRPr="00123E5E">
              <w:t>2.48</w:t>
            </w:r>
          </w:p>
        </w:tc>
      </w:tr>
      <w:tr w:rsidR="00D23B73" w:rsidRPr="00123E5E" w:rsidTr="00085539">
        <w:tc>
          <w:tcPr>
            <w:tcW w:w="1104" w:type="pct"/>
            <w:tcBorders>
              <w:bottom w:val="single" w:sz="4" w:space="0" w:color="auto"/>
            </w:tcBorders>
            <w:hideMark/>
          </w:tcPr>
          <w:p w:rsidR="00294F44" w:rsidRPr="00123E5E" w:rsidRDefault="00294F44" w:rsidP="003C50C4">
            <w:pPr>
              <w:pStyle w:val="TableText"/>
              <w:jc w:val="center"/>
              <w:rPr>
                <w:rFonts w:ascii="Calibri" w:hAnsi="Calibri"/>
              </w:rPr>
            </w:pPr>
            <w:r>
              <w:t>2023-</w:t>
            </w:r>
            <w:r w:rsidRPr="00807FB9">
              <w:t>24</w:t>
            </w:r>
          </w:p>
        </w:tc>
        <w:tc>
          <w:tcPr>
            <w:tcW w:w="597" w:type="pct"/>
            <w:tcBorders>
              <w:bottom w:val="single" w:sz="4" w:space="0" w:color="auto"/>
            </w:tcBorders>
            <w:noWrap/>
            <w:hideMark/>
          </w:tcPr>
          <w:p w:rsidR="00294F44" w:rsidRPr="00123E5E" w:rsidRDefault="00294F44" w:rsidP="00294F44">
            <w:pPr>
              <w:pStyle w:val="TableTextCentered"/>
            </w:pPr>
            <w:r w:rsidRPr="00123E5E">
              <w:t>0.5</w:t>
            </w:r>
          </w:p>
        </w:tc>
        <w:tc>
          <w:tcPr>
            <w:tcW w:w="895" w:type="pct"/>
            <w:tcBorders>
              <w:bottom w:val="single" w:sz="4" w:space="0" w:color="auto"/>
            </w:tcBorders>
            <w:noWrap/>
            <w:hideMark/>
          </w:tcPr>
          <w:p w:rsidR="00294F44" w:rsidRPr="00123E5E" w:rsidRDefault="00294F44" w:rsidP="00294F44">
            <w:pPr>
              <w:pStyle w:val="TableTextCentered"/>
            </w:pPr>
            <w:r w:rsidRPr="00123E5E">
              <w:t>0.3</w:t>
            </w:r>
          </w:p>
        </w:tc>
        <w:tc>
          <w:tcPr>
            <w:tcW w:w="914" w:type="pct"/>
            <w:tcBorders>
              <w:bottom w:val="single" w:sz="4" w:space="0" w:color="auto"/>
            </w:tcBorders>
            <w:noWrap/>
            <w:hideMark/>
          </w:tcPr>
          <w:p w:rsidR="00294F44" w:rsidRPr="00123E5E" w:rsidRDefault="00294F44" w:rsidP="00294F44">
            <w:pPr>
              <w:pStyle w:val="TableTextCentered"/>
            </w:pPr>
            <w:r w:rsidRPr="00123E5E">
              <w:t>0.7</w:t>
            </w:r>
          </w:p>
        </w:tc>
        <w:tc>
          <w:tcPr>
            <w:tcW w:w="818" w:type="pct"/>
            <w:tcBorders>
              <w:bottom w:val="single" w:sz="4" w:space="0" w:color="auto"/>
            </w:tcBorders>
            <w:noWrap/>
            <w:hideMark/>
          </w:tcPr>
          <w:p w:rsidR="00294F44" w:rsidRPr="00123E5E" w:rsidRDefault="00294F44" w:rsidP="00294F44">
            <w:pPr>
              <w:pStyle w:val="TableTextCentered"/>
            </w:pPr>
            <w:r>
              <w:t xml:space="preserve">+/- </w:t>
            </w:r>
            <w:r w:rsidRPr="00123E5E">
              <w:t>37%</w:t>
            </w:r>
          </w:p>
        </w:tc>
        <w:tc>
          <w:tcPr>
            <w:tcW w:w="671" w:type="pct"/>
            <w:vMerge/>
            <w:tcBorders>
              <w:bottom w:val="single" w:sz="4" w:space="0" w:color="auto"/>
            </w:tcBorders>
            <w:hideMark/>
          </w:tcPr>
          <w:p w:rsidR="00294F44" w:rsidRPr="00123E5E" w:rsidRDefault="00294F44" w:rsidP="00294F44">
            <w:pPr>
              <w:pStyle w:val="TableTextCentered"/>
            </w:pPr>
          </w:p>
        </w:tc>
      </w:tr>
      <w:tr w:rsidR="00B70E1A" w:rsidRPr="00123E5E" w:rsidTr="007820C5">
        <w:tc>
          <w:tcPr>
            <w:tcW w:w="1104" w:type="pct"/>
            <w:tcBorders>
              <w:bottom w:val="single" w:sz="4" w:space="0" w:color="auto"/>
            </w:tcBorders>
            <w:shd w:val="clear" w:color="auto" w:fill="D9E3ED" w:themeFill="accent1" w:themeFillTint="33"/>
            <w:noWrap/>
            <w:hideMark/>
          </w:tcPr>
          <w:p w:rsidR="00C157EC" w:rsidRPr="0044505A" w:rsidRDefault="00C157EC" w:rsidP="003C50C4">
            <w:pPr>
              <w:pStyle w:val="TableText"/>
              <w:jc w:val="center"/>
            </w:pPr>
            <w:r w:rsidRPr="0044505A">
              <w:t>White</w:t>
            </w:r>
          </w:p>
        </w:tc>
        <w:tc>
          <w:tcPr>
            <w:tcW w:w="597" w:type="pct"/>
            <w:tcBorders>
              <w:bottom w:val="single" w:sz="4" w:space="0" w:color="auto"/>
            </w:tcBorders>
            <w:shd w:val="clear" w:color="auto" w:fill="D9E3ED" w:themeFill="accent1" w:themeFillTint="33"/>
            <w:noWrap/>
            <w:hideMark/>
          </w:tcPr>
          <w:p w:rsidR="00C157EC" w:rsidRPr="00123E5E" w:rsidRDefault="00C157EC" w:rsidP="00294F44">
            <w:pPr>
              <w:pStyle w:val="TableTextCentered"/>
            </w:pPr>
          </w:p>
        </w:tc>
        <w:tc>
          <w:tcPr>
            <w:tcW w:w="895" w:type="pct"/>
            <w:tcBorders>
              <w:bottom w:val="single" w:sz="4" w:space="0" w:color="auto"/>
            </w:tcBorders>
            <w:shd w:val="clear" w:color="auto" w:fill="D9E3ED" w:themeFill="accent1" w:themeFillTint="33"/>
            <w:noWrap/>
            <w:hideMark/>
          </w:tcPr>
          <w:p w:rsidR="00C157EC" w:rsidRPr="00123E5E" w:rsidRDefault="00C157EC" w:rsidP="00294F44">
            <w:pPr>
              <w:pStyle w:val="TableTextCentered"/>
            </w:pPr>
          </w:p>
        </w:tc>
        <w:tc>
          <w:tcPr>
            <w:tcW w:w="914" w:type="pct"/>
            <w:tcBorders>
              <w:bottom w:val="single" w:sz="4" w:space="0" w:color="auto"/>
            </w:tcBorders>
            <w:shd w:val="clear" w:color="auto" w:fill="D9E3ED" w:themeFill="accent1" w:themeFillTint="33"/>
            <w:noWrap/>
            <w:hideMark/>
          </w:tcPr>
          <w:p w:rsidR="00C157EC" w:rsidRPr="00123E5E" w:rsidRDefault="00C157EC" w:rsidP="00294F44">
            <w:pPr>
              <w:pStyle w:val="TableTextCentered"/>
            </w:pPr>
          </w:p>
        </w:tc>
        <w:tc>
          <w:tcPr>
            <w:tcW w:w="818" w:type="pct"/>
            <w:tcBorders>
              <w:bottom w:val="single" w:sz="4" w:space="0" w:color="auto"/>
            </w:tcBorders>
            <w:shd w:val="clear" w:color="auto" w:fill="D9E3ED" w:themeFill="accent1" w:themeFillTint="33"/>
            <w:noWrap/>
            <w:hideMark/>
          </w:tcPr>
          <w:p w:rsidR="00C157EC" w:rsidRPr="00123E5E" w:rsidRDefault="00C157EC" w:rsidP="00294F44">
            <w:pPr>
              <w:pStyle w:val="TableTextCentered"/>
            </w:pPr>
          </w:p>
        </w:tc>
        <w:tc>
          <w:tcPr>
            <w:tcW w:w="671" w:type="pct"/>
            <w:tcBorders>
              <w:bottom w:val="single" w:sz="4" w:space="0" w:color="auto"/>
            </w:tcBorders>
            <w:shd w:val="clear" w:color="auto" w:fill="D9E3ED" w:themeFill="accent1" w:themeFillTint="33"/>
            <w:noWrap/>
            <w:hideMark/>
          </w:tcPr>
          <w:p w:rsidR="00C157EC" w:rsidRPr="00123E5E" w:rsidRDefault="00C157EC" w:rsidP="00294F44">
            <w:pPr>
              <w:pStyle w:val="TableTextCentered"/>
            </w:pPr>
          </w:p>
        </w:tc>
      </w:tr>
      <w:tr w:rsidR="00D23B73" w:rsidRPr="00123E5E" w:rsidTr="00085539">
        <w:tc>
          <w:tcPr>
            <w:tcW w:w="1104" w:type="pct"/>
            <w:tcBorders>
              <w:bottom w:val="single" w:sz="4" w:space="0" w:color="auto"/>
            </w:tcBorders>
            <w:hideMark/>
          </w:tcPr>
          <w:p w:rsidR="00294F44" w:rsidRPr="00123E5E" w:rsidRDefault="00294F44" w:rsidP="003C50C4">
            <w:pPr>
              <w:pStyle w:val="TableText"/>
              <w:jc w:val="center"/>
              <w:rPr>
                <w:rFonts w:ascii="Calibri" w:hAnsi="Calibri"/>
              </w:rPr>
            </w:pPr>
            <w:r>
              <w:t>2014-</w:t>
            </w:r>
            <w:r w:rsidRPr="00807FB9">
              <w:t>15</w:t>
            </w:r>
          </w:p>
        </w:tc>
        <w:tc>
          <w:tcPr>
            <w:tcW w:w="597" w:type="pct"/>
            <w:tcBorders>
              <w:bottom w:val="single" w:sz="4" w:space="0" w:color="auto"/>
            </w:tcBorders>
            <w:noWrap/>
            <w:hideMark/>
          </w:tcPr>
          <w:p w:rsidR="00294F44" w:rsidRPr="00123E5E" w:rsidRDefault="00294F44" w:rsidP="00294F44">
            <w:pPr>
              <w:pStyle w:val="TableTextCentered"/>
            </w:pPr>
            <w:r w:rsidRPr="00123E5E">
              <w:t>7.4</w:t>
            </w:r>
          </w:p>
        </w:tc>
        <w:tc>
          <w:tcPr>
            <w:tcW w:w="895" w:type="pct"/>
            <w:tcBorders>
              <w:bottom w:val="single" w:sz="4" w:space="0" w:color="auto"/>
            </w:tcBorders>
            <w:noWrap/>
            <w:hideMark/>
          </w:tcPr>
          <w:p w:rsidR="00294F44" w:rsidRPr="00123E5E" w:rsidRDefault="00294F44" w:rsidP="00294F44">
            <w:pPr>
              <w:pStyle w:val="TableTextCentered"/>
            </w:pPr>
            <w:r w:rsidRPr="00123E5E">
              <w:t>6.7</w:t>
            </w:r>
          </w:p>
        </w:tc>
        <w:tc>
          <w:tcPr>
            <w:tcW w:w="914" w:type="pct"/>
            <w:tcBorders>
              <w:bottom w:val="single" w:sz="4" w:space="0" w:color="auto"/>
            </w:tcBorders>
            <w:noWrap/>
            <w:hideMark/>
          </w:tcPr>
          <w:p w:rsidR="00294F44" w:rsidRPr="00123E5E" w:rsidRDefault="00294F44" w:rsidP="00294F44">
            <w:pPr>
              <w:pStyle w:val="TableTextCentered"/>
            </w:pPr>
            <w:r w:rsidRPr="00123E5E">
              <w:t>8.1</w:t>
            </w:r>
          </w:p>
        </w:tc>
        <w:tc>
          <w:tcPr>
            <w:tcW w:w="818" w:type="pct"/>
            <w:tcBorders>
              <w:bottom w:val="single" w:sz="4" w:space="0" w:color="auto"/>
            </w:tcBorders>
            <w:noWrap/>
            <w:hideMark/>
          </w:tcPr>
          <w:p w:rsidR="00294F44" w:rsidRPr="00123E5E" w:rsidRDefault="00294F44" w:rsidP="00294F44">
            <w:pPr>
              <w:pStyle w:val="TableTextCentered"/>
            </w:pPr>
            <w:r>
              <w:t xml:space="preserve">+/- </w:t>
            </w:r>
            <w:r w:rsidRPr="00123E5E">
              <w:t>10%</w:t>
            </w:r>
          </w:p>
        </w:tc>
        <w:tc>
          <w:tcPr>
            <w:tcW w:w="671" w:type="pct"/>
            <w:vMerge w:val="restart"/>
            <w:noWrap/>
            <w:hideMark/>
          </w:tcPr>
          <w:p w:rsidR="00294F44" w:rsidRPr="00123E5E" w:rsidRDefault="00294F44" w:rsidP="00294F44">
            <w:pPr>
              <w:pStyle w:val="TableTextCentered"/>
            </w:pPr>
            <w:r w:rsidRPr="00123E5E">
              <w:t>2.38</w:t>
            </w:r>
          </w:p>
        </w:tc>
      </w:tr>
      <w:tr w:rsidR="00D23B73" w:rsidRPr="00123E5E" w:rsidTr="00085539">
        <w:tc>
          <w:tcPr>
            <w:tcW w:w="1104" w:type="pct"/>
            <w:hideMark/>
          </w:tcPr>
          <w:p w:rsidR="00294F44" w:rsidRPr="00123E5E" w:rsidRDefault="00294F44" w:rsidP="003C50C4">
            <w:pPr>
              <w:pStyle w:val="TableText"/>
              <w:jc w:val="center"/>
              <w:rPr>
                <w:rFonts w:ascii="Calibri" w:hAnsi="Calibri"/>
              </w:rPr>
            </w:pPr>
            <w:r>
              <w:t>2023-</w:t>
            </w:r>
            <w:r w:rsidRPr="00807FB9">
              <w:t>24</w:t>
            </w:r>
          </w:p>
        </w:tc>
        <w:tc>
          <w:tcPr>
            <w:tcW w:w="597" w:type="pct"/>
            <w:noWrap/>
            <w:hideMark/>
          </w:tcPr>
          <w:p w:rsidR="00294F44" w:rsidRPr="00123E5E" w:rsidRDefault="00294F44" w:rsidP="00294F44">
            <w:pPr>
              <w:pStyle w:val="TableTextCentered"/>
            </w:pPr>
            <w:r w:rsidRPr="00123E5E">
              <w:t>3.7</w:t>
            </w:r>
          </w:p>
        </w:tc>
        <w:tc>
          <w:tcPr>
            <w:tcW w:w="895" w:type="pct"/>
            <w:noWrap/>
            <w:hideMark/>
          </w:tcPr>
          <w:p w:rsidR="00294F44" w:rsidRPr="00123E5E" w:rsidRDefault="00294F44" w:rsidP="00294F44">
            <w:pPr>
              <w:pStyle w:val="TableTextCentered"/>
            </w:pPr>
            <w:r w:rsidRPr="00123E5E">
              <w:t>2.0</w:t>
            </w:r>
          </w:p>
        </w:tc>
        <w:tc>
          <w:tcPr>
            <w:tcW w:w="914" w:type="pct"/>
            <w:noWrap/>
            <w:hideMark/>
          </w:tcPr>
          <w:p w:rsidR="00294F44" w:rsidRPr="00123E5E" w:rsidRDefault="00294F44" w:rsidP="00294F44">
            <w:pPr>
              <w:pStyle w:val="TableTextCentered"/>
            </w:pPr>
            <w:r w:rsidRPr="00123E5E">
              <w:t>5.4</w:t>
            </w:r>
          </w:p>
        </w:tc>
        <w:tc>
          <w:tcPr>
            <w:tcW w:w="818" w:type="pct"/>
            <w:noWrap/>
            <w:hideMark/>
          </w:tcPr>
          <w:p w:rsidR="00294F44" w:rsidRPr="00123E5E" w:rsidRDefault="00294F44" w:rsidP="00294F44">
            <w:pPr>
              <w:pStyle w:val="TableTextCentered"/>
            </w:pPr>
            <w:r>
              <w:t xml:space="preserve">+/- </w:t>
            </w:r>
            <w:r w:rsidRPr="00123E5E">
              <w:t>47%</w:t>
            </w:r>
          </w:p>
        </w:tc>
        <w:tc>
          <w:tcPr>
            <w:tcW w:w="671" w:type="pct"/>
            <w:vMerge/>
            <w:hideMark/>
          </w:tcPr>
          <w:p w:rsidR="00294F44" w:rsidRPr="00123E5E" w:rsidRDefault="00294F44" w:rsidP="00294F44">
            <w:pPr>
              <w:pStyle w:val="TableTextCentered"/>
            </w:pPr>
          </w:p>
        </w:tc>
      </w:tr>
    </w:tbl>
    <w:p w:rsidR="00C157EC" w:rsidRPr="00EB58A1" w:rsidRDefault="00C157EC" w:rsidP="00A46F58">
      <w:pPr>
        <w:pStyle w:val="BodyText"/>
        <w:rPr>
          <w:rFonts w:cstheme="majorHAnsi"/>
          <w:szCs w:val="26"/>
        </w:rPr>
      </w:pPr>
      <w:r w:rsidRPr="00A46F58">
        <w:rPr>
          <w:rFonts w:asciiTheme="majorHAnsi" w:hAnsiTheme="majorHAnsi" w:cstheme="majorHAnsi"/>
          <w:b/>
          <w:i/>
          <w:sz w:val="26"/>
          <w:szCs w:val="26"/>
        </w:rPr>
        <w:t>Research Question 4b</w:t>
      </w:r>
      <w:r w:rsidR="00F11661" w:rsidRPr="00A46F58">
        <w:rPr>
          <w:rFonts w:asciiTheme="majorHAnsi" w:hAnsiTheme="majorHAnsi" w:cstheme="majorHAnsi"/>
          <w:b/>
          <w:i/>
          <w:sz w:val="26"/>
          <w:szCs w:val="26"/>
        </w:rPr>
        <w:t>—</w:t>
      </w:r>
      <w:r w:rsidRPr="00A46F58">
        <w:rPr>
          <w:rFonts w:asciiTheme="majorHAnsi" w:hAnsiTheme="majorHAnsi" w:cstheme="majorHAnsi"/>
          <w:b/>
          <w:i/>
          <w:sz w:val="26"/>
          <w:szCs w:val="26"/>
        </w:rPr>
        <w:t>Validity of Results by Age</w:t>
      </w:r>
    </w:p>
    <w:p w:rsidR="00C157EC" w:rsidRPr="00A46F58" w:rsidRDefault="00C157EC" w:rsidP="00A46F58">
      <w:pPr>
        <w:pStyle w:val="BodyText"/>
        <w:rPr>
          <w:rFonts w:cstheme="majorHAnsi"/>
          <w:sz w:val="26"/>
          <w:szCs w:val="26"/>
        </w:rPr>
      </w:pPr>
      <w:r w:rsidRPr="00A46F58">
        <w:rPr>
          <w:rFonts w:asciiTheme="majorHAnsi" w:hAnsiTheme="majorHAnsi" w:cstheme="majorHAnsi"/>
          <w:b/>
          <w:sz w:val="26"/>
          <w:szCs w:val="26"/>
        </w:rPr>
        <w:t>Demand Projections</w:t>
      </w:r>
    </w:p>
    <w:p w:rsidR="00C157EC" w:rsidRPr="004056FD" w:rsidRDefault="00C157EC" w:rsidP="00294F44">
      <w:pPr>
        <w:pStyle w:val="BodyText"/>
      </w:pPr>
      <w:r>
        <w:t>We also examined the 95 percent confidence intervals surrounding the district average predicted point estimates (</w:t>
      </w:r>
      <w:r w:rsidR="00F11661">
        <w:t>Table</w:t>
      </w:r>
      <w:r>
        <w:t xml:space="preserve"> C1</w:t>
      </w:r>
      <w:r w:rsidR="00F11661">
        <w:t>0</w:t>
      </w:r>
      <w:r>
        <w:t>). This analysis indicates substantial uncertainty in predictions as time goes on, particularly for the youngest and oldest age groups (i.e., under</w:t>
      </w:r>
      <w:r w:rsidR="00617CD2">
        <w:t xml:space="preserve"> 26</w:t>
      </w:r>
      <w:r>
        <w:t xml:space="preserve"> and over </w:t>
      </w:r>
      <w:r w:rsidR="00617CD2">
        <w:t xml:space="preserve">64 </w:t>
      </w:r>
      <w:r>
        <w:t>categories), which have confidence interval bounds 36 and 45 percent above and below the average</w:t>
      </w:r>
      <w:r w:rsidR="004457B7">
        <w:t xml:space="preserve"> point estimate, respectively. </w:t>
      </w:r>
      <w:r>
        <w:t xml:space="preserve">Additionally, for six of seven categories the confidence intervals grow by more than three times from 2014-15 to 2023-24, with the largest increase in the over </w:t>
      </w:r>
      <w:r w:rsidR="00617CD2">
        <w:t xml:space="preserve">64 </w:t>
      </w:r>
      <w:r>
        <w:t>category, where confidence intervals increase by a factor of almost 12.</w:t>
      </w:r>
      <w:r>
        <w:rPr>
          <w:rStyle w:val="FootnoteReference"/>
        </w:rPr>
        <w:footnoteReference w:id="52"/>
      </w:r>
    </w:p>
    <w:p w:rsidR="00C157EC" w:rsidRDefault="00F11661" w:rsidP="00E5258D">
      <w:pPr>
        <w:pStyle w:val="ExhibitTitle"/>
        <w:pageBreakBefore/>
      </w:pPr>
      <w:r>
        <w:t>Table</w:t>
      </w:r>
      <w:r w:rsidR="00C157EC" w:rsidRPr="00DB105D">
        <w:t xml:space="preserve"> </w:t>
      </w:r>
      <w:r w:rsidR="00C157EC">
        <w:t>C1</w:t>
      </w:r>
      <w:r>
        <w:t>0</w:t>
      </w:r>
      <w:r w:rsidR="00C157EC" w:rsidRPr="00DB105D">
        <w:t xml:space="preserve">. 95% Confidence Intervals for Projected Proportions </w:t>
      </w:r>
      <w:r w:rsidR="00D41F40">
        <w:t>of Teachers by Age, 2014-15 and 2023-24</w:t>
      </w:r>
    </w:p>
    <w:tbl>
      <w:tblPr>
        <w:tblStyle w:val="AIRBlue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2118"/>
        <w:gridCol w:w="1144"/>
        <w:gridCol w:w="1719"/>
        <w:gridCol w:w="1753"/>
        <w:gridCol w:w="1569"/>
        <w:gridCol w:w="1287"/>
      </w:tblGrid>
      <w:tr w:rsidR="00E5258D" w:rsidRPr="009E06D7" w:rsidTr="00085539">
        <w:trPr>
          <w:cnfStyle w:val="100000000000"/>
        </w:trPr>
        <w:tc>
          <w:tcPr>
            <w:tcW w:w="1104" w:type="pct"/>
            <w:tcBorders>
              <w:bottom w:val="single" w:sz="4" w:space="0" w:color="auto"/>
            </w:tcBorders>
          </w:tcPr>
          <w:p w:rsidR="00C157EC" w:rsidRPr="00807FB9" w:rsidRDefault="00CA771C" w:rsidP="003C50C4">
            <w:pPr>
              <w:pStyle w:val="TableText"/>
              <w:jc w:val="center"/>
            </w:pPr>
            <w:r w:rsidRPr="00CA771C">
              <w:t>Age Group/Year</w:t>
            </w:r>
          </w:p>
        </w:tc>
        <w:tc>
          <w:tcPr>
            <w:tcW w:w="596" w:type="pct"/>
            <w:tcBorders>
              <w:bottom w:val="single" w:sz="4" w:space="0" w:color="auto"/>
            </w:tcBorders>
            <w:hideMark/>
          </w:tcPr>
          <w:p w:rsidR="00C157EC" w:rsidRPr="00807FB9" w:rsidRDefault="00C157EC" w:rsidP="00E5258D">
            <w:pPr>
              <w:pStyle w:val="TableTextCentered"/>
            </w:pPr>
            <w:r w:rsidRPr="004056FD">
              <w:t>Average Point Estimate</w:t>
            </w:r>
          </w:p>
        </w:tc>
        <w:tc>
          <w:tcPr>
            <w:tcW w:w="896" w:type="pct"/>
            <w:tcBorders>
              <w:bottom w:val="single" w:sz="4" w:space="0" w:color="auto"/>
            </w:tcBorders>
            <w:hideMark/>
          </w:tcPr>
          <w:p w:rsidR="00C157EC" w:rsidRPr="00807FB9" w:rsidRDefault="00C157EC" w:rsidP="00E5258D">
            <w:pPr>
              <w:pStyle w:val="TableTextCentered"/>
            </w:pPr>
            <w:r w:rsidRPr="004056FD">
              <w:t>95% Confidence Interval</w:t>
            </w:r>
            <w:r w:rsidR="006D2330" w:rsidRPr="00235005">
              <w:t>–</w:t>
            </w:r>
            <w:r w:rsidRPr="004056FD">
              <w:t>Lower Bound</w:t>
            </w:r>
          </w:p>
        </w:tc>
        <w:tc>
          <w:tcPr>
            <w:tcW w:w="914" w:type="pct"/>
            <w:tcBorders>
              <w:bottom w:val="single" w:sz="4" w:space="0" w:color="auto"/>
            </w:tcBorders>
            <w:hideMark/>
          </w:tcPr>
          <w:p w:rsidR="00C157EC" w:rsidRPr="00807FB9" w:rsidRDefault="00C157EC" w:rsidP="00E5258D">
            <w:pPr>
              <w:pStyle w:val="TableTextCentered"/>
            </w:pPr>
            <w:r w:rsidRPr="004056FD">
              <w:t>95% Confidence Interval</w:t>
            </w:r>
            <w:r w:rsidR="006D2330" w:rsidRPr="00235005">
              <w:t>–</w:t>
            </w:r>
            <w:r w:rsidRPr="004056FD">
              <w:t>Upper Bound</w:t>
            </w:r>
          </w:p>
        </w:tc>
        <w:tc>
          <w:tcPr>
            <w:tcW w:w="818" w:type="pct"/>
            <w:tcBorders>
              <w:bottom w:val="single" w:sz="4" w:space="0" w:color="auto"/>
            </w:tcBorders>
            <w:hideMark/>
          </w:tcPr>
          <w:p w:rsidR="00C157EC" w:rsidRPr="00807FB9" w:rsidRDefault="00C157EC" w:rsidP="00E5258D">
            <w:pPr>
              <w:pStyle w:val="TableTextCentered"/>
            </w:pPr>
            <w:r w:rsidRPr="004056FD">
              <w:t>Percent Above/Below Estimate</w:t>
            </w:r>
          </w:p>
        </w:tc>
        <w:tc>
          <w:tcPr>
            <w:tcW w:w="671" w:type="pct"/>
            <w:tcBorders>
              <w:bottom w:val="single" w:sz="4" w:space="0" w:color="auto"/>
            </w:tcBorders>
          </w:tcPr>
          <w:p w:rsidR="00C157EC" w:rsidRPr="00807FB9" w:rsidRDefault="00C157EC" w:rsidP="00E5258D">
            <w:pPr>
              <w:pStyle w:val="TableTextCentered"/>
            </w:pPr>
            <w:r w:rsidRPr="004056FD">
              <w:t>Growth of Interval Over Time</w:t>
            </w:r>
          </w:p>
        </w:tc>
      </w:tr>
      <w:tr w:rsidR="00B70E1A" w:rsidRPr="009E06D7" w:rsidTr="007820C5">
        <w:tc>
          <w:tcPr>
            <w:tcW w:w="1104" w:type="pct"/>
            <w:tcBorders>
              <w:bottom w:val="single" w:sz="4" w:space="0" w:color="auto"/>
            </w:tcBorders>
            <w:shd w:val="clear" w:color="auto" w:fill="D9E3ED" w:themeFill="accent1" w:themeFillTint="33"/>
            <w:hideMark/>
          </w:tcPr>
          <w:p w:rsidR="00C157EC" w:rsidRPr="00807FB9" w:rsidRDefault="00C157EC" w:rsidP="003C50C4">
            <w:pPr>
              <w:pStyle w:val="TableText"/>
              <w:jc w:val="center"/>
            </w:pPr>
            <w:r>
              <w:t>Under</w:t>
            </w:r>
            <w:r w:rsidR="00617CD2">
              <w:t xml:space="preserve"> 26</w:t>
            </w:r>
          </w:p>
        </w:tc>
        <w:tc>
          <w:tcPr>
            <w:tcW w:w="596" w:type="pct"/>
            <w:tcBorders>
              <w:bottom w:val="single" w:sz="4" w:space="0" w:color="auto"/>
            </w:tcBorders>
            <w:shd w:val="clear" w:color="auto" w:fill="D9E3ED" w:themeFill="accent1" w:themeFillTint="33"/>
            <w:noWrap/>
            <w:hideMark/>
          </w:tcPr>
          <w:p w:rsidR="00C157EC" w:rsidRPr="00807FB9" w:rsidRDefault="00C157EC" w:rsidP="00E5258D">
            <w:pPr>
              <w:pStyle w:val="TableTextCentered"/>
            </w:pPr>
          </w:p>
        </w:tc>
        <w:tc>
          <w:tcPr>
            <w:tcW w:w="896" w:type="pct"/>
            <w:tcBorders>
              <w:bottom w:val="single" w:sz="4" w:space="0" w:color="auto"/>
            </w:tcBorders>
            <w:shd w:val="clear" w:color="auto" w:fill="D9E3ED" w:themeFill="accent1" w:themeFillTint="33"/>
            <w:noWrap/>
            <w:hideMark/>
          </w:tcPr>
          <w:p w:rsidR="00C157EC" w:rsidRPr="00807FB9" w:rsidRDefault="00C157EC" w:rsidP="00E5258D">
            <w:pPr>
              <w:pStyle w:val="TableTextCentered"/>
            </w:pPr>
          </w:p>
        </w:tc>
        <w:tc>
          <w:tcPr>
            <w:tcW w:w="914" w:type="pct"/>
            <w:tcBorders>
              <w:bottom w:val="single" w:sz="4" w:space="0" w:color="auto"/>
            </w:tcBorders>
            <w:shd w:val="clear" w:color="auto" w:fill="D9E3ED" w:themeFill="accent1" w:themeFillTint="33"/>
            <w:noWrap/>
            <w:hideMark/>
          </w:tcPr>
          <w:p w:rsidR="00C157EC" w:rsidRPr="00807FB9" w:rsidRDefault="00C157EC" w:rsidP="00E5258D">
            <w:pPr>
              <w:pStyle w:val="TableTextCentered"/>
            </w:pPr>
          </w:p>
        </w:tc>
        <w:tc>
          <w:tcPr>
            <w:tcW w:w="818" w:type="pct"/>
            <w:tcBorders>
              <w:bottom w:val="single" w:sz="4" w:space="0" w:color="auto"/>
            </w:tcBorders>
            <w:shd w:val="clear" w:color="auto" w:fill="D9E3ED" w:themeFill="accent1" w:themeFillTint="33"/>
            <w:noWrap/>
            <w:hideMark/>
          </w:tcPr>
          <w:p w:rsidR="00C157EC" w:rsidRPr="00807FB9" w:rsidRDefault="00C157EC" w:rsidP="00E5258D">
            <w:pPr>
              <w:pStyle w:val="TableTextCentered"/>
            </w:pPr>
          </w:p>
        </w:tc>
        <w:tc>
          <w:tcPr>
            <w:tcW w:w="671" w:type="pct"/>
            <w:tcBorders>
              <w:bottom w:val="single" w:sz="4" w:space="0" w:color="auto"/>
            </w:tcBorders>
            <w:shd w:val="clear" w:color="auto" w:fill="D9E3ED" w:themeFill="accent1" w:themeFillTint="33"/>
          </w:tcPr>
          <w:p w:rsidR="00C157EC" w:rsidRPr="00807FB9" w:rsidRDefault="00C157EC" w:rsidP="00E5258D">
            <w:pPr>
              <w:pStyle w:val="TableTextCentered"/>
            </w:pPr>
          </w:p>
        </w:tc>
      </w:tr>
      <w:tr w:rsidR="00E5258D" w:rsidRPr="009E06D7" w:rsidTr="00085539">
        <w:tc>
          <w:tcPr>
            <w:tcW w:w="1104" w:type="pct"/>
            <w:tcBorders>
              <w:bottom w:val="single" w:sz="4" w:space="0" w:color="auto"/>
            </w:tcBorders>
            <w:hideMark/>
          </w:tcPr>
          <w:p w:rsidR="00E5258D" w:rsidRPr="00807FB9" w:rsidRDefault="00E5258D" w:rsidP="003C50C4">
            <w:pPr>
              <w:pStyle w:val="TableText"/>
              <w:jc w:val="center"/>
            </w:pPr>
            <w:r>
              <w:t>2014-</w:t>
            </w:r>
            <w:r w:rsidRPr="00807FB9">
              <w:t>15</w:t>
            </w:r>
          </w:p>
        </w:tc>
        <w:tc>
          <w:tcPr>
            <w:tcW w:w="596" w:type="pct"/>
            <w:tcBorders>
              <w:bottom w:val="single" w:sz="4" w:space="0" w:color="auto"/>
            </w:tcBorders>
            <w:noWrap/>
            <w:hideMark/>
          </w:tcPr>
          <w:p w:rsidR="00E5258D" w:rsidRPr="00807FB9" w:rsidRDefault="00B70EB0" w:rsidP="00E5258D">
            <w:pPr>
              <w:pStyle w:val="TableTextCentered"/>
            </w:pPr>
            <w:r>
              <w:t>0.</w:t>
            </w:r>
            <w:r w:rsidR="00E5258D" w:rsidRPr="00807FB9">
              <w:t>033</w:t>
            </w:r>
          </w:p>
        </w:tc>
        <w:tc>
          <w:tcPr>
            <w:tcW w:w="896" w:type="pct"/>
            <w:tcBorders>
              <w:bottom w:val="single" w:sz="4" w:space="0" w:color="auto"/>
            </w:tcBorders>
            <w:noWrap/>
            <w:hideMark/>
          </w:tcPr>
          <w:p w:rsidR="00E5258D" w:rsidRPr="00807FB9" w:rsidRDefault="00B70EB0" w:rsidP="00E5258D">
            <w:pPr>
              <w:pStyle w:val="TableTextCentered"/>
            </w:pPr>
            <w:r>
              <w:t>0.</w:t>
            </w:r>
            <w:r w:rsidR="00E5258D" w:rsidRPr="00807FB9">
              <w:t>031</w:t>
            </w:r>
          </w:p>
        </w:tc>
        <w:tc>
          <w:tcPr>
            <w:tcW w:w="914" w:type="pct"/>
            <w:tcBorders>
              <w:bottom w:val="single" w:sz="4" w:space="0" w:color="auto"/>
            </w:tcBorders>
            <w:noWrap/>
            <w:hideMark/>
          </w:tcPr>
          <w:p w:rsidR="00E5258D" w:rsidRPr="00807FB9" w:rsidRDefault="00B70EB0" w:rsidP="00E5258D">
            <w:pPr>
              <w:pStyle w:val="TableTextCentered"/>
            </w:pPr>
            <w:r>
              <w:t>0.</w:t>
            </w:r>
            <w:r w:rsidR="00E5258D" w:rsidRPr="00807FB9">
              <w:t>036</w:t>
            </w:r>
          </w:p>
        </w:tc>
        <w:tc>
          <w:tcPr>
            <w:tcW w:w="818" w:type="pct"/>
            <w:tcBorders>
              <w:bottom w:val="single" w:sz="4" w:space="0" w:color="auto"/>
            </w:tcBorders>
            <w:noWrap/>
            <w:hideMark/>
          </w:tcPr>
          <w:p w:rsidR="00E5258D" w:rsidRPr="00807FB9" w:rsidRDefault="00E5258D" w:rsidP="00E5258D">
            <w:pPr>
              <w:pStyle w:val="TableTextCentered"/>
            </w:pPr>
            <w:r>
              <w:t xml:space="preserve">+/- </w:t>
            </w:r>
            <w:r w:rsidRPr="00807FB9">
              <w:t>7%</w:t>
            </w:r>
          </w:p>
        </w:tc>
        <w:tc>
          <w:tcPr>
            <w:tcW w:w="671" w:type="pct"/>
            <w:vMerge w:val="restart"/>
          </w:tcPr>
          <w:p w:rsidR="00E5258D" w:rsidRPr="00807FB9" w:rsidRDefault="00E5258D" w:rsidP="00E5258D">
            <w:pPr>
              <w:pStyle w:val="TableTextCentered"/>
            </w:pPr>
            <w:r>
              <w:t>3</w:t>
            </w:r>
            <w:r w:rsidRPr="00807FB9">
              <w:t>.6</w:t>
            </w:r>
          </w:p>
        </w:tc>
      </w:tr>
      <w:tr w:rsidR="00E5258D" w:rsidRPr="009E06D7" w:rsidTr="00085539">
        <w:tc>
          <w:tcPr>
            <w:tcW w:w="1104" w:type="pct"/>
            <w:tcBorders>
              <w:bottom w:val="single" w:sz="4" w:space="0" w:color="auto"/>
            </w:tcBorders>
            <w:hideMark/>
          </w:tcPr>
          <w:p w:rsidR="00E5258D" w:rsidRPr="00807FB9" w:rsidRDefault="00E5258D" w:rsidP="003C50C4">
            <w:pPr>
              <w:pStyle w:val="TableText"/>
              <w:jc w:val="center"/>
            </w:pPr>
            <w:r>
              <w:t>2023-</w:t>
            </w:r>
            <w:r w:rsidRPr="00807FB9">
              <w:t>24</w:t>
            </w:r>
          </w:p>
        </w:tc>
        <w:tc>
          <w:tcPr>
            <w:tcW w:w="596" w:type="pct"/>
            <w:tcBorders>
              <w:bottom w:val="single" w:sz="4" w:space="0" w:color="auto"/>
            </w:tcBorders>
            <w:noWrap/>
            <w:hideMark/>
          </w:tcPr>
          <w:p w:rsidR="00E5258D" w:rsidRPr="00807FB9" w:rsidRDefault="00B70EB0" w:rsidP="00E5258D">
            <w:pPr>
              <w:pStyle w:val="TableTextCentered"/>
            </w:pPr>
            <w:r>
              <w:t>0.</w:t>
            </w:r>
            <w:r w:rsidR="00E5258D" w:rsidRPr="00807FB9">
              <w:t>025</w:t>
            </w:r>
          </w:p>
        </w:tc>
        <w:tc>
          <w:tcPr>
            <w:tcW w:w="896" w:type="pct"/>
            <w:tcBorders>
              <w:bottom w:val="single" w:sz="4" w:space="0" w:color="auto"/>
            </w:tcBorders>
            <w:noWrap/>
            <w:hideMark/>
          </w:tcPr>
          <w:p w:rsidR="00E5258D" w:rsidRPr="00807FB9" w:rsidRDefault="00B70EB0" w:rsidP="00E5258D">
            <w:pPr>
              <w:pStyle w:val="TableTextCentered"/>
            </w:pPr>
            <w:r>
              <w:t>0.</w:t>
            </w:r>
            <w:r w:rsidR="00E5258D" w:rsidRPr="00807FB9">
              <w:t>016</w:t>
            </w:r>
          </w:p>
        </w:tc>
        <w:tc>
          <w:tcPr>
            <w:tcW w:w="914" w:type="pct"/>
            <w:tcBorders>
              <w:bottom w:val="single" w:sz="4" w:space="0" w:color="auto"/>
            </w:tcBorders>
            <w:noWrap/>
            <w:hideMark/>
          </w:tcPr>
          <w:p w:rsidR="00E5258D" w:rsidRPr="00807FB9" w:rsidRDefault="00B70EB0" w:rsidP="00E5258D">
            <w:pPr>
              <w:pStyle w:val="TableTextCentered"/>
            </w:pPr>
            <w:r>
              <w:t>0.</w:t>
            </w:r>
            <w:r w:rsidR="00E5258D" w:rsidRPr="00807FB9">
              <w:t>034</w:t>
            </w:r>
          </w:p>
        </w:tc>
        <w:tc>
          <w:tcPr>
            <w:tcW w:w="818" w:type="pct"/>
            <w:tcBorders>
              <w:bottom w:val="single" w:sz="4" w:space="0" w:color="auto"/>
            </w:tcBorders>
            <w:noWrap/>
            <w:hideMark/>
          </w:tcPr>
          <w:p w:rsidR="00E5258D" w:rsidRPr="00807FB9" w:rsidRDefault="00E5258D" w:rsidP="00E5258D">
            <w:pPr>
              <w:pStyle w:val="TableTextCentered"/>
            </w:pPr>
            <w:r>
              <w:t xml:space="preserve">+/- </w:t>
            </w:r>
            <w:r w:rsidRPr="00807FB9">
              <w:t>36%</w:t>
            </w:r>
          </w:p>
        </w:tc>
        <w:tc>
          <w:tcPr>
            <w:tcW w:w="671" w:type="pct"/>
            <w:vMerge/>
            <w:tcBorders>
              <w:bottom w:val="single" w:sz="4" w:space="0" w:color="auto"/>
            </w:tcBorders>
          </w:tcPr>
          <w:p w:rsidR="00E5258D" w:rsidRPr="00807FB9" w:rsidRDefault="00E5258D" w:rsidP="00E5258D">
            <w:pPr>
              <w:pStyle w:val="TableTextCentered"/>
            </w:pPr>
          </w:p>
        </w:tc>
      </w:tr>
      <w:tr w:rsidR="00B70E1A" w:rsidRPr="009E06D7" w:rsidTr="007820C5">
        <w:tc>
          <w:tcPr>
            <w:tcW w:w="1104" w:type="pct"/>
            <w:tcBorders>
              <w:bottom w:val="single" w:sz="4" w:space="0" w:color="auto"/>
            </w:tcBorders>
            <w:shd w:val="clear" w:color="auto" w:fill="D9E3ED" w:themeFill="accent1" w:themeFillTint="33"/>
            <w:noWrap/>
            <w:hideMark/>
          </w:tcPr>
          <w:p w:rsidR="00C157EC" w:rsidRPr="00807FB9" w:rsidRDefault="00C157EC" w:rsidP="003C50C4">
            <w:pPr>
              <w:pStyle w:val="TableText"/>
              <w:jc w:val="center"/>
            </w:pPr>
            <w:r>
              <w:t xml:space="preserve">Age </w:t>
            </w:r>
            <w:r w:rsidRPr="00807FB9">
              <w:t>26-32</w:t>
            </w:r>
          </w:p>
        </w:tc>
        <w:tc>
          <w:tcPr>
            <w:tcW w:w="596" w:type="pct"/>
            <w:tcBorders>
              <w:bottom w:val="single" w:sz="4" w:space="0" w:color="auto"/>
            </w:tcBorders>
            <w:shd w:val="clear" w:color="auto" w:fill="D9E3ED" w:themeFill="accent1" w:themeFillTint="33"/>
            <w:noWrap/>
            <w:hideMark/>
          </w:tcPr>
          <w:p w:rsidR="00C157EC" w:rsidRPr="00807FB9" w:rsidRDefault="00C157EC" w:rsidP="00E5258D">
            <w:pPr>
              <w:pStyle w:val="TableTextCentered"/>
            </w:pPr>
          </w:p>
        </w:tc>
        <w:tc>
          <w:tcPr>
            <w:tcW w:w="896" w:type="pct"/>
            <w:tcBorders>
              <w:bottom w:val="single" w:sz="4" w:space="0" w:color="auto"/>
            </w:tcBorders>
            <w:shd w:val="clear" w:color="auto" w:fill="D9E3ED" w:themeFill="accent1" w:themeFillTint="33"/>
            <w:noWrap/>
            <w:hideMark/>
          </w:tcPr>
          <w:p w:rsidR="00C157EC" w:rsidRPr="00807FB9" w:rsidRDefault="00C157EC" w:rsidP="00E5258D">
            <w:pPr>
              <w:pStyle w:val="TableTextCentered"/>
            </w:pPr>
          </w:p>
        </w:tc>
        <w:tc>
          <w:tcPr>
            <w:tcW w:w="914" w:type="pct"/>
            <w:tcBorders>
              <w:bottom w:val="single" w:sz="4" w:space="0" w:color="auto"/>
            </w:tcBorders>
            <w:shd w:val="clear" w:color="auto" w:fill="D9E3ED" w:themeFill="accent1" w:themeFillTint="33"/>
            <w:noWrap/>
            <w:hideMark/>
          </w:tcPr>
          <w:p w:rsidR="00C157EC" w:rsidRPr="00807FB9" w:rsidRDefault="00C157EC" w:rsidP="00E5258D">
            <w:pPr>
              <w:pStyle w:val="TableTextCentered"/>
            </w:pPr>
          </w:p>
        </w:tc>
        <w:tc>
          <w:tcPr>
            <w:tcW w:w="818" w:type="pct"/>
            <w:tcBorders>
              <w:bottom w:val="single" w:sz="4" w:space="0" w:color="auto"/>
            </w:tcBorders>
            <w:shd w:val="clear" w:color="auto" w:fill="D9E3ED" w:themeFill="accent1" w:themeFillTint="33"/>
            <w:noWrap/>
            <w:hideMark/>
          </w:tcPr>
          <w:p w:rsidR="00C157EC" w:rsidRPr="00807FB9" w:rsidRDefault="00C157EC" w:rsidP="00E5258D">
            <w:pPr>
              <w:pStyle w:val="TableTextCentered"/>
            </w:pPr>
          </w:p>
        </w:tc>
        <w:tc>
          <w:tcPr>
            <w:tcW w:w="671" w:type="pct"/>
            <w:tcBorders>
              <w:bottom w:val="single" w:sz="4" w:space="0" w:color="auto"/>
            </w:tcBorders>
            <w:shd w:val="clear" w:color="auto" w:fill="D9E3ED" w:themeFill="accent1" w:themeFillTint="33"/>
          </w:tcPr>
          <w:p w:rsidR="00C157EC" w:rsidRPr="00807FB9" w:rsidRDefault="00C157EC" w:rsidP="00E5258D">
            <w:pPr>
              <w:pStyle w:val="TableTextCentered"/>
            </w:pPr>
          </w:p>
        </w:tc>
      </w:tr>
      <w:tr w:rsidR="00E5258D" w:rsidRPr="009E06D7" w:rsidTr="00085539">
        <w:tc>
          <w:tcPr>
            <w:tcW w:w="1104" w:type="pct"/>
            <w:tcBorders>
              <w:bottom w:val="single" w:sz="4" w:space="0" w:color="auto"/>
            </w:tcBorders>
            <w:hideMark/>
          </w:tcPr>
          <w:p w:rsidR="00E5258D" w:rsidRPr="00807FB9" w:rsidRDefault="00E5258D" w:rsidP="003C50C4">
            <w:pPr>
              <w:pStyle w:val="TableText"/>
              <w:jc w:val="center"/>
            </w:pPr>
            <w:r>
              <w:t>2014-</w:t>
            </w:r>
            <w:r w:rsidRPr="00807FB9">
              <w:t>15</w:t>
            </w:r>
          </w:p>
        </w:tc>
        <w:tc>
          <w:tcPr>
            <w:tcW w:w="596" w:type="pct"/>
            <w:tcBorders>
              <w:bottom w:val="single" w:sz="4" w:space="0" w:color="auto"/>
            </w:tcBorders>
            <w:noWrap/>
            <w:hideMark/>
          </w:tcPr>
          <w:p w:rsidR="00E5258D" w:rsidRPr="00807FB9" w:rsidRDefault="00B70EB0" w:rsidP="00E5258D">
            <w:pPr>
              <w:pStyle w:val="TableTextCentered"/>
            </w:pPr>
            <w:r>
              <w:t>0.</w:t>
            </w:r>
            <w:r w:rsidR="00E5258D" w:rsidRPr="00807FB9">
              <w:t>167</w:t>
            </w:r>
          </w:p>
        </w:tc>
        <w:tc>
          <w:tcPr>
            <w:tcW w:w="896" w:type="pct"/>
            <w:tcBorders>
              <w:bottom w:val="single" w:sz="4" w:space="0" w:color="auto"/>
            </w:tcBorders>
            <w:noWrap/>
            <w:hideMark/>
          </w:tcPr>
          <w:p w:rsidR="00E5258D" w:rsidRPr="00807FB9" w:rsidRDefault="00B70EB0" w:rsidP="00E5258D">
            <w:pPr>
              <w:pStyle w:val="TableTextCentered"/>
            </w:pPr>
            <w:r>
              <w:t>0.</w:t>
            </w:r>
            <w:r w:rsidR="00E5258D" w:rsidRPr="00807FB9">
              <w:t>160</w:t>
            </w:r>
          </w:p>
        </w:tc>
        <w:tc>
          <w:tcPr>
            <w:tcW w:w="914" w:type="pct"/>
            <w:tcBorders>
              <w:bottom w:val="single" w:sz="4" w:space="0" w:color="auto"/>
            </w:tcBorders>
            <w:noWrap/>
            <w:hideMark/>
          </w:tcPr>
          <w:p w:rsidR="00E5258D" w:rsidRPr="00807FB9" w:rsidRDefault="00B70EB0" w:rsidP="00E5258D">
            <w:pPr>
              <w:pStyle w:val="TableTextCentered"/>
            </w:pPr>
            <w:r>
              <w:t>0.</w:t>
            </w:r>
            <w:r w:rsidR="00E5258D" w:rsidRPr="00807FB9">
              <w:t>174</w:t>
            </w:r>
          </w:p>
        </w:tc>
        <w:tc>
          <w:tcPr>
            <w:tcW w:w="818" w:type="pct"/>
            <w:tcBorders>
              <w:bottom w:val="single" w:sz="4" w:space="0" w:color="auto"/>
            </w:tcBorders>
            <w:noWrap/>
            <w:hideMark/>
          </w:tcPr>
          <w:p w:rsidR="00E5258D" w:rsidRPr="00807FB9" w:rsidRDefault="00E5258D" w:rsidP="00E5258D">
            <w:pPr>
              <w:pStyle w:val="TableTextCentered"/>
            </w:pPr>
            <w:r>
              <w:t xml:space="preserve">+/- </w:t>
            </w:r>
            <w:r w:rsidRPr="00807FB9">
              <w:t>4%</w:t>
            </w:r>
          </w:p>
        </w:tc>
        <w:tc>
          <w:tcPr>
            <w:tcW w:w="671" w:type="pct"/>
            <w:vMerge w:val="restart"/>
          </w:tcPr>
          <w:p w:rsidR="00E5258D" w:rsidRPr="00807FB9" w:rsidRDefault="00E5258D" w:rsidP="00E5258D">
            <w:pPr>
              <w:pStyle w:val="TableTextCentered"/>
            </w:pPr>
            <w:r>
              <w:t>3</w:t>
            </w:r>
            <w:r w:rsidRPr="00807FB9">
              <w:t>.5</w:t>
            </w:r>
          </w:p>
        </w:tc>
      </w:tr>
      <w:tr w:rsidR="00E5258D" w:rsidRPr="009E06D7" w:rsidTr="00085539">
        <w:tc>
          <w:tcPr>
            <w:tcW w:w="1104" w:type="pct"/>
            <w:tcBorders>
              <w:bottom w:val="single" w:sz="4" w:space="0" w:color="auto"/>
            </w:tcBorders>
            <w:hideMark/>
          </w:tcPr>
          <w:p w:rsidR="00E5258D" w:rsidRPr="00807FB9" w:rsidRDefault="00E5258D" w:rsidP="003C50C4">
            <w:pPr>
              <w:pStyle w:val="TableText"/>
              <w:jc w:val="center"/>
            </w:pPr>
            <w:r>
              <w:t>2023-</w:t>
            </w:r>
            <w:r w:rsidRPr="00807FB9">
              <w:t>24</w:t>
            </w:r>
          </w:p>
        </w:tc>
        <w:tc>
          <w:tcPr>
            <w:tcW w:w="596" w:type="pct"/>
            <w:tcBorders>
              <w:bottom w:val="single" w:sz="4" w:space="0" w:color="auto"/>
            </w:tcBorders>
            <w:noWrap/>
            <w:hideMark/>
          </w:tcPr>
          <w:p w:rsidR="00E5258D" w:rsidRPr="00807FB9" w:rsidRDefault="00B70EB0" w:rsidP="00E5258D">
            <w:pPr>
              <w:pStyle w:val="TableTextCentered"/>
            </w:pPr>
            <w:r>
              <w:t>0.</w:t>
            </w:r>
            <w:r w:rsidR="00E5258D" w:rsidRPr="00807FB9">
              <w:t>166</w:t>
            </w:r>
          </w:p>
        </w:tc>
        <w:tc>
          <w:tcPr>
            <w:tcW w:w="896" w:type="pct"/>
            <w:tcBorders>
              <w:bottom w:val="single" w:sz="4" w:space="0" w:color="auto"/>
            </w:tcBorders>
            <w:noWrap/>
            <w:hideMark/>
          </w:tcPr>
          <w:p w:rsidR="00E5258D" w:rsidRPr="00807FB9" w:rsidRDefault="00B70EB0" w:rsidP="00E5258D">
            <w:pPr>
              <w:pStyle w:val="TableTextCentered"/>
            </w:pPr>
            <w:r>
              <w:t>0.</w:t>
            </w:r>
            <w:r w:rsidR="00E5258D" w:rsidRPr="00807FB9">
              <w:t>143</w:t>
            </w:r>
          </w:p>
        </w:tc>
        <w:tc>
          <w:tcPr>
            <w:tcW w:w="914" w:type="pct"/>
            <w:tcBorders>
              <w:bottom w:val="single" w:sz="4" w:space="0" w:color="auto"/>
            </w:tcBorders>
            <w:noWrap/>
            <w:hideMark/>
          </w:tcPr>
          <w:p w:rsidR="00E5258D" w:rsidRPr="00807FB9" w:rsidRDefault="00B70EB0" w:rsidP="00E5258D">
            <w:pPr>
              <w:pStyle w:val="TableTextCentered"/>
            </w:pPr>
            <w:r>
              <w:t>0.</w:t>
            </w:r>
            <w:r w:rsidR="00E5258D" w:rsidRPr="00807FB9">
              <w:t>190</w:t>
            </w:r>
          </w:p>
        </w:tc>
        <w:tc>
          <w:tcPr>
            <w:tcW w:w="818" w:type="pct"/>
            <w:tcBorders>
              <w:bottom w:val="single" w:sz="4" w:space="0" w:color="auto"/>
            </w:tcBorders>
            <w:noWrap/>
            <w:hideMark/>
          </w:tcPr>
          <w:p w:rsidR="00E5258D" w:rsidRPr="00807FB9" w:rsidRDefault="00E5258D" w:rsidP="00E5258D">
            <w:pPr>
              <w:pStyle w:val="TableTextCentered"/>
            </w:pPr>
            <w:r>
              <w:t xml:space="preserve">+/- </w:t>
            </w:r>
            <w:r w:rsidRPr="00807FB9">
              <w:t>16%</w:t>
            </w:r>
          </w:p>
        </w:tc>
        <w:tc>
          <w:tcPr>
            <w:tcW w:w="671" w:type="pct"/>
            <w:vMerge/>
            <w:tcBorders>
              <w:bottom w:val="single" w:sz="4" w:space="0" w:color="auto"/>
            </w:tcBorders>
          </w:tcPr>
          <w:p w:rsidR="00E5258D" w:rsidRPr="00807FB9" w:rsidRDefault="00E5258D" w:rsidP="00E5258D">
            <w:pPr>
              <w:pStyle w:val="TableTextCentered"/>
            </w:pPr>
          </w:p>
        </w:tc>
      </w:tr>
      <w:tr w:rsidR="00B70E1A" w:rsidRPr="009E06D7" w:rsidTr="007820C5">
        <w:tc>
          <w:tcPr>
            <w:tcW w:w="1104" w:type="pct"/>
            <w:tcBorders>
              <w:bottom w:val="single" w:sz="4" w:space="0" w:color="auto"/>
            </w:tcBorders>
            <w:shd w:val="clear" w:color="auto" w:fill="D9E3ED" w:themeFill="accent1" w:themeFillTint="33"/>
          </w:tcPr>
          <w:p w:rsidR="00C157EC" w:rsidRPr="00807FB9" w:rsidRDefault="00C157EC" w:rsidP="003C50C4">
            <w:pPr>
              <w:pStyle w:val="TableText"/>
              <w:jc w:val="center"/>
            </w:pPr>
            <w:r>
              <w:t xml:space="preserve">Age </w:t>
            </w:r>
            <w:r w:rsidRPr="00807FB9">
              <w:t>33-40</w:t>
            </w:r>
          </w:p>
        </w:tc>
        <w:tc>
          <w:tcPr>
            <w:tcW w:w="596"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896"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914"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818"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671" w:type="pct"/>
            <w:tcBorders>
              <w:bottom w:val="single" w:sz="4" w:space="0" w:color="auto"/>
            </w:tcBorders>
            <w:shd w:val="clear" w:color="auto" w:fill="D9E3ED" w:themeFill="accent1" w:themeFillTint="33"/>
          </w:tcPr>
          <w:p w:rsidR="00C157EC" w:rsidRPr="00807FB9" w:rsidRDefault="00C157EC" w:rsidP="00E5258D">
            <w:pPr>
              <w:pStyle w:val="TableTextCentered"/>
            </w:pPr>
          </w:p>
        </w:tc>
      </w:tr>
      <w:tr w:rsidR="00E5258D" w:rsidRPr="009E06D7" w:rsidTr="00085539">
        <w:tc>
          <w:tcPr>
            <w:tcW w:w="1104" w:type="pct"/>
            <w:tcBorders>
              <w:bottom w:val="single" w:sz="4" w:space="0" w:color="auto"/>
            </w:tcBorders>
          </w:tcPr>
          <w:p w:rsidR="00E5258D" w:rsidRPr="00807FB9" w:rsidRDefault="00E5258D" w:rsidP="003C50C4">
            <w:pPr>
              <w:pStyle w:val="TableText"/>
              <w:jc w:val="center"/>
            </w:pPr>
            <w:r>
              <w:t>2014-</w:t>
            </w:r>
            <w:r w:rsidRPr="00807FB9">
              <w:t>15</w:t>
            </w:r>
          </w:p>
        </w:tc>
        <w:tc>
          <w:tcPr>
            <w:tcW w:w="596" w:type="pct"/>
            <w:tcBorders>
              <w:bottom w:val="single" w:sz="4" w:space="0" w:color="auto"/>
            </w:tcBorders>
            <w:noWrap/>
          </w:tcPr>
          <w:p w:rsidR="00E5258D" w:rsidRPr="00807FB9" w:rsidRDefault="00B70EB0" w:rsidP="00E5258D">
            <w:pPr>
              <w:pStyle w:val="TableTextCentered"/>
            </w:pPr>
            <w:r>
              <w:t>0.</w:t>
            </w:r>
            <w:r w:rsidR="00E5258D" w:rsidRPr="00807FB9">
              <w:t>206</w:t>
            </w:r>
          </w:p>
        </w:tc>
        <w:tc>
          <w:tcPr>
            <w:tcW w:w="896" w:type="pct"/>
            <w:tcBorders>
              <w:bottom w:val="single" w:sz="4" w:space="0" w:color="auto"/>
            </w:tcBorders>
            <w:noWrap/>
          </w:tcPr>
          <w:p w:rsidR="00E5258D" w:rsidRPr="00807FB9" w:rsidRDefault="00B70EB0" w:rsidP="00E5258D">
            <w:pPr>
              <w:pStyle w:val="TableTextCentered"/>
            </w:pPr>
            <w:r>
              <w:t>0.</w:t>
            </w:r>
            <w:r w:rsidR="00E5258D" w:rsidRPr="00807FB9">
              <w:t>200</w:t>
            </w:r>
          </w:p>
        </w:tc>
        <w:tc>
          <w:tcPr>
            <w:tcW w:w="914" w:type="pct"/>
            <w:tcBorders>
              <w:bottom w:val="single" w:sz="4" w:space="0" w:color="auto"/>
            </w:tcBorders>
            <w:noWrap/>
          </w:tcPr>
          <w:p w:rsidR="00E5258D" w:rsidRPr="00807FB9" w:rsidRDefault="00B70EB0" w:rsidP="00E5258D">
            <w:pPr>
              <w:pStyle w:val="TableTextCentered"/>
            </w:pPr>
            <w:r>
              <w:t>0.</w:t>
            </w:r>
            <w:r w:rsidR="00E5258D" w:rsidRPr="00807FB9">
              <w:t>212</w:t>
            </w:r>
          </w:p>
        </w:tc>
        <w:tc>
          <w:tcPr>
            <w:tcW w:w="818" w:type="pct"/>
            <w:tcBorders>
              <w:bottom w:val="single" w:sz="4" w:space="0" w:color="auto"/>
            </w:tcBorders>
            <w:noWrap/>
          </w:tcPr>
          <w:p w:rsidR="00E5258D" w:rsidRPr="00807FB9" w:rsidRDefault="00E5258D" w:rsidP="00E5258D">
            <w:pPr>
              <w:pStyle w:val="TableTextCentered"/>
            </w:pPr>
            <w:r>
              <w:t xml:space="preserve">+/- </w:t>
            </w:r>
            <w:r w:rsidRPr="00807FB9">
              <w:t>3%</w:t>
            </w:r>
          </w:p>
        </w:tc>
        <w:tc>
          <w:tcPr>
            <w:tcW w:w="671" w:type="pct"/>
            <w:vMerge w:val="restart"/>
          </w:tcPr>
          <w:p w:rsidR="00E5258D" w:rsidRPr="00807FB9" w:rsidRDefault="00E5258D" w:rsidP="00E5258D">
            <w:pPr>
              <w:pStyle w:val="TableTextCentered"/>
            </w:pPr>
            <w:r>
              <w:t>3</w:t>
            </w:r>
            <w:r w:rsidRPr="00807FB9">
              <w:t>.3</w:t>
            </w:r>
          </w:p>
        </w:tc>
      </w:tr>
      <w:tr w:rsidR="00E5258D" w:rsidRPr="009E06D7" w:rsidTr="00085539">
        <w:tc>
          <w:tcPr>
            <w:tcW w:w="1104" w:type="pct"/>
            <w:tcBorders>
              <w:bottom w:val="single" w:sz="4" w:space="0" w:color="auto"/>
            </w:tcBorders>
          </w:tcPr>
          <w:p w:rsidR="00E5258D" w:rsidRPr="00807FB9" w:rsidRDefault="00E5258D" w:rsidP="003C50C4">
            <w:pPr>
              <w:pStyle w:val="TableText"/>
              <w:jc w:val="center"/>
            </w:pPr>
            <w:r>
              <w:t>2023-</w:t>
            </w:r>
            <w:r w:rsidRPr="00807FB9">
              <w:t>24</w:t>
            </w:r>
          </w:p>
        </w:tc>
        <w:tc>
          <w:tcPr>
            <w:tcW w:w="596" w:type="pct"/>
            <w:tcBorders>
              <w:bottom w:val="single" w:sz="4" w:space="0" w:color="auto"/>
            </w:tcBorders>
            <w:noWrap/>
          </w:tcPr>
          <w:p w:rsidR="00E5258D" w:rsidRPr="00807FB9" w:rsidRDefault="00B70EB0" w:rsidP="00E5258D">
            <w:pPr>
              <w:pStyle w:val="TableTextCentered"/>
            </w:pPr>
            <w:r>
              <w:t>0.</w:t>
            </w:r>
            <w:r w:rsidR="00E5258D" w:rsidRPr="00807FB9">
              <w:t>228</w:t>
            </w:r>
          </w:p>
        </w:tc>
        <w:tc>
          <w:tcPr>
            <w:tcW w:w="896" w:type="pct"/>
            <w:tcBorders>
              <w:bottom w:val="single" w:sz="4" w:space="0" w:color="auto"/>
            </w:tcBorders>
            <w:noWrap/>
          </w:tcPr>
          <w:p w:rsidR="00E5258D" w:rsidRPr="00807FB9" w:rsidRDefault="00B70EB0" w:rsidP="00E5258D">
            <w:pPr>
              <w:pStyle w:val="TableTextCentered"/>
            </w:pPr>
            <w:r>
              <w:t>0.</w:t>
            </w:r>
            <w:r w:rsidR="00E5258D" w:rsidRPr="00807FB9">
              <w:t>207</w:t>
            </w:r>
          </w:p>
        </w:tc>
        <w:tc>
          <w:tcPr>
            <w:tcW w:w="914" w:type="pct"/>
            <w:tcBorders>
              <w:bottom w:val="single" w:sz="4" w:space="0" w:color="auto"/>
            </w:tcBorders>
            <w:noWrap/>
          </w:tcPr>
          <w:p w:rsidR="00E5258D" w:rsidRPr="00807FB9" w:rsidRDefault="00B70EB0" w:rsidP="00E5258D">
            <w:pPr>
              <w:pStyle w:val="TableTextCentered"/>
            </w:pPr>
            <w:r>
              <w:t>0.</w:t>
            </w:r>
            <w:r w:rsidR="00E5258D" w:rsidRPr="00807FB9">
              <w:t>248</w:t>
            </w:r>
          </w:p>
        </w:tc>
        <w:tc>
          <w:tcPr>
            <w:tcW w:w="818" w:type="pct"/>
            <w:tcBorders>
              <w:bottom w:val="single" w:sz="4" w:space="0" w:color="auto"/>
            </w:tcBorders>
            <w:noWrap/>
          </w:tcPr>
          <w:p w:rsidR="00E5258D" w:rsidRPr="00807FB9" w:rsidRDefault="00E5258D" w:rsidP="00E5258D">
            <w:pPr>
              <w:pStyle w:val="TableTextCentered"/>
            </w:pPr>
            <w:r>
              <w:t xml:space="preserve">+/- </w:t>
            </w:r>
            <w:r w:rsidRPr="00807FB9">
              <w:t>9%</w:t>
            </w:r>
          </w:p>
        </w:tc>
        <w:tc>
          <w:tcPr>
            <w:tcW w:w="671" w:type="pct"/>
            <w:vMerge/>
            <w:tcBorders>
              <w:bottom w:val="single" w:sz="4" w:space="0" w:color="auto"/>
            </w:tcBorders>
          </w:tcPr>
          <w:p w:rsidR="00E5258D" w:rsidRPr="00807FB9" w:rsidRDefault="00E5258D" w:rsidP="00E5258D">
            <w:pPr>
              <w:pStyle w:val="TableTextCentered"/>
            </w:pPr>
          </w:p>
        </w:tc>
      </w:tr>
      <w:tr w:rsidR="00B70E1A" w:rsidRPr="009E06D7" w:rsidTr="007820C5">
        <w:tc>
          <w:tcPr>
            <w:tcW w:w="1104" w:type="pct"/>
            <w:tcBorders>
              <w:bottom w:val="single" w:sz="4" w:space="0" w:color="auto"/>
            </w:tcBorders>
            <w:shd w:val="clear" w:color="auto" w:fill="D9E3ED" w:themeFill="accent1" w:themeFillTint="33"/>
          </w:tcPr>
          <w:p w:rsidR="00C157EC" w:rsidRPr="00807FB9" w:rsidRDefault="00C157EC" w:rsidP="003C50C4">
            <w:pPr>
              <w:pStyle w:val="TableText"/>
              <w:jc w:val="center"/>
            </w:pPr>
            <w:r>
              <w:t xml:space="preserve">Age </w:t>
            </w:r>
            <w:r w:rsidRPr="00807FB9">
              <w:t>41-48</w:t>
            </w:r>
          </w:p>
        </w:tc>
        <w:tc>
          <w:tcPr>
            <w:tcW w:w="596"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896"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914"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818"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671" w:type="pct"/>
            <w:tcBorders>
              <w:bottom w:val="single" w:sz="4" w:space="0" w:color="auto"/>
            </w:tcBorders>
            <w:shd w:val="clear" w:color="auto" w:fill="D9E3ED" w:themeFill="accent1" w:themeFillTint="33"/>
          </w:tcPr>
          <w:p w:rsidR="00C157EC" w:rsidRPr="00807FB9" w:rsidRDefault="00C157EC" w:rsidP="00E5258D">
            <w:pPr>
              <w:pStyle w:val="TableTextCentered"/>
            </w:pPr>
          </w:p>
        </w:tc>
      </w:tr>
      <w:tr w:rsidR="00E5258D" w:rsidRPr="009E06D7" w:rsidTr="00085539">
        <w:tc>
          <w:tcPr>
            <w:tcW w:w="1104" w:type="pct"/>
            <w:tcBorders>
              <w:bottom w:val="single" w:sz="4" w:space="0" w:color="auto"/>
            </w:tcBorders>
          </w:tcPr>
          <w:p w:rsidR="00E5258D" w:rsidRPr="00807FB9" w:rsidRDefault="00E5258D" w:rsidP="003C50C4">
            <w:pPr>
              <w:pStyle w:val="TableText"/>
              <w:jc w:val="center"/>
            </w:pPr>
            <w:r>
              <w:t>2014-</w:t>
            </w:r>
            <w:r w:rsidRPr="00807FB9">
              <w:t>15</w:t>
            </w:r>
          </w:p>
        </w:tc>
        <w:tc>
          <w:tcPr>
            <w:tcW w:w="596" w:type="pct"/>
            <w:tcBorders>
              <w:bottom w:val="single" w:sz="4" w:space="0" w:color="auto"/>
            </w:tcBorders>
            <w:noWrap/>
          </w:tcPr>
          <w:p w:rsidR="00E5258D" w:rsidRPr="00807FB9" w:rsidRDefault="00B70EB0" w:rsidP="00E5258D">
            <w:pPr>
              <w:pStyle w:val="TableTextCentered"/>
            </w:pPr>
            <w:r>
              <w:t>0.</w:t>
            </w:r>
            <w:r w:rsidR="00E5258D" w:rsidRPr="00807FB9">
              <w:t>225</w:t>
            </w:r>
          </w:p>
        </w:tc>
        <w:tc>
          <w:tcPr>
            <w:tcW w:w="896" w:type="pct"/>
            <w:tcBorders>
              <w:bottom w:val="single" w:sz="4" w:space="0" w:color="auto"/>
            </w:tcBorders>
            <w:noWrap/>
          </w:tcPr>
          <w:p w:rsidR="00E5258D" w:rsidRPr="00807FB9" w:rsidRDefault="00B70EB0" w:rsidP="00E5258D">
            <w:pPr>
              <w:pStyle w:val="TableTextCentered"/>
            </w:pPr>
            <w:r>
              <w:t>0.</w:t>
            </w:r>
            <w:r w:rsidR="00E5258D" w:rsidRPr="00807FB9">
              <w:t>223</w:t>
            </w:r>
          </w:p>
        </w:tc>
        <w:tc>
          <w:tcPr>
            <w:tcW w:w="914" w:type="pct"/>
            <w:tcBorders>
              <w:bottom w:val="single" w:sz="4" w:space="0" w:color="auto"/>
            </w:tcBorders>
            <w:noWrap/>
          </w:tcPr>
          <w:p w:rsidR="00E5258D" w:rsidRPr="00807FB9" w:rsidRDefault="00B70EB0" w:rsidP="00E5258D">
            <w:pPr>
              <w:pStyle w:val="TableTextCentered"/>
            </w:pPr>
            <w:r>
              <w:t>0.</w:t>
            </w:r>
            <w:r w:rsidR="00E5258D" w:rsidRPr="00807FB9">
              <w:t>234</w:t>
            </w:r>
          </w:p>
        </w:tc>
        <w:tc>
          <w:tcPr>
            <w:tcW w:w="818" w:type="pct"/>
            <w:tcBorders>
              <w:bottom w:val="single" w:sz="4" w:space="0" w:color="auto"/>
            </w:tcBorders>
            <w:noWrap/>
          </w:tcPr>
          <w:p w:rsidR="00E5258D" w:rsidRPr="00807FB9" w:rsidRDefault="00E5258D" w:rsidP="00E5258D">
            <w:pPr>
              <w:pStyle w:val="TableTextCentered"/>
            </w:pPr>
            <w:r>
              <w:t xml:space="preserve">+/- </w:t>
            </w:r>
            <w:r w:rsidRPr="00807FB9">
              <w:t>2%</w:t>
            </w:r>
          </w:p>
        </w:tc>
        <w:tc>
          <w:tcPr>
            <w:tcW w:w="671" w:type="pct"/>
            <w:vMerge w:val="restart"/>
          </w:tcPr>
          <w:p w:rsidR="00E5258D" w:rsidRPr="00807FB9" w:rsidRDefault="00E5258D" w:rsidP="00E5258D">
            <w:pPr>
              <w:pStyle w:val="TableTextCentered"/>
            </w:pPr>
            <w:r>
              <w:t>4</w:t>
            </w:r>
            <w:r w:rsidRPr="00807FB9">
              <w:t>.2</w:t>
            </w:r>
          </w:p>
        </w:tc>
      </w:tr>
      <w:tr w:rsidR="00E5258D" w:rsidRPr="009E06D7" w:rsidTr="00085539">
        <w:tc>
          <w:tcPr>
            <w:tcW w:w="1104" w:type="pct"/>
            <w:tcBorders>
              <w:bottom w:val="single" w:sz="4" w:space="0" w:color="auto"/>
            </w:tcBorders>
          </w:tcPr>
          <w:p w:rsidR="00E5258D" w:rsidRPr="00807FB9" w:rsidRDefault="00E5258D" w:rsidP="003C50C4">
            <w:pPr>
              <w:pStyle w:val="TableText"/>
              <w:jc w:val="center"/>
            </w:pPr>
            <w:r>
              <w:t>2023-</w:t>
            </w:r>
            <w:r w:rsidRPr="00807FB9">
              <w:t>24</w:t>
            </w:r>
          </w:p>
        </w:tc>
        <w:tc>
          <w:tcPr>
            <w:tcW w:w="596" w:type="pct"/>
            <w:tcBorders>
              <w:bottom w:val="single" w:sz="4" w:space="0" w:color="auto"/>
            </w:tcBorders>
            <w:noWrap/>
          </w:tcPr>
          <w:p w:rsidR="00E5258D" w:rsidRPr="00807FB9" w:rsidRDefault="00B70EB0" w:rsidP="00E5258D">
            <w:pPr>
              <w:pStyle w:val="TableTextCentered"/>
            </w:pPr>
            <w:r>
              <w:t>0.</w:t>
            </w:r>
            <w:r w:rsidR="00E5258D" w:rsidRPr="00807FB9">
              <w:t>318</w:t>
            </w:r>
          </w:p>
        </w:tc>
        <w:tc>
          <w:tcPr>
            <w:tcW w:w="896" w:type="pct"/>
            <w:tcBorders>
              <w:bottom w:val="single" w:sz="4" w:space="0" w:color="auto"/>
            </w:tcBorders>
            <w:noWrap/>
          </w:tcPr>
          <w:p w:rsidR="00E5258D" w:rsidRPr="00807FB9" w:rsidRDefault="00B70EB0" w:rsidP="00E5258D">
            <w:pPr>
              <w:pStyle w:val="TableTextCentered"/>
            </w:pPr>
            <w:r>
              <w:t>0.</w:t>
            </w:r>
            <w:r w:rsidR="00E5258D" w:rsidRPr="00807FB9">
              <w:t>294</w:t>
            </w:r>
          </w:p>
        </w:tc>
        <w:tc>
          <w:tcPr>
            <w:tcW w:w="914" w:type="pct"/>
            <w:tcBorders>
              <w:bottom w:val="single" w:sz="4" w:space="0" w:color="auto"/>
            </w:tcBorders>
            <w:noWrap/>
          </w:tcPr>
          <w:p w:rsidR="00E5258D" w:rsidRPr="00807FB9" w:rsidRDefault="00B70EB0" w:rsidP="00E5258D">
            <w:pPr>
              <w:pStyle w:val="TableTextCentered"/>
            </w:pPr>
            <w:r>
              <w:t>0.</w:t>
            </w:r>
            <w:r w:rsidR="00E5258D" w:rsidRPr="00807FB9">
              <w:t>341</w:t>
            </w:r>
          </w:p>
        </w:tc>
        <w:tc>
          <w:tcPr>
            <w:tcW w:w="818" w:type="pct"/>
            <w:tcBorders>
              <w:bottom w:val="single" w:sz="4" w:space="0" w:color="auto"/>
            </w:tcBorders>
            <w:noWrap/>
          </w:tcPr>
          <w:p w:rsidR="00E5258D" w:rsidRPr="00807FB9" w:rsidRDefault="00E5258D" w:rsidP="00E5258D">
            <w:pPr>
              <w:pStyle w:val="TableTextCentered"/>
            </w:pPr>
            <w:r>
              <w:t xml:space="preserve">+/- </w:t>
            </w:r>
            <w:r w:rsidRPr="00807FB9">
              <w:t>7%</w:t>
            </w:r>
          </w:p>
        </w:tc>
        <w:tc>
          <w:tcPr>
            <w:tcW w:w="671" w:type="pct"/>
            <w:vMerge/>
            <w:tcBorders>
              <w:bottom w:val="single" w:sz="4" w:space="0" w:color="auto"/>
            </w:tcBorders>
          </w:tcPr>
          <w:p w:rsidR="00E5258D" w:rsidRPr="00807FB9" w:rsidRDefault="00E5258D" w:rsidP="00E5258D">
            <w:pPr>
              <w:pStyle w:val="TableTextCentered"/>
            </w:pPr>
          </w:p>
        </w:tc>
      </w:tr>
      <w:tr w:rsidR="00B70E1A" w:rsidRPr="009E06D7" w:rsidTr="007820C5">
        <w:tc>
          <w:tcPr>
            <w:tcW w:w="1104" w:type="pct"/>
            <w:tcBorders>
              <w:bottom w:val="single" w:sz="4" w:space="0" w:color="auto"/>
            </w:tcBorders>
            <w:shd w:val="clear" w:color="auto" w:fill="D9E3ED" w:themeFill="accent1" w:themeFillTint="33"/>
          </w:tcPr>
          <w:p w:rsidR="00C157EC" w:rsidRPr="00807FB9" w:rsidRDefault="00C157EC" w:rsidP="003C50C4">
            <w:pPr>
              <w:pStyle w:val="TableText"/>
              <w:jc w:val="center"/>
            </w:pPr>
            <w:r>
              <w:t xml:space="preserve">Age </w:t>
            </w:r>
            <w:r w:rsidRPr="00807FB9">
              <w:t>49-56</w:t>
            </w:r>
          </w:p>
        </w:tc>
        <w:tc>
          <w:tcPr>
            <w:tcW w:w="596"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896"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914"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818"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671" w:type="pct"/>
            <w:tcBorders>
              <w:bottom w:val="single" w:sz="4" w:space="0" w:color="auto"/>
            </w:tcBorders>
            <w:shd w:val="clear" w:color="auto" w:fill="D9E3ED" w:themeFill="accent1" w:themeFillTint="33"/>
          </w:tcPr>
          <w:p w:rsidR="00C157EC" w:rsidRPr="00807FB9" w:rsidRDefault="00C157EC" w:rsidP="00E5258D">
            <w:pPr>
              <w:pStyle w:val="TableTextCentered"/>
            </w:pPr>
          </w:p>
        </w:tc>
      </w:tr>
      <w:tr w:rsidR="00E5258D" w:rsidRPr="009E06D7" w:rsidTr="00085539">
        <w:tc>
          <w:tcPr>
            <w:tcW w:w="1104" w:type="pct"/>
            <w:tcBorders>
              <w:bottom w:val="single" w:sz="4" w:space="0" w:color="auto"/>
            </w:tcBorders>
          </w:tcPr>
          <w:p w:rsidR="00E5258D" w:rsidRPr="00807FB9" w:rsidRDefault="00E5258D" w:rsidP="003C50C4">
            <w:pPr>
              <w:pStyle w:val="TableText"/>
              <w:jc w:val="center"/>
            </w:pPr>
            <w:r>
              <w:t>2014-</w:t>
            </w:r>
            <w:r w:rsidRPr="00807FB9">
              <w:t>15</w:t>
            </w:r>
          </w:p>
        </w:tc>
        <w:tc>
          <w:tcPr>
            <w:tcW w:w="596" w:type="pct"/>
            <w:tcBorders>
              <w:bottom w:val="single" w:sz="4" w:space="0" w:color="auto"/>
            </w:tcBorders>
            <w:noWrap/>
          </w:tcPr>
          <w:p w:rsidR="00E5258D" w:rsidRPr="00807FB9" w:rsidRDefault="00B70EB0" w:rsidP="00E5258D">
            <w:pPr>
              <w:pStyle w:val="TableTextCentered"/>
            </w:pPr>
            <w:r>
              <w:t>0.</w:t>
            </w:r>
            <w:r w:rsidR="00E5258D" w:rsidRPr="00807FB9">
              <w:t>194</w:t>
            </w:r>
          </w:p>
        </w:tc>
        <w:tc>
          <w:tcPr>
            <w:tcW w:w="896" w:type="pct"/>
            <w:tcBorders>
              <w:bottom w:val="single" w:sz="4" w:space="0" w:color="auto"/>
            </w:tcBorders>
            <w:noWrap/>
          </w:tcPr>
          <w:p w:rsidR="00E5258D" w:rsidRPr="00807FB9" w:rsidRDefault="00B70EB0" w:rsidP="00E5258D">
            <w:pPr>
              <w:pStyle w:val="TableTextCentered"/>
            </w:pPr>
            <w:r>
              <w:t>0.</w:t>
            </w:r>
            <w:r w:rsidR="00E5258D" w:rsidRPr="00807FB9">
              <w:t>187</w:t>
            </w:r>
          </w:p>
        </w:tc>
        <w:tc>
          <w:tcPr>
            <w:tcW w:w="914" w:type="pct"/>
            <w:tcBorders>
              <w:bottom w:val="single" w:sz="4" w:space="0" w:color="auto"/>
            </w:tcBorders>
            <w:noWrap/>
          </w:tcPr>
          <w:p w:rsidR="00E5258D" w:rsidRPr="00807FB9" w:rsidRDefault="00B70EB0" w:rsidP="00E5258D">
            <w:pPr>
              <w:pStyle w:val="TableTextCentered"/>
            </w:pPr>
            <w:r>
              <w:t>0.</w:t>
            </w:r>
            <w:r w:rsidR="00E5258D" w:rsidRPr="00807FB9">
              <w:t>201</w:t>
            </w:r>
          </w:p>
        </w:tc>
        <w:tc>
          <w:tcPr>
            <w:tcW w:w="818" w:type="pct"/>
            <w:tcBorders>
              <w:bottom w:val="single" w:sz="4" w:space="0" w:color="auto"/>
            </w:tcBorders>
            <w:noWrap/>
          </w:tcPr>
          <w:p w:rsidR="00E5258D" w:rsidRPr="00807FB9" w:rsidRDefault="00E5258D" w:rsidP="00E5258D">
            <w:pPr>
              <w:pStyle w:val="TableTextCentered"/>
            </w:pPr>
            <w:r>
              <w:t xml:space="preserve">+/- </w:t>
            </w:r>
            <w:r w:rsidRPr="00807FB9">
              <w:t>4%</w:t>
            </w:r>
          </w:p>
        </w:tc>
        <w:tc>
          <w:tcPr>
            <w:tcW w:w="671" w:type="pct"/>
            <w:vMerge w:val="restart"/>
          </w:tcPr>
          <w:p w:rsidR="00E5258D" w:rsidRPr="00807FB9" w:rsidRDefault="00E5258D" w:rsidP="00E5258D">
            <w:pPr>
              <w:pStyle w:val="TableTextCentered"/>
            </w:pPr>
            <w:r>
              <w:t>2</w:t>
            </w:r>
            <w:r w:rsidRPr="00807FB9">
              <w:t>.3</w:t>
            </w:r>
          </w:p>
        </w:tc>
      </w:tr>
      <w:tr w:rsidR="00E5258D" w:rsidRPr="009E06D7" w:rsidTr="00085539">
        <w:tc>
          <w:tcPr>
            <w:tcW w:w="1104" w:type="pct"/>
            <w:tcBorders>
              <w:bottom w:val="single" w:sz="4" w:space="0" w:color="auto"/>
            </w:tcBorders>
          </w:tcPr>
          <w:p w:rsidR="00E5258D" w:rsidRPr="00807FB9" w:rsidRDefault="00E5258D" w:rsidP="003C50C4">
            <w:pPr>
              <w:pStyle w:val="TableText"/>
              <w:jc w:val="center"/>
            </w:pPr>
            <w:r>
              <w:t>2023-</w:t>
            </w:r>
            <w:r w:rsidRPr="00807FB9">
              <w:t>24</w:t>
            </w:r>
          </w:p>
        </w:tc>
        <w:tc>
          <w:tcPr>
            <w:tcW w:w="596" w:type="pct"/>
            <w:tcBorders>
              <w:bottom w:val="single" w:sz="4" w:space="0" w:color="auto"/>
            </w:tcBorders>
            <w:noWrap/>
          </w:tcPr>
          <w:p w:rsidR="00E5258D" w:rsidRPr="00807FB9" w:rsidRDefault="00B70EB0" w:rsidP="00E5258D">
            <w:pPr>
              <w:pStyle w:val="TableTextCentered"/>
            </w:pPr>
            <w:r>
              <w:t>0.</w:t>
            </w:r>
            <w:r w:rsidR="00E5258D" w:rsidRPr="00807FB9">
              <w:t>132</w:t>
            </w:r>
          </w:p>
        </w:tc>
        <w:tc>
          <w:tcPr>
            <w:tcW w:w="896" w:type="pct"/>
            <w:tcBorders>
              <w:bottom w:val="single" w:sz="4" w:space="0" w:color="auto"/>
            </w:tcBorders>
            <w:noWrap/>
          </w:tcPr>
          <w:p w:rsidR="00E5258D" w:rsidRPr="00807FB9" w:rsidRDefault="00B70EB0" w:rsidP="00E5258D">
            <w:pPr>
              <w:pStyle w:val="TableTextCentered"/>
            </w:pPr>
            <w:r>
              <w:t>0.</w:t>
            </w:r>
            <w:r w:rsidR="00E5258D" w:rsidRPr="00807FB9">
              <w:t>116</w:t>
            </w:r>
          </w:p>
        </w:tc>
        <w:tc>
          <w:tcPr>
            <w:tcW w:w="914" w:type="pct"/>
            <w:tcBorders>
              <w:bottom w:val="single" w:sz="4" w:space="0" w:color="auto"/>
            </w:tcBorders>
            <w:noWrap/>
          </w:tcPr>
          <w:p w:rsidR="00E5258D" w:rsidRPr="00807FB9" w:rsidRDefault="00B70EB0" w:rsidP="00E5258D">
            <w:pPr>
              <w:pStyle w:val="TableTextCentered"/>
            </w:pPr>
            <w:r>
              <w:t>0.</w:t>
            </w:r>
            <w:r w:rsidR="00E5258D" w:rsidRPr="00807FB9">
              <w:t>148</w:t>
            </w:r>
          </w:p>
        </w:tc>
        <w:tc>
          <w:tcPr>
            <w:tcW w:w="818" w:type="pct"/>
            <w:tcBorders>
              <w:bottom w:val="single" w:sz="4" w:space="0" w:color="auto"/>
            </w:tcBorders>
            <w:noWrap/>
          </w:tcPr>
          <w:p w:rsidR="00E5258D" w:rsidRPr="00807FB9" w:rsidRDefault="00E5258D" w:rsidP="00E5258D">
            <w:pPr>
              <w:pStyle w:val="TableTextCentered"/>
            </w:pPr>
            <w:r>
              <w:t xml:space="preserve">+/- </w:t>
            </w:r>
            <w:r w:rsidRPr="00807FB9">
              <w:t>12%</w:t>
            </w:r>
          </w:p>
        </w:tc>
        <w:tc>
          <w:tcPr>
            <w:tcW w:w="671" w:type="pct"/>
            <w:vMerge/>
            <w:tcBorders>
              <w:bottom w:val="single" w:sz="4" w:space="0" w:color="auto"/>
            </w:tcBorders>
          </w:tcPr>
          <w:p w:rsidR="00E5258D" w:rsidRPr="00807FB9" w:rsidRDefault="00E5258D" w:rsidP="00E5258D">
            <w:pPr>
              <w:pStyle w:val="TableTextCentered"/>
            </w:pPr>
          </w:p>
        </w:tc>
      </w:tr>
      <w:tr w:rsidR="00B70E1A" w:rsidRPr="009E06D7" w:rsidTr="007820C5">
        <w:tc>
          <w:tcPr>
            <w:tcW w:w="1104" w:type="pct"/>
            <w:tcBorders>
              <w:bottom w:val="single" w:sz="4" w:space="0" w:color="auto"/>
            </w:tcBorders>
            <w:shd w:val="clear" w:color="auto" w:fill="D9E3ED" w:themeFill="accent1" w:themeFillTint="33"/>
          </w:tcPr>
          <w:p w:rsidR="00C157EC" w:rsidRPr="00807FB9" w:rsidRDefault="00C157EC" w:rsidP="003C50C4">
            <w:pPr>
              <w:pStyle w:val="TableText"/>
              <w:jc w:val="center"/>
            </w:pPr>
            <w:r>
              <w:t xml:space="preserve">Age </w:t>
            </w:r>
            <w:r w:rsidRPr="00807FB9">
              <w:t>57-64</w:t>
            </w:r>
          </w:p>
        </w:tc>
        <w:tc>
          <w:tcPr>
            <w:tcW w:w="596"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896"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914"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818"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671" w:type="pct"/>
            <w:tcBorders>
              <w:bottom w:val="single" w:sz="4" w:space="0" w:color="auto"/>
            </w:tcBorders>
            <w:shd w:val="clear" w:color="auto" w:fill="D9E3ED" w:themeFill="accent1" w:themeFillTint="33"/>
          </w:tcPr>
          <w:p w:rsidR="00C157EC" w:rsidRPr="00807FB9" w:rsidRDefault="00C157EC" w:rsidP="00E5258D">
            <w:pPr>
              <w:pStyle w:val="TableTextCentered"/>
            </w:pPr>
          </w:p>
        </w:tc>
      </w:tr>
      <w:tr w:rsidR="00E5258D" w:rsidRPr="009E06D7" w:rsidTr="00085539">
        <w:tc>
          <w:tcPr>
            <w:tcW w:w="1104" w:type="pct"/>
            <w:tcBorders>
              <w:bottom w:val="single" w:sz="4" w:space="0" w:color="auto"/>
            </w:tcBorders>
          </w:tcPr>
          <w:p w:rsidR="00E5258D" w:rsidRPr="00807FB9" w:rsidRDefault="00E5258D" w:rsidP="003C50C4">
            <w:pPr>
              <w:pStyle w:val="TableText"/>
              <w:jc w:val="center"/>
            </w:pPr>
            <w:r>
              <w:t>2014-</w:t>
            </w:r>
            <w:r w:rsidRPr="00807FB9">
              <w:t>15</w:t>
            </w:r>
          </w:p>
        </w:tc>
        <w:tc>
          <w:tcPr>
            <w:tcW w:w="596" w:type="pct"/>
            <w:tcBorders>
              <w:bottom w:val="single" w:sz="4" w:space="0" w:color="auto"/>
            </w:tcBorders>
            <w:noWrap/>
          </w:tcPr>
          <w:p w:rsidR="00E5258D" w:rsidRPr="00807FB9" w:rsidRDefault="00B70EB0" w:rsidP="00E5258D">
            <w:pPr>
              <w:pStyle w:val="TableTextCentered"/>
            </w:pPr>
            <w:r>
              <w:t>0.</w:t>
            </w:r>
            <w:r w:rsidR="00E5258D" w:rsidRPr="00807FB9">
              <w:t>159</w:t>
            </w:r>
          </w:p>
        </w:tc>
        <w:tc>
          <w:tcPr>
            <w:tcW w:w="896" w:type="pct"/>
            <w:tcBorders>
              <w:bottom w:val="single" w:sz="4" w:space="0" w:color="auto"/>
            </w:tcBorders>
            <w:noWrap/>
          </w:tcPr>
          <w:p w:rsidR="00E5258D" w:rsidRPr="00807FB9" w:rsidRDefault="00B70EB0" w:rsidP="00E5258D">
            <w:pPr>
              <w:pStyle w:val="TableTextCentered"/>
            </w:pPr>
            <w:r>
              <w:t>0.</w:t>
            </w:r>
            <w:r w:rsidR="00E5258D" w:rsidRPr="00807FB9">
              <w:t>153</w:t>
            </w:r>
          </w:p>
        </w:tc>
        <w:tc>
          <w:tcPr>
            <w:tcW w:w="914" w:type="pct"/>
            <w:tcBorders>
              <w:bottom w:val="single" w:sz="4" w:space="0" w:color="auto"/>
            </w:tcBorders>
            <w:noWrap/>
          </w:tcPr>
          <w:p w:rsidR="00E5258D" w:rsidRPr="00807FB9" w:rsidRDefault="00B70EB0" w:rsidP="00E5258D">
            <w:pPr>
              <w:pStyle w:val="TableTextCentered"/>
            </w:pPr>
            <w:r>
              <w:t>0.</w:t>
            </w:r>
            <w:r w:rsidR="00E5258D" w:rsidRPr="00807FB9">
              <w:t>165</w:t>
            </w:r>
          </w:p>
        </w:tc>
        <w:tc>
          <w:tcPr>
            <w:tcW w:w="818" w:type="pct"/>
            <w:tcBorders>
              <w:bottom w:val="single" w:sz="4" w:space="0" w:color="auto"/>
            </w:tcBorders>
            <w:noWrap/>
          </w:tcPr>
          <w:p w:rsidR="00E5258D" w:rsidRPr="00807FB9" w:rsidRDefault="00E5258D" w:rsidP="00E5258D">
            <w:pPr>
              <w:pStyle w:val="TableTextCentered"/>
            </w:pPr>
            <w:r>
              <w:t xml:space="preserve">+/- </w:t>
            </w:r>
            <w:r w:rsidRPr="00807FB9">
              <w:t>4%</w:t>
            </w:r>
          </w:p>
        </w:tc>
        <w:tc>
          <w:tcPr>
            <w:tcW w:w="671" w:type="pct"/>
            <w:vMerge w:val="restart"/>
          </w:tcPr>
          <w:p w:rsidR="00E5258D" w:rsidRPr="00807FB9" w:rsidRDefault="00E5258D" w:rsidP="00E5258D">
            <w:pPr>
              <w:pStyle w:val="TableTextCentered"/>
            </w:pPr>
            <w:r>
              <w:t>3</w:t>
            </w:r>
            <w:r w:rsidRPr="00807FB9">
              <w:t>.4</w:t>
            </w:r>
          </w:p>
        </w:tc>
      </w:tr>
      <w:tr w:rsidR="00E5258D" w:rsidRPr="009E06D7" w:rsidTr="00085539">
        <w:tc>
          <w:tcPr>
            <w:tcW w:w="1104" w:type="pct"/>
            <w:tcBorders>
              <w:bottom w:val="single" w:sz="4" w:space="0" w:color="auto"/>
            </w:tcBorders>
          </w:tcPr>
          <w:p w:rsidR="00E5258D" w:rsidRPr="00807FB9" w:rsidRDefault="00E5258D" w:rsidP="003C50C4">
            <w:pPr>
              <w:pStyle w:val="TableText"/>
              <w:jc w:val="center"/>
            </w:pPr>
            <w:r>
              <w:t>2023-</w:t>
            </w:r>
            <w:r w:rsidRPr="00807FB9">
              <w:t>24</w:t>
            </w:r>
          </w:p>
        </w:tc>
        <w:tc>
          <w:tcPr>
            <w:tcW w:w="596" w:type="pct"/>
            <w:tcBorders>
              <w:bottom w:val="single" w:sz="4" w:space="0" w:color="auto"/>
            </w:tcBorders>
            <w:noWrap/>
          </w:tcPr>
          <w:p w:rsidR="00E5258D" w:rsidRPr="00807FB9" w:rsidRDefault="00B70EB0" w:rsidP="00E5258D">
            <w:pPr>
              <w:pStyle w:val="TableTextCentered"/>
            </w:pPr>
            <w:r>
              <w:t>0.</w:t>
            </w:r>
            <w:r w:rsidR="00E5258D" w:rsidRPr="00807FB9">
              <w:t>168</w:t>
            </w:r>
          </w:p>
        </w:tc>
        <w:tc>
          <w:tcPr>
            <w:tcW w:w="896" w:type="pct"/>
            <w:tcBorders>
              <w:bottom w:val="single" w:sz="4" w:space="0" w:color="auto"/>
            </w:tcBorders>
            <w:noWrap/>
          </w:tcPr>
          <w:p w:rsidR="00E5258D" w:rsidRPr="00807FB9" w:rsidRDefault="00B70EB0" w:rsidP="00E5258D">
            <w:pPr>
              <w:pStyle w:val="TableTextCentered"/>
            </w:pPr>
            <w:r>
              <w:t>0.</w:t>
            </w:r>
            <w:r w:rsidR="00E5258D" w:rsidRPr="00807FB9">
              <w:t>148</w:t>
            </w:r>
          </w:p>
        </w:tc>
        <w:tc>
          <w:tcPr>
            <w:tcW w:w="914" w:type="pct"/>
            <w:tcBorders>
              <w:bottom w:val="single" w:sz="4" w:space="0" w:color="auto"/>
            </w:tcBorders>
            <w:noWrap/>
          </w:tcPr>
          <w:p w:rsidR="00E5258D" w:rsidRPr="00807FB9" w:rsidRDefault="00B70EB0" w:rsidP="00E5258D">
            <w:pPr>
              <w:pStyle w:val="TableTextCentered"/>
            </w:pPr>
            <w:r>
              <w:t>0.</w:t>
            </w:r>
            <w:r w:rsidR="00E5258D" w:rsidRPr="00807FB9">
              <w:t>188</w:t>
            </w:r>
          </w:p>
        </w:tc>
        <w:tc>
          <w:tcPr>
            <w:tcW w:w="818" w:type="pct"/>
            <w:tcBorders>
              <w:bottom w:val="single" w:sz="4" w:space="0" w:color="auto"/>
            </w:tcBorders>
            <w:noWrap/>
          </w:tcPr>
          <w:p w:rsidR="00E5258D" w:rsidRPr="00807FB9" w:rsidRDefault="00E5258D" w:rsidP="00E5258D">
            <w:pPr>
              <w:pStyle w:val="TableTextCentered"/>
            </w:pPr>
            <w:r>
              <w:t xml:space="preserve">+/- </w:t>
            </w:r>
            <w:r w:rsidRPr="00807FB9">
              <w:t>12%</w:t>
            </w:r>
          </w:p>
        </w:tc>
        <w:tc>
          <w:tcPr>
            <w:tcW w:w="671" w:type="pct"/>
            <w:vMerge/>
            <w:tcBorders>
              <w:bottom w:val="single" w:sz="4" w:space="0" w:color="auto"/>
            </w:tcBorders>
          </w:tcPr>
          <w:p w:rsidR="00E5258D" w:rsidRPr="00807FB9" w:rsidRDefault="00E5258D" w:rsidP="00E5258D">
            <w:pPr>
              <w:pStyle w:val="TableTextCentered"/>
            </w:pPr>
          </w:p>
        </w:tc>
      </w:tr>
      <w:tr w:rsidR="00B70E1A" w:rsidRPr="009E06D7" w:rsidTr="007820C5">
        <w:tc>
          <w:tcPr>
            <w:tcW w:w="1104" w:type="pct"/>
            <w:tcBorders>
              <w:bottom w:val="single" w:sz="4" w:space="0" w:color="auto"/>
            </w:tcBorders>
            <w:shd w:val="clear" w:color="auto" w:fill="D9E3ED" w:themeFill="accent1" w:themeFillTint="33"/>
          </w:tcPr>
          <w:p w:rsidR="00C157EC" w:rsidRPr="00807FB9" w:rsidRDefault="00C157EC" w:rsidP="003C50C4">
            <w:pPr>
              <w:pStyle w:val="TableText"/>
              <w:jc w:val="center"/>
            </w:pPr>
            <w:r>
              <w:t>Over</w:t>
            </w:r>
            <w:r w:rsidR="00617CD2">
              <w:t xml:space="preserve"> 64</w:t>
            </w:r>
          </w:p>
        </w:tc>
        <w:tc>
          <w:tcPr>
            <w:tcW w:w="596"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896"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914"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818" w:type="pct"/>
            <w:tcBorders>
              <w:bottom w:val="single" w:sz="4" w:space="0" w:color="auto"/>
            </w:tcBorders>
            <w:shd w:val="clear" w:color="auto" w:fill="D9E3ED" w:themeFill="accent1" w:themeFillTint="33"/>
            <w:noWrap/>
          </w:tcPr>
          <w:p w:rsidR="00C157EC" w:rsidRPr="00807FB9" w:rsidRDefault="00C157EC" w:rsidP="00E5258D">
            <w:pPr>
              <w:pStyle w:val="TableTextCentered"/>
            </w:pPr>
          </w:p>
        </w:tc>
        <w:tc>
          <w:tcPr>
            <w:tcW w:w="671" w:type="pct"/>
            <w:tcBorders>
              <w:bottom w:val="single" w:sz="4" w:space="0" w:color="auto"/>
            </w:tcBorders>
            <w:shd w:val="clear" w:color="auto" w:fill="D9E3ED" w:themeFill="accent1" w:themeFillTint="33"/>
          </w:tcPr>
          <w:p w:rsidR="00C157EC" w:rsidRPr="00807FB9" w:rsidRDefault="00C157EC" w:rsidP="00E5258D">
            <w:pPr>
              <w:pStyle w:val="TableTextCentered"/>
            </w:pPr>
          </w:p>
        </w:tc>
      </w:tr>
      <w:tr w:rsidR="00E5258D" w:rsidRPr="009E06D7" w:rsidTr="00085539">
        <w:tc>
          <w:tcPr>
            <w:tcW w:w="1104" w:type="pct"/>
            <w:tcBorders>
              <w:bottom w:val="single" w:sz="4" w:space="0" w:color="auto"/>
            </w:tcBorders>
          </w:tcPr>
          <w:p w:rsidR="00E5258D" w:rsidRPr="00807FB9" w:rsidRDefault="00E5258D" w:rsidP="003C50C4">
            <w:pPr>
              <w:pStyle w:val="TableText"/>
              <w:jc w:val="center"/>
            </w:pPr>
            <w:r>
              <w:t>2014-</w:t>
            </w:r>
            <w:r w:rsidRPr="00807FB9">
              <w:t>15</w:t>
            </w:r>
          </w:p>
        </w:tc>
        <w:tc>
          <w:tcPr>
            <w:tcW w:w="596" w:type="pct"/>
            <w:tcBorders>
              <w:bottom w:val="single" w:sz="4" w:space="0" w:color="auto"/>
            </w:tcBorders>
            <w:noWrap/>
          </w:tcPr>
          <w:p w:rsidR="00E5258D" w:rsidRPr="00807FB9" w:rsidRDefault="00B70EB0" w:rsidP="00E5258D">
            <w:pPr>
              <w:pStyle w:val="TableTextCentered"/>
            </w:pPr>
            <w:r>
              <w:t>0.</w:t>
            </w:r>
            <w:r w:rsidR="00E5258D" w:rsidRPr="00807FB9">
              <w:t>018</w:t>
            </w:r>
          </w:p>
        </w:tc>
        <w:tc>
          <w:tcPr>
            <w:tcW w:w="896" w:type="pct"/>
            <w:tcBorders>
              <w:bottom w:val="single" w:sz="4" w:space="0" w:color="auto"/>
            </w:tcBorders>
            <w:noWrap/>
          </w:tcPr>
          <w:p w:rsidR="00E5258D" w:rsidRPr="00807FB9" w:rsidRDefault="00B70EB0" w:rsidP="00E5258D">
            <w:pPr>
              <w:pStyle w:val="TableTextCentered"/>
            </w:pPr>
            <w:r>
              <w:t>0.</w:t>
            </w:r>
            <w:r w:rsidR="00E5258D" w:rsidRPr="00807FB9">
              <w:t>016</w:t>
            </w:r>
          </w:p>
        </w:tc>
        <w:tc>
          <w:tcPr>
            <w:tcW w:w="914" w:type="pct"/>
            <w:tcBorders>
              <w:bottom w:val="single" w:sz="4" w:space="0" w:color="auto"/>
            </w:tcBorders>
            <w:noWrap/>
          </w:tcPr>
          <w:p w:rsidR="00E5258D" w:rsidRPr="00807FB9" w:rsidRDefault="00B70EB0" w:rsidP="00E5258D">
            <w:pPr>
              <w:pStyle w:val="TableTextCentered"/>
            </w:pPr>
            <w:r>
              <w:t>0.</w:t>
            </w:r>
            <w:r w:rsidR="00E5258D" w:rsidRPr="00807FB9">
              <w:t>020</w:t>
            </w:r>
          </w:p>
        </w:tc>
        <w:tc>
          <w:tcPr>
            <w:tcW w:w="818" w:type="pct"/>
            <w:tcBorders>
              <w:bottom w:val="single" w:sz="4" w:space="0" w:color="auto"/>
            </w:tcBorders>
            <w:noWrap/>
          </w:tcPr>
          <w:p w:rsidR="00E5258D" w:rsidRPr="00807FB9" w:rsidRDefault="00E5258D" w:rsidP="00E5258D">
            <w:pPr>
              <w:pStyle w:val="TableTextCentered"/>
            </w:pPr>
            <w:r>
              <w:t xml:space="preserve">+/- </w:t>
            </w:r>
            <w:r w:rsidRPr="00807FB9">
              <w:t>12%</w:t>
            </w:r>
          </w:p>
        </w:tc>
        <w:tc>
          <w:tcPr>
            <w:tcW w:w="671" w:type="pct"/>
            <w:vMerge w:val="restart"/>
          </w:tcPr>
          <w:p w:rsidR="00E5258D" w:rsidRPr="00807FB9" w:rsidRDefault="00E5258D" w:rsidP="00E5258D">
            <w:pPr>
              <w:pStyle w:val="TableTextCentered"/>
            </w:pPr>
            <w:r w:rsidRPr="00807FB9">
              <w:t>1</w:t>
            </w:r>
            <w:r>
              <w:t>1</w:t>
            </w:r>
            <w:r w:rsidRPr="00807FB9">
              <w:t>.8</w:t>
            </w:r>
          </w:p>
        </w:tc>
      </w:tr>
      <w:tr w:rsidR="00E5258D" w:rsidRPr="009E06D7" w:rsidTr="00085539">
        <w:tc>
          <w:tcPr>
            <w:tcW w:w="1104" w:type="pct"/>
          </w:tcPr>
          <w:p w:rsidR="00E5258D" w:rsidRPr="00807FB9" w:rsidRDefault="00E5258D" w:rsidP="003C50C4">
            <w:pPr>
              <w:pStyle w:val="TableText"/>
              <w:jc w:val="center"/>
            </w:pPr>
            <w:r>
              <w:t>2023-</w:t>
            </w:r>
            <w:r w:rsidRPr="00807FB9">
              <w:t>24</w:t>
            </w:r>
          </w:p>
        </w:tc>
        <w:tc>
          <w:tcPr>
            <w:tcW w:w="596" w:type="pct"/>
            <w:noWrap/>
          </w:tcPr>
          <w:p w:rsidR="00E5258D" w:rsidRPr="00807FB9" w:rsidRDefault="00B70EB0" w:rsidP="00E5258D">
            <w:pPr>
              <w:pStyle w:val="TableTextCentered"/>
            </w:pPr>
            <w:r>
              <w:t>0.</w:t>
            </w:r>
            <w:r w:rsidR="00E5258D" w:rsidRPr="00807FB9">
              <w:t>058</w:t>
            </w:r>
          </w:p>
        </w:tc>
        <w:tc>
          <w:tcPr>
            <w:tcW w:w="896" w:type="pct"/>
            <w:noWrap/>
          </w:tcPr>
          <w:p w:rsidR="00E5258D" w:rsidRPr="00807FB9" w:rsidRDefault="00B70EB0" w:rsidP="00E5258D">
            <w:pPr>
              <w:pStyle w:val="TableTextCentered"/>
            </w:pPr>
            <w:r>
              <w:t>0.</w:t>
            </w:r>
            <w:r w:rsidR="00E5258D" w:rsidRPr="00807FB9">
              <w:t>032</w:t>
            </w:r>
          </w:p>
        </w:tc>
        <w:tc>
          <w:tcPr>
            <w:tcW w:w="914" w:type="pct"/>
            <w:noWrap/>
          </w:tcPr>
          <w:p w:rsidR="00E5258D" w:rsidRPr="00807FB9" w:rsidRDefault="00B70EB0" w:rsidP="00E5258D">
            <w:pPr>
              <w:pStyle w:val="TableTextCentered"/>
            </w:pPr>
            <w:r>
              <w:t>0.</w:t>
            </w:r>
            <w:r w:rsidR="00E5258D" w:rsidRPr="00807FB9">
              <w:t>084</w:t>
            </w:r>
          </w:p>
        </w:tc>
        <w:tc>
          <w:tcPr>
            <w:tcW w:w="818" w:type="pct"/>
            <w:noWrap/>
          </w:tcPr>
          <w:p w:rsidR="00E5258D" w:rsidRPr="00807FB9" w:rsidRDefault="00E5258D" w:rsidP="00E5258D">
            <w:pPr>
              <w:pStyle w:val="TableTextCentered"/>
            </w:pPr>
            <w:r>
              <w:t xml:space="preserve">+/- </w:t>
            </w:r>
            <w:r w:rsidRPr="00807FB9">
              <w:t>45%</w:t>
            </w:r>
          </w:p>
        </w:tc>
        <w:tc>
          <w:tcPr>
            <w:tcW w:w="671" w:type="pct"/>
            <w:vMerge/>
          </w:tcPr>
          <w:p w:rsidR="00E5258D" w:rsidRPr="00807FB9" w:rsidRDefault="00E5258D" w:rsidP="00E5258D">
            <w:pPr>
              <w:pStyle w:val="TableTextCentered"/>
            </w:pPr>
          </w:p>
        </w:tc>
      </w:tr>
    </w:tbl>
    <w:p w:rsidR="00C157EC" w:rsidRPr="00A46F58" w:rsidRDefault="00C157EC" w:rsidP="00A46F58">
      <w:pPr>
        <w:pStyle w:val="BodyText"/>
        <w:rPr>
          <w:rFonts w:cstheme="majorHAnsi"/>
          <w:sz w:val="26"/>
          <w:szCs w:val="26"/>
        </w:rPr>
      </w:pPr>
      <w:r w:rsidRPr="00A46F58">
        <w:rPr>
          <w:rFonts w:asciiTheme="majorHAnsi" w:hAnsiTheme="majorHAnsi" w:cstheme="majorHAnsi"/>
          <w:b/>
          <w:sz w:val="26"/>
          <w:szCs w:val="26"/>
        </w:rPr>
        <w:t>Supply Projections</w:t>
      </w:r>
    </w:p>
    <w:p w:rsidR="00C157EC" w:rsidRDefault="00C157EC" w:rsidP="00E5258D">
      <w:pPr>
        <w:pStyle w:val="BodyText"/>
      </w:pPr>
      <w:r>
        <w:t>As with demand by age, the analysis of confidence intervals of supply by age category indicates that confidence intervals are growing over time (</w:t>
      </w:r>
      <w:r w:rsidR="00F11661">
        <w:t>Table</w:t>
      </w:r>
      <w:r>
        <w:t xml:space="preserve"> C1</w:t>
      </w:r>
      <w:r w:rsidR="00F11661">
        <w:t>1</w:t>
      </w:r>
      <w:r>
        <w:t xml:space="preserve">). This growth is largest for the group 41 to 48 group where the intervals more than triples over the projected years. However, when the relative sizes of the intervals are considered we see that they are largest in the final projected year for the </w:t>
      </w:r>
      <w:r w:rsidR="00F11661">
        <w:t>u</w:t>
      </w:r>
      <w:r>
        <w:t>nder</w:t>
      </w:r>
      <w:r w:rsidR="00617CD2">
        <w:t xml:space="preserve"> 26</w:t>
      </w:r>
      <w:r>
        <w:t xml:space="preserve"> group, reaching 39 percent above and below the average point estimate. The intervals for the </w:t>
      </w:r>
      <w:r w:rsidR="00F11661">
        <w:t>o</w:t>
      </w:r>
      <w:r>
        <w:t xml:space="preserve">ver </w:t>
      </w:r>
      <w:r w:rsidR="00617CD2">
        <w:t xml:space="preserve">64 </w:t>
      </w:r>
      <w:r>
        <w:t>group also are quite large, at 25 percent above and below the point estimate in the final projected year.</w:t>
      </w:r>
    </w:p>
    <w:p w:rsidR="00C157EC" w:rsidRPr="00E5258D" w:rsidRDefault="00F11661" w:rsidP="00E5258D">
      <w:pPr>
        <w:pStyle w:val="ExhibitTitle"/>
        <w:pageBreakBefore/>
      </w:pPr>
      <w:r>
        <w:t>Table</w:t>
      </w:r>
      <w:r w:rsidR="00C157EC" w:rsidRPr="00DB105D">
        <w:t xml:space="preserve"> </w:t>
      </w:r>
      <w:r w:rsidR="00C157EC">
        <w:t>C1</w:t>
      </w:r>
      <w:r>
        <w:t>1</w:t>
      </w:r>
      <w:r w:rsidR="00C157EC" w:rsidRPr="00DB105D">
        <w:t>. 95</w:t>
      </w:r>
      <w:r w:rsidR="00C157EC">
        <w:t xml:space="preserve"> Percent</w:t>
      </w:r>
      <w:r w:rsidR="00C157EC" w:rsidRPr="00DB105D">
        <w:t xml:space="preserve"> Confidence Intervals for Projected </w:t>
      </w:r>
      <w:r w:rsidR="00C157EC">
        <w:t>Supply</w:t>
      </w:r>
      <w:r w:rsidR="00C157EC" w:rsidRPr="00DB105D">
        <w:t xml:space="preserve"> </w:t>
      </w:r>
      <w:r w:rsidR="00D41F40">
        <w:t>of Teachers by Age, 2014–15 and 2023–24</w:t>
      </w:r>
    </w:p>
    <w:tbl>
      <w:tblPr>
        <w:tblStyle w:val="AIRBlueTable"/>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tblPr>
      <w:tblGrid>
        <w:gridCol w:w="1947"/>
        <w:gridCol w:w="1351"/>
        <w:gridCol w:w="1799"/>
        <w:gridCol w:w="1799"/>
        <w:gridCol w:w="1529"/>
        <w:gridCol w:w="1226"/>
      </w:tblGrid>
      <w:tr w:rsidR="008756AD" w:rsidRPr="00AB5834" w:rsidTr="003C50C4">
        <w:trPr>
          <w:cnfStyle w:val="100000000000"/>
        </w:trPr>
        <w:tc>
          <w:tcPr>
            <w:tcW w:w="1009" w:type="pct"/>
            <w:tcBorders>
              <w:bottom w:val="single" w:sz="4" w:space="0" w:color="auto"/>
            </w:tcBorders>
          </w:tcPr>
          <w:p w:rsidR="00C157EC" w:rsidRPr="00807FB9" w:rsidRDefault="00CA771C" w:rsidP="003C50C4">
            <w:pPr>
              <w:pStyle w:val="TableText"/>
              <w:jc w:val="center"/>
            </w:pPr>
            <w:r w:rsidRPr="00CA771C">
              <w:t>Age Group/Year</w:t>
            </w:r>
          </w:p>
        </w:tc>
        <w:tc>
          <w:tcPr>
            <w:tcW w:w="700" w:type="pct"/>
            <w:tcBorders>
              <w:bottom w:val="single" w:sz="4" w:space="0" w:color="auto"/>
            </w:tcBorders>
            <w:hideMark/>
          </w:tcPr>
          <w:p w:rsidR="00C157EC" w:rsidRPr="00807FB9" w:rsidRDefault="00C157EC" w:rsidP="00A46F58">
            <w:pPr>
              <w:pStyle w:val="TableText"/>
              <w:jc w:val="center"/>
            </w:pPr>
            <w:r w:rsidRPr="004056FD">
              <w:t>Average Point Estimate</w:t>
            </w:r>
          </w:p>
        </w:tc>
        <w:tc>
          <w:tcPr>
            <w:tcW w:w="932" w:type="pct"/>
            <w:tcBorders>
              <w:bottom w:val="single" w:sz="4" w:space="0" w:color="auto"/>
            </w:tcBorders>
            <w:hideMark/>
          </w:tcPr>
          <w:p w:rsidR="00C157EC" w:rsidRPr="00807FB9" w:rsidRDefault="00C157EC" w:rsidP="00A46F58">
            <w:pPr>
              <w:pStyle w:val="TableText"/>
              <w:jc w:val="center"/>
            </w:pPr>
            <w:r w:rsidRPr="004056FD">
              <w:t>95% Confidence Interval</w:t>
            </w:r>
            <w:r w:rsidR="006D2330" w:rsidRPr="00235005">
              <w:t>–</w:t>
            </w:r>
            <w:r w:rsidRPr="004056FD">
              <w:t>Lower Bound</w:t>
            </w:r>
          </w:p>
        </w:tc>
        <w:tc>
          <w:tcPr>
            <w:tcW w:w="932" w:type="pct"/>
            <w:tcBorders>
              <w:bottom w:val="single" w:sz="4" w:space="0" w:color="auto"/>
            </w:tcBorders>
            <w:hideMark/>
          </w:tcPr>
          <w:p w:rsidR="00C157EC" w:rsidRPr="00807FB9" w:rsidRDefault="00C157EC" w:rsidP="00A46F58">
            <w:pPr>
              <w:pStyle w:val="TableText"/>
              <w:jc w:val="center"/>
            </w:pPr>
            <w:r w:rsidRPr="004056FD">
              <w:t>95% Confidence Interval</w:t>
            </w:r>
            <w:r w:rsidR="006D2330" w:rsidRPr="00235005">
              <w:t>–</w:t>
            </w:r>
            <w:r w:rsidRPr="004056FD">
              <w:t>Upper Bound</w:t>
            </w:r>
          </w:p>
        </w:tc>
        <w:tc>
          <w:tcPr>
            <w:tcW w:w="792" w:type="pct"/>
            <w:tcBorders>
              <w:bottom w:val="single" w:sz="4" w:space="0" w:color="auto"/>
            </w:tcBorders>
            <w:hideMark/>
          </w:tcPr>
          <w:p w:rsidR="00C157EC" w:rsidRPr="00807FB9" w:rsidRDefault="00C157EC" w:rsidP="00A46F58">
            <w:pPr>
              <w:pStyle w:val="TableText"/>
              <w:jc w:val="center"/>
            </w:pPr>
            <w:r w:rsidRPr="004056FD">
              <w:t>Percent Above/Below Estimate</w:t>
            </w:r>
          </w:p>
        </w:tc>
        <w:tc>
          <w:tcPr>
            <w:tcW w:w="635" w:type="pct"/>
            <w:tcBorders>
              <w:bottom w:val="single" w:sz="4" w:space="0" w:color="auto"/>
            </w:tcBorders>
          </w:tcPr>
          <w:p w:rsidR="00C157EC" w:rsidRPr="00807FB9" w:rsidRDefault="00C157EC" w:rsidP="00A46F58">
            <w:pPr>
              <w:pStyle w:val="TableText"/>
              <w:jc w:val="center"/>
            </w:pPr>
            <w:r w:rsidRPr="004056FD">
              <w:t>Growth of Interval Over Time</w:t>
            </w:r>
          </w:p>
        </w:tc>
      </w:tr>
      <w:tr w:rsidR="008756AD" w:rsidRPr="00AB5834" w:rsidTr="003C50C4">
        <w:tc>
          <w:tcPr>
            <w:tcW w:w="1009" w:type="pct"/>
            <w:tcBorders>
              <w:bottom w:val="single" w:sz="4" w:space="0" w:color="auto"/>
            </w:tcBorders>
            <w:shd w:val="clear" w:color="auto" w:fill="D9E3ED" w:themeFill="accent1" w:themeFillTint="33"/>
            <w:hideMark/>
          </w:tcPr>
          <w:p w:rsidR="00C157EC" w:rsidRPr="00807FB9" w:rsidRDefault="00C157EC" w:rsidP="003C50C4">
            <w:pPr>
              <w:pStyle w:val="TableText"/>
              <w:jc w:val="center"/>
            </w:pPr>
            <w:r>
              <w:t>Under</w:t>
            </w:r>
            <w:r w:rsidR="00617CD2">
              <w:t xml:space="preserve"> 26</w:t>
            </w:r>
          </w:p>
        </w:tc>
        <w:tc>
          <w:tcPr>
            <w:tcW w:w="700" w:type="pct"/>
            <w:tcBorders>
              <w:bottom w:val="single" w:sz="4" w:space="0" w:color="auto"/>
            </w:tcBorders>
            <w:shd w:val="clear" w:color="auto" w:fill="D9E3ED" w:themeFill="accent1" w:themeFillTint="33"/>
            <w:noWrap/>
            <w:hideMark/>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hideMark/>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hideMark/>
          </w:tcPr>
          <w:p w:rsidR="00C157EC" w:rsidRPr="00807FB9" w:rsidRDefault="00C157EC" w:rsidP="00DE4191">
            <w:pPr>
              <w:pStyle w:val="TableTextCentered"/>
            </w:pPr>
          </w:p>
        </w:tc>
        <w:tc>
          <w:tcPr>
            <w:tcW w:w="792" w:type="pct"/>
            <w:tcBorders>
              <w:bottom w:val="single" w:sz="4" w:space="0" w:color="auto"/>
            </w:tcBorders>
            <w:shd w:val="clear" w:color="auto" w:fill="D9E3ED" w:themeFill="accent1" w:themeFillTint="33"/>
            <w:noWrap/>
            <w:hideMark/>
          </w:tcPr>
          <w:p w:rsidR="00C157EC" w:rsidRPr="00807FB9" w:rsidRDefault="00C157EC" w:rsidP="00DE4191">
            <w:pPr>
              <w:pStyle w:val="TableTextCentered"/>
            </w:pPr>
          </w:p>
        </w:tc>
        <w:tc>
          <w:tcPr>
            <w:tcW w:w="635" w:type="pct"/>
            <w:tcBorders>
              <w:bottom w:val="single" w:sz="4" w:space="0" w:color="auto"/>
            </w:tcBorders>
            <w:shd w:val="clear" w:color="auto" w:fill="D9E3ED" w:themeFill="accent1" w:themeFillTint="33"/>
          </w:tcPr>
          <w:p w:rsidR="00C157EC" w:rsidRPr="00807FB9" w:rsidRDefault="00C157EC" w:rsidP="00DE4191">
            <w:pPr>
              <w:pStyle w:val="TableTextCentered"/>
            </w:pPr>
          </w:p>
        </w:tc>
      </w:tr>
      <w:tr w:rsidR="008756AD" w:rsidRPr="00AB5834" w:rsidTr="003C50C4">
        <w:tc>
          <w:tcPr>
            <w:tcW w:w="1009" w:type="pct"/>
            <w:tcBorders>
              <w:bottom w:val="single" w:sz="4" w:space="0" w:color="auto"/>
            </w:tcBorders>
            <w:hideMark/>
          </w:tcPr>
          <w:p w:rsidR="00C157EC" w:rsidRPr="00807FB9" w:rsidRDefault="00C157EC" w:rsidP="003C50C4">
            <w:pPr>
              <w:pStyle w:val="TableText"/>
              <w:jc w:val="center"/>
            </w:pPr>
            <w:r>
              <w:t>2014–</w:t>
            </w:r>
            <w:r w:rsidRPr="00807FB9">
              <w:t>15</w:t>
            </w:r>
          </w:p>
        </w:tc>
        <w:tc>
          <w:tcPr>
            <w:tcW w:w="700" w:type="pct"/>
            <w:tcBorders>
              <w:bottom w:val="single" w:sz="4" w:space="0" w:color="auto"/>
            </w:tcBorders>
            <w:noWrap/>
            <w:hideMark/>
          </w:tcPr>
          <w:p w:rsidR="00C157EC" w:rsidRPr="00807FB9" w:rsidRDefault="00C157EC" w:rsidP="00DE4191">
            <w:pPr>
              <w:pStyle w:val="TableTextCentered"/>
            </w:pPr>
            <w:r w:rsidRPr="00807FB9">
              <w:t>8.4</w:t>
            </w:r>
          </w:p>
        </w:tc>
        <w:tc>
          <w:tcPr>
            <w:tcW w:w="932" w:type="pct"/>
            <w:tcBorders>
              <w:bottom w:val="single" w:sz="4" w:space="0" w:color="auto"/>
            </w:tcBorders>
            <w:noWrap/>
            <w:hideMark/>
          </w:tcPr>
          <w:p w:rsidR="00C157EC" w:rsidRPr="00807FB9" w:rsidRDefault="00C157EC" w:rsidP="00DE4191">
            <w:pPr>
              <w:pStyle w:val="TableTextCentered"/>
            </w:pPr>
            <w:r w:rsidRPr="00807FB9">
              <w:t>7.6</w:t>
            </w:r>
          </w:p>
        </w:tc>
        <w:tc>
          <w:tcPr>
            <w:tcW w:w="932" w:type="pct"/>
            <w:tcBorders>
              <w:bottom w:val="single" w:sz="4" w:space="0" w:color="auto"/>
            </w:tcBorders>
            <w:noWrap/>
            <w:hideMark/>
          </w:tcPr>
          <w:p w:rsidR="00C157EC" w:rsidRPr="00807FB9" w:rsidRDefault="00C157EC" w:rsidP="00DE4191">
            <w:pPr>
              <w:pStyle w:val="TableTextCentered"/>
            </w:pPr>
            <w:r w:rsidRPr="00807FB9">
              <w:t>9.1</w:t>
            </w:r>
          </w:p>
        </w:tc>
        <w:tc>
          <w:tcPr>
            <w:tcW w:w="792" w:type="pct"/>
            <w:tcBorders>
              <w:bottom w:val="single" w:sz="4" w:space="0" w:color="auto"/>
            </w:tcBorders>
            <w:noWrap/>
            <w:hideMark/>
          </w:tcPr>
          <w:p w:rsidR="00C157EC" w:rsidRPr="00807FB9" w:rsidRDefault="00C157EC" w:rsidP="00DE4191">
            <w:pPr>
              <w:pStyle w:val="TableTextCentered"/>
            </w:pPr>
            <w:r>
              <w:t xml:space="preserve">+/- </w:t>
            </w:r>
            <w:r w:rsidRPr="00807FB9">
              <w:t>9%</w:t>
            </w:r>
          </w:p>
        </w:tc>
        <w:tc>
          <w:tcPr>
            <w:tcW w:w="635" w:type="pct"/>
            <w:tcBorders>
              <w:bottom w:val="single" w:sz="4" w:space="0" w:color="auto"/>
            </w:tcBorders>
          </w:tcPr>
          <w:p w:rsidR="00C157EC" w:rsidRPr="00807FB9" w:rsidRDefault="00C157EC" w:rsidP="00DE4191">
            <w:pPr>
              <w:pStyle w:val="TableTextCentered"/>
            </w:pPr>
            <w:r w:rsidRPr="00807FB9">
              <w:t>2.4</w:t>
            </w:r>
          </w:p>
        </w:tc>
      </w:tr>
      <w:tr w:rsidR="008756AD" w:rsidRPr="00AB5834" w:rsidTr="003C50C4">
        <w:tc>
          <w:tcPr>
            <w:tcW w:w="1009" w:type="pct"/>
            <w:tcBorders>
              <w:bottom w:val="single" w:sz="4" w:space="0" w:color="auto"/>
            </w:tcBorders>
            <w:hideMark/>
          </w:tcPr>
          <w:p w:rsidR="00C157EC" w:rsidRPr="00807FB9" w:rsidRDefault="00C157EC" w:rsidP="003C50C4">
            <w:pPr>
              <w:pStyle w:val="TableText"/>
              <w:jc w:val="center"/>
            </w:pPr>
            <w:r>
              <w:t>2023–</w:t>
            </w:r>
            <w:r w:rsidRPr="00807FB9">
              <w:t>24</w:t>
            </w:r>
          </w:p>
        </w:tc>
        <w:tc>
          <w:tcPr>
            <w:tcW w:w="700" w:type="pct"/>
            <w:tcBorders>
              <w:bottom w:val="single" w:sz="4" w:space="0" w:color="auto"/>
            </w:tcBorders>
            <w:noWrap/>
            <w:hideMark/>
          </w:tcPr>
          <w:p w:rsidR="00C157EC" w:rsidRPr="00807FB9" w:rsidRDefault="00C157EC" w:rsidP="00DE4191">
            <w:pPr>
              <w:pStyle w:val="TableTextCentered"/>
            </w:pPr>
            <w:r w:rsidRPr="00807FB9">
              <w:t>6.2</w:t>
            </w:r>
          </w:p>
        </w:tc>
        <w:tc>
          <w:tcPr>
            <w:tcW w:w="932" w:type="pct"/>
            <w:tcBorders>
              <w:bottom w:val="single" w:sz="4" w:space="0" w:color="auto"/>
            </w:tcBorders>
            <w:noWrap/>
            <w:hideMark/>
          </w:tcPr>
          <w:p w:rsidR="00C157EC" w:rsidRPr="00807FB9" w:rsidRDefault="00C157EC" w:rsidP="00DE4191">
            <w:pPr>
              <w:pStyle w:val="TableTextCentered"/>
            </w:pPr>
            <w:r w:rsidRPr="00807FB9">
              <w:t>3.8</w:t>
            </w:r>
          </w:p>
        </w:tc>
        <w:tc>
          <w:tcPr>
            <w:tcW w:w="932" w:type="pct"/>
            <w:tcBorders>
              <w:bottom w:val="single" w:sz="4" w:space="0" w:color="auto"/>
            </w:tcBorders>
            <w:noWrap/>
            <w:hideMark/>
          </w:tcPr>
          <w:p w:rsidR="00C157EC" w:rsidRPr="00807FB9" w:rsidRDefault="00C157EC" w:rsidP="00DE4191">
            <w:pPr>
              <w:pStyle w:val="TableTextCentered"/>
            </w:pPr>
            <w:r w:rsidRPr="00807FB9">
              <w:t>8.7</w:t>
            </w:r>
          </w:p>
        </w:tc>
        <w:tc>
          <w:tcPr>
            <w:tcW w:w="792" w:type="pct"/>
            <w:tcBorders>
              <w:bottom w:val="single" w:sz="4" w:space="0" w:color="auto"/>
            </w:tcBorders>
            <w:noWrap/>
            <w:hideMark/>
          </w:tcPr>
          <w:p w:rsidR="00C157EC" w:rsidRPr="00807FB9" w:rsidRDefault="00C157EC" w:rsidP="00DE4191">
            <w:pPr>
              <w:pStyle w:val="TableTextCentered"/>
            </w:pPr>
            <w:r>
              <w:t xml:space="preserve">+/- </w:t>
            </w:r>
            <w:r w:rsidRPr="00807FB9">
              <w:t>39%</w:t>
            </w:r>
          </w:p>
        </w:tc>
        <w:tc>
          <w:tcPr>
            <w:tcW w:w="635" w:type="pct"/>
            <w:tcBorders>
              <w:bottom w:val="single" w:sz="4" w:space="0" w:color="auto"/>
            </w:tcBorders>
          </w:tcPr>
          <w:p w:rsidR="00C157EC" w:rsidRPr="00807FB9" w:rsidRDefault="00C157EC" w:rsidP="00DE4191">
            <w:pPr>
              <w:pStyle w:val="TableTextCentered"/>
            </w:pPr>
          </w:p>
        </w:tc>
      </w:tr>
      <w:tr w:rsidR="008756AD" w:rsidRPr="00AB5834" w:rsidTr="003C50C4">
        <w:tc>
          <w:tcPr>
            <w:tcW w:w="1009" w:type="pct"/>
            <w:tcBorders>
              <w:bottom w:val="single" w:sz="4" w:space="0" w:color="auto"/>
            </w:tcBorders>
            <w:shd w:val="clear" w:color="auto" w:fill="D9E3ED" w:themeFill="accent1" w:themeFillTint="33"/>
            <w:noWrap/>
            <w:hideMark/>
          </w:tcPr>
          <w:p w:rsidR="00C157EC" w:rsidRPr="00807FB9" w:rsidRDefault="00C157EC" w:rsidP="003C50C4">
            <w:pPr>
              <w:pStyle w:val="TableText"/>
              <w:jc w:val="center"/>
            </w:pPr>
            <w:r>
              <w:t xml:space="preserve">Age </w:t>
            </w:r>
            <w:r w:rsidRPr="00807FB9">
              <w:t>26-32</w:t>
            </w:r>
          </w:p>
        </w:tc>
        <w:tc>
          <w:tcPr>
            <w:tcW w:w="700" w:type="pct"/>
            <w:tcBorders>
              <w:bottom w:val="single" w:sz="4" w:space="0" w:color="auto"/>
            </w:tcBorders>
            <w:shd w:val="clear" w:color="auto" w:fill="D9E3ED" w:themeFill="accent1" w:themeFillTint="33"/>
            <w:noWrap/>
            <w:hideMark/>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hideMark/>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hideMark/>
          </w:tcPr>
          <w:p w:rsidR="00C157EC" w:rsidRPr="00807FB9" w:rsidRDefault="00C157EC" w:rsidP="00DE4191">
            <w:pPr>
              <w:pStyle w:val="TableTextCentered"/>
            </w:pPr>
          </w:p>
        </w:tc>
        <w:tc>
          <w:tcPr>
            <w:tcW w:w="792" w:type="pct"/>
            <w:tcBorders>
              <w:bottom w:val="single" w:sz="4" w:space="0" w:color="auto"/>
            </w:tcBorders>
            <w:shd w:val="clear" w:color="auto" w:fill="D9E3ED" w:themeFill="accent1" w:themeFillTint="33"/>
            <w:noWrap/>
            <w:hideMark/>
          </w:tcPr>
          <w:p w:rsidR="00C157EC" w:rsidRPr="00807FB9" w:rsidRDefault="00C157EC" w:rsidP="00DE4191">
            <w:pPr>
              <w:pStyle w:val="TableTextCentered"/>
            </w:pPr>
          </w:p>
        </w:tc>
        <w:tc>
          <w:tcPr>
            <w:tcW w:w="635" w:type="pct"/>
            <w:tcBorders>
              <w:bottom w:val="single" w:sz="4" w:space="0" w:color="auto"/>
            </w:tcBorders>
            <w:shd w:val="clear" w:color="auto" w:fill="D9E3ED" w:themeFill="accent1" w:themeFillTint="33"/>
          </w:tcPr>
          <w:p w:rsidR="00C157EC" w:rsidRPr="00807FB9" w:rsidRDefault="00C157EC" w:rsidP="00DE4191">
            <w:pPr>
              <w:pStyle w:val="TableTextCentered"/>
            </w:pPr>
          </w:p>
        </w:tc>
      </w:tr>
      <w:tr w:rsidR="008756AD" w:rsidRPr="00AB5834" w:rsidTr="003C50C4">
        <w:tc>
          <w:tcPr>
            <w:tcW w:w="1009" w:type="pct"/>
            <w:tcBorders>
              <w:bottom w:val="single" w:sz="4" w:space="0" w:color="auto"/>
            </w:tcBorders>
            <w:hideMark/>
          </w:tcPr>
          <w:p w:rsidR="00C157EC" w:rsidRPr="00807FB9" w:rsidRDefault="00C157EC" w:rsidP="003C50C4">
            <w:pPr>
              <w:pStyle w:val="TableText"/>
              <w:jc w:val="center"/>
            </w:pPr>
            <w:r>
              <w:t>2014–</w:t>
            </w:r>
            <w:r w:rsidRPr="00807FB9">
              <w:t>15</w:t>
            </w:r>
          </w:p>
        </w:tc>
        <w:tc>
          <w:tcPr>
            <w:tcW w:w="700" w:type="pct"/>
            <w:tcBorders>
              <w:bottom w:val="single" w:sz="4" w:space="0" w:color="auto"/>
            </w:tcBorders>
            <w:noWrap/>
            <w:hideMark/>
          </w:tcPr>
          <w:p w:rsidR="00C157EC" w:rsidRPr="00807FB9" w:rsidRDefault="00C157EC" w:rsidP="00DE4191">
            <w:pPr>
              <w:pStyle w:val="TableTextCentered"/>
            </w:pPr>
            <w:r w:rsidRPr="00807FB9">
              <w:t>38.5</w:t>
            </w:r>
          </w:p>
        </w:tc>
        <w:tc>
          <w:tcPr>
            <w:tcW w:w="932" w:type="pct"/>
            <w:tcBorders>
              <w:bottom w:val="single" w:sz="4" w:space="0" w:color="auto"/>
            </w:tcBorders>
            <w:noWrap/>
            <w:hideMark/>
          </w:tcPr>
          <w:p w:rsidR="00C157EC" w:rsidRPr="00807FB9" w:rsidRDefault="00C157EC" w:rsidP="00DE4191">
            <w:pPr>
              <w:pStyle w:val="TableTextCentered"/>
            </w:pPr>
            <w:r w:rsidRPr="00807FB9">
              <w:t>37.2</w:t>
            </w:r>
          </w:p>
        </w:tc>
        <w:tc>
          <w:tcPr>
            <w:tcW w:w="932" w:type="pct"/>
            <w:tcBorders>
              <w:bottom w:val="single" w:sz="4" w:space="0" w:color="auto"/>
            </w:tcBorders>
            <w:noWrap/>
            <w:hideMark/>
          </w:tcPr>
          <w:p w:rsidR="00C157EC" w:rsidRPr="00807FB9" w:rsidRDefault="00C157EC" w:rsidP="00DE4191">
            <w:pPr>
              <w:pStyle w:val="TableTextCentered"/>
            </w:pPr>
            <w:r w:rsidRPr="00807FB9">
              <w:t>39.8</w:t>
            </w:r>
          </w:p>
        </w:tc>
        <w:tc>
          <w:tcPr>
            <w:tcW w:w="792" w:type="pct"/>
            <w:tcBorders>
              <w:bottom w:val="single" w:sz="4" w:space="0" w:color="auto"/>
            </w:tcBorders>
            <w:noWrap/>
            <w:hideMark/>
          </w:tcPr>
          <w:p w:rsidR="00C157EC" w:rsidRPr="00807FB9" w:rsidRDefault="00C157EC" w:rsidP="00DE4191">
            <w:pPr>
              <w:pStyle w:val="TableTextCentered"/>
            </w:pPr>
            <w:r>
              <w:t xml:space="preserve">+/- </w:t>
            </w:r>
            <w:r w:rsidRPr="00807FB9">
              <w:t>3%</w:t>
            </w:r>
          </w:p>
        </w:tc>
        <w:tc>
          <w:tcPr>
            <w:tcW w:w="635" w:type="pct"/>
            <w:tcBorders>
              <w:bottom w:val="single" w:sz="4" w:space="0" w:color="auto"/>
            </w:tcBorders>
          </w:tcPr>
          <w:p w:rsidR="00C157EC" w:rsidRPr="00807FB9" w:rsidRDefault="00C157EC" w:rsidP="00DE4191">
            <w:pPr>
              <w:pStyle w:val="TableTextCentered"/>
            </w:pPr>
            <w:r w:rsidRPr="00807FB9">
              <w:t>2.2</w:t>
            </w:r>
          </w:p>
        </w:tc>
      </w:tr>
      <w:tr w:rsidR="008756AD" w:rsidRPr="00AB5834" w:rsidTr="003C50C4">
        <w:tc>
          <w:tcPr>
            <w:tcW w:w="1009" w:type="pct"/>
            <w:tcBorders>
              <w:bottom w:val="single" w:sz="4" w:space="0" w:color="auto"/>
            </w:tcBorders>
            <w:hideMark/>
          </w:tcPr>
          <w:p w:rsidR="00C157EC" w:rsidRPr="00807FB9" w:rsidRDefault="00C157EC" w:rsidP="003C50C4">
            <w:pPr>
              <w:pStyle w:val="TableText"/>
              <w:jc w:val="center"/>
            </w:pPr>
            <w:r>
              <w:t>2023–</w:t>
            </w:r>
            <w:r w:rsidRPr="00807FB9">
              <w:t>24</w:t>
            </w:r>
          </w:p>
        </w:tc>
        <w:tc>
          <w:tcPr>
            <w:tcW w:w="700" w:type="pct"/>
            <w:tcBorders>
              <w:bottom w:val="single" w:sz="4" w:space="0" w:color="auto"/>
            </w:tcBorders>
            <w:noWrap/>
            <w:hideMark/>
          </w:tcPr>
          <w:p w:rsidR="00C157EC" w:rsidRPr="00807FB9" w:rsidRDefault="00C157EC" w:rsidP="00DE4191">
            <w:pPr>
              <w:pStyle w:val="TableTextCentered"/>
            </w:pPr>
            <w:r w:rsidRPr="00807FB9">
              <w:t>36.5</w:t>
            </w:r>
          </w:p>
        </w:tc>
        <w:tc>
          <w:tcPr>
            <w:tcW w:w="932" w:type="pct"/>
            <w:tcBorders>
              <w:bottom w:val="single" w:sz="4" w:space="0" w:color="auto"/>
            </w:tcBorders>
            <w:noWrap/>
            <w:hideMark/>
          </w:tcPr>
          <w:p w:rsidR="00C157EC" w:rsidRPr="00807FB9" w:rsidRDefault="00C157EC" w:rsidP="00DE4191">
            <w:pPr>
              <w:pStyle w:val="TableTextCentered"/>
            </w:pPr>
            <w:r w:rsidRPr="00807FB9">
              <w:t>32.3</w:t>
            </w:r>
          </w:p>
        </w:tc>
        <w:tc>
          <w:tcPr>
            <w:tcW w:w="932" w:type="pct"/>
            <w:tcBorders>
              <w:bottom w:val="single" w:sz="4" w:space="0" w:color="auto"/>
            </w:tcBorders>
            <w:noWrap/>
            <w:hideMark/>
          </w:tcPr>
          <w:p w:rsidR="00C157EC" w:rsidRPr="00807FB9" w:rsidRDefault="00C157EC" w:rsidP="00DE4191">
            <w:pPr>
              <w:pStyle w:val="TableTextCentered"/>
            </w:pPr>
            <w:r w:rsidRPr="00807FB9">
              <w:t>40.6</w:t>
            </w:r>
          </w:p>
        </w:tc>
        <w:tc>
          <w:tcPr>
            <w:tcW w:w="792" w:type="pct"/>
            <w:tcBorders>
              <w:bottom w:val="single" w:sz="4" w:space="0" w:color="auto"/>
            </w:tcBorders>
            <w:noWrap/>
            <w:hideMark/>
          </w:tcPr>
          <w:p w:rsidR="00C157EC" w:rsidRPr="00807FB9" w:rsidRDefault="00C157EC" w:rsidP="00DE4191">
            <w:pPr>
              <w:pStyle w:val="TableTextCentered"/>
            </w:pPr>
            <w:r>
              <w:t xml:space="preserve">+/- </w:t>
            </w:r>
            <w:r w:rsidRPr="00807FB9">
              <w:t>11%</w:t>
            </w:r>
          </w:p>
        </w:tc>
        <w:tc>
          <w:tcPr>
            <w:tcW w:w="635" w:type="pct"/>
            <w:tcBorders>
              <w:bottom w:val="single" w:sz="4" w:space="0" w:color="auto"/>
            </w:tcBorders>
          </w:tcPr>
          <w:p w:rsidR="00C157EC" w:rsidRPr="00807FB9" w:rsidRDefault="00C157EC" w:rsidP="00DE4191">
            <w:pPr>
              <w:pStyle w:val="TableTextCentered"/>
            </w:pPr>
          </w:p>
        </w:tc>
      </w:tr>
      <w:tr w:rsidR="008756AD" w:rsidRPr="00AB5834" w:rsidTr="003C50C4">
        <w:tc>
          <w:tcPr>
            <w:tcW w:w="1009" w:type="pct"/>
            <w:tcBorders>
              <w:bottom w:val="single" w:sz="4" w:space="0" w:color="auto"/>
            </w:tcBorders>
            <w:shd w:val="clear" w:color="auto" w:fill="D9E3ED" w:themeFill="accent1" w:themeFillTint="33"/>
          </w:tcPr>
          <w:p w:rsidR="00C157EC" w:rsidRPr="00807FB9" w:rsidRDefault="00C157EC" w:rsidP="003C50C4">
            <w:pPr>
              <w:pStyle w:val="TableText"/>
              <w:jc w:val="center"/>
            </w:pPr>
            <w:r>
              <w:t xml:space="preserve">Age </w:t>
            </w:r>
            <w:r w:rsidRPr="00807FB9">
              <w:t>33</w:t>
            </w:r>
            <w:r>
              <w:t>–</w:t>
            </w:r>
            <w:r w:rsidRPr="00807FB9">
              <w:t>40</w:t>
            </w:r>
          </w:p>
        </w:tc>
        <w:tc>
          <w:tcPr>
            <w:tcW w:w="700"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79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635" w:type="pct"/>
            <w:tcBorders>
              <w:bottom w:val="single" w:sz="4" w:space="0" w:color="auto"/>
            </w:tcBorders>
            <w:shd w:val="clear" w:color="auto" w:fill="D9E3ED" w:themeFill="accent1" w:themeFillTint="33"/>
          </w:tcPr>
          <w:p w:rsidR="00C157EC" w:rsidRPr="00807FB9" w:rsidRDefault="00C157EC" w:rsidP="00DE4191">
            <w:pPr>
              <w:pStyle w:val="TableTextCentered"/>
            </w:pPr>
          </w:p>
        </w:tc>
      </w:tr>
      <w:tr w:rsidR="008756AD" w:rsidRPr="00AB5834" w:rsidTr="003C50C4">
        <w:tc>
          <w:tcPr>
            <w:tcW w:w="1009" w:type="pct"/>
            <w:tcBorders>
              <w:bottom w:val="single" w:sz="4" w:space="0" w:color="auto"/>
            </w:tcBorders>
          </w:tcPr>
          <w:p w:rsidR="00C157EC" w:rsidRPr="00807FB9" w:rsidRDefault="00C157EC" w:rsidP="003C50C4">
            <w:pPr>
              <w:pStyle w:val="TableText"/>
              <w:jc w:val="center"/>
            </w:pPr>
            <w:r>
              <w:t>2014–</w:t>
            </w:r>
            <w:r w:rsidRPr="00807FB9">
              <w:t>15</w:t>
            </w:r>
          </w:p>
        </w:tc>
        <w:tc>
          <w:tcPr>
            <w:tcW w:w="700" w:type="pct"/>
            <w:tcBorders>
              <w:bottom w:val="single" w:sz="4" w:space="0" w:color="auto"/>
            </w:tcBorders>
            <w:noWrap/>
          </w:tcPr>
          <w:p w:rsidR="00C157EC" w:rsidRPr="00807FB9" w:rsidRDefault="00C157EC" w:rsidP="00DE4191">
            <w:pPr>
              <w:pStyle w:val="TableTextCentered"/>
            </w:pPr>
            <w:r w:rsidRPr="00807FB9">
              <w:t>44.4</w:t>
            </w:r>
          </w:p>
        </w:tc>
        <w:tc>
          <w:tcPr>
            <w:tcW w:w="932" w:type="pct"/>
            <w:tcBorders>
              <w:bottom w:val="single" w:sz="4" w:space="0" w:color="auto"/>
            </w:tcBorders>
            <w:noWrap/>
          </w:tcPr>
          <w:p w:rsidR="00C157EC" w:rsidRPr="00807FB9" w:rsidRDefault="00C157EC" w:rsidP="00DE4191">
            <w:pPr>
              <w:pStyle w:val="TableTextCentered"/>
            </w:pPr>
            <w:r w:rsidRPr="00807FB9">
              <w:t>43.2</w:t>
            </w:r>
          </w:p>
        </w:tc>
        <w:tc>
          <w:tcPr>
            <w:tcW w:w="932" w:type="pct"/>
            <w:tcBorders>
              <w:bottom w:val="single" w:sz="4" w:space="0" w:color="auto"/>
            </w:tcBorders>
            <w:noWrap/>
          </w:tcPr>
          <w:p w:rsidR="00C157EC" w:rsidRPr="00807FB9" w:rsidRDefault="00C157EC" w:rsidP="00DE4191">
            <w:pPr>
              <w:pStyle w:val="TableTextCentered"/>
            </w:pPr>
            <w:r w:rsidRPr="00807FB9">
              <w:t>45.6</w:t>
            </w:r>
          </w:p>
        </w:tc>
        <w:tc>
          <w:tcPr>
            <w:tcW w:w="792" w:type="pct"/>
            <w:tcBorders>
              <w:bottom w:val="single" w:sz="4" w:space="0" w:color="auto"/>
            </w:tcBorders>
            <w:noWrap/>
          </w:tcPr>
          <w:p w:rsidR="00C157EC" w:rsidRPr="00807FB9" w:rsidRDefault="00C157EC" w:rsidP="00DE4191">
            <w:pPr>
              <w:pStyle w:val="TableTextCentered"/>
            </w:pPr>
            <w:r>
              <w:t xml:space="preserve">+/- </w:t>
            </w:r>
            <w:r w:rsidRPr="00807FB9">
              <w:t>3%</w:t>
            </w:r>
          </w:p>
        </w:tc>
        <w:tc>
          <w:tcPr>
            <w:tcW w:w="635" w:type="pct"/>
            <w:tcBorders>
              <w:bottom w:val="single" w:sz="4" w:space="0" w:color="auto"/>
            </w:tcBorders>
          </w:tcPr>
          <w:p w:rsidR="00C157EC" w:rsidRPr="00807FB9" w:rsidRDefault="00C157EC" w:rsidP="00DE4191">
            <w:pPr>
              <w:pStyle w:val="TableTextCentered"/>
            </w:pPr>
            <w:r w:rsidRPr="00807FB9">
              <w:t>2.7</w:t>
            </w:r>
          </w:p>
        </w:tc>
      </w:tr>
      <w:tr w:rsidR="008756AD" w:rsidRPr="00AB5834" w:rsidTr="003C50C4">
        <w:tc>
          <w:tcPr>
            <w:tcW w:w="1009" w:type="pct"/>
            <w:tcBorders>
              <w:bottom w:val="single" w:sz="4" w:space="0" w:color="auto"/>
            </w:tcBorders>
          </w:tcPr>
          <w:p w:rsidR="00C157EC" w:rsidRPr="00807FB9" w:rsidRDefault="00C157EC" w:rsidP="003C50C4">
            <w:pPr>
              <w:pStyle w:val="TableText"/>
              <w:jc w:val="center"/>
            </w:pPr>
            <w:r>
              <w:t>2023–</w:t>
            </w:r>
            <w:r w:rsidRPr="00807FB9">
              <w:t>24</w:t>
            </w:r>
          </w:p>
        </w:tc>
        <w:tc>
          <w:tcPr>
            <w:tcW w:w="700" w:type="pct"/>
            <w:tcBorders>
              <w:bottom w:val="single" w:sz="4" w:space="0" w:color="auto"/>
            </w:tcBorders>
            <w:noWrap/>
          </w:tcPr>
          <w:p w:rsidR="00C157EC" w:rsidRPr="00807FB9" w:rsidRDefault="00C157EC" w:rsidP="00DE4191">
            <w:pPr>
              <w:pStyle w:val="TableTextCentered"/>
            </w:pPr>
            <w:r w:rsidRPr="00807FB9">
              <w:t>50.3</w:t>
            </w:r>
          </w:p>
        </w:tc>
        <w:tc>
          <w:tcPr>
            <w:tcW w:w="932" w:type="pct"/>
            <w:tcBorders>
              <w:bottom w:val="single" w:sz="4" w:space="0" w:color="auto"/>
            </w:tcBorders>
            <w:noWrap/>
          </w:tcPr>
          <w:p w:rsidR="00C157EC" w:rsidRPr="00807FB9" w:rsidRDefault="00C157EC" w:rsidP="00DE4191">
            <w:pPr>
              <w:pStyle w:val="TableTextCentered"/>
            </w:pPr>
            <w:r w:rsidRPr="00807FB9">
              <w:t>45.8</w:t>
            </w:r>
          </w:p>
        </w:tc>
        <w:tc>
          <w:tcPr>
            <w:tcW w:w="932" w:type="pct"/>
            <w:tcBorders>
              <w:bottom w:val="single" w:sz="4" w:space="0" w:color="auto"/>
            </w:tcBorders>
            <w:noWrap/>
          </w:tcPr>
          <w:p w:rsidR="00C157EC" w:rsidRPr="00807FB9" w:rsidRDefault="00C157EC" w:rsidP="00DE4191">
            <w:pPr>
              <w:pStyle w:val="TableTextCentered"/>
            </w:pPr>
            <w:r w:rsidRPr="00807FB9">
              <w:t>54.7</w:t>
            </w:r>
          </w:p>
        </w:tc>
        <w:tc>
          <w:tcPr>
            <w:tcW w:w="792" w:type="pct"/>
            <w:tcBorders>
              <w:bottom w:val="single" w:sz="4" w:space="0" w:color="auto"/>
            </w:tcBorders>
            <w:noWrap/>
          </w:tcPr>
          <w:p w:rsidR="00C157EC" w:rsidRPr="00807FB9" w:rsidRDefault="00C157EC" w:rsidP="00DE4191">
            <w:pPr>
              <w:pStyle w:val="TableTextCentered"/>
            </w:pPr>
            <w:r>
              <w:t xml:space="preserve">+/- </w:t>
            </w:r>
            <w:r w:rsidRPr="00807FB9">
              <w:t>9%</w:t>
            </w:r>
          </w:p>
        </w:tc>
        <w:tc>
          <w:tcPr>
            <w:tcW w:w="635" w:type="pct"/>
            <w:tcBorders>
              <w:bottom w:val="single" w:sz="4" w:space="0" w:color="auto"/>
            </w:tcBorders>
          </w:tcPr>
          <w:p w:rsidR="00C157EC" w:rsidRPr="00807FB9" w:rsidRDefault="00C157EC" w:rsidP="00DE4191">
            <w:pPr>
              <w:pStyle w:val="TableTextCentered"/>
            </w:pPr>
          </w:p>
        </w:tc>
      </w:tr>
      <w:tr w:rsidR="008756AD" w:rsidRPr="00AB5834" w:rsidTr="003C50C4">
        <w:tc>
          <w:tcPr>
            <w:tcW w:w="1009" w:type="pct"/>
            <w:tcBorders>
              <w:bottom w:val="single" w:sz="4" w:space="0" w:color="auto"/>
            </w:tcBorders>
            <w:shd w:val="clear" w:color="auto" w:fill="D9E3ED" w:themeFill="accent1" w:themeFillTint="33"/>
          </w:tcPr>
          <w:p w:rsidR="00C157EC" w:rsidRPr="00807FB9" w:rsidRDefault="00C157EC" w:rsidP="003C50C4">
            <w:pPr>
              <w:pStyle w:val="TableText"/>
              <w:jc w:val="center"/>
            </w:pPr>
            <w:r>
              <w:t xml:space="preserve">Age </w:t>
            </w:r>
            <w:r w:rsidRPr="00807FB9">
              <w:t>41</w:t>
            </w:r>
            <w:r>
              <w:t>–</w:t>
            </w:r>
            <w:r w:rsidRPr="00807FB9">
              <w:t>48</w:t>
            </w:r>
          </w:p>
        </w:tc>
        <w:tc>
          <w:tcPr>
            <w:tcW w:w="700"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79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635" w:type="pct"/>
            <w:tcBorders>
              <w:bottom w:val="single" w:sz="4" w:space="0" w:color="auto"/>
            </w:tcBorders>
            <w:shd w:val="clear" w:color="auto" w:fill="D9E3ED" w:themeFill="accent1" w:themeFillTint="33"/>
          </w:tcPr>
          <w:p w:rsidR="00C157EC" w:rsidRPr="00807FB9" w:rsidRDefault="00C157EC" w:rsidP="00DE4191">
            <w:pPr>
              <w:pStyle w:val="TableTextCentered"/>
            </w:pPr>
          </w:p>
        </w:tc>
      </w:tr>
      <w:tr w:rsidR="008756AD" w:rsidRPr="00AB5834" w:rsidTr="003C50C4">
        <w:tc>
          <w:tcPr>
            <w:tcW w:w="1009" w:type="pct"/>
            <w:tcBorders>
              <w:bottom w:val="single" w:sz="4" w:space="0" w:color="auto"/>
            </w:tcBorders>
          </w:tcPr>
          <w:p w:rsidR="00C157EC" w:rsidRPr="00807FB9" w:rsidRDefault="00C157EC" w:rsidP="003C50C4">
            <w:pPr>
              <w:pStyle w:val="TableText"/>
              <w:jc w:val="center"/>
            </w:pPr>
            <w:r>
              <w:t>2014–</w:t>
            </w:r>
            <w:r w:rsidRPr="00807FB9">
              <w:t>15</w:t>
            </w:r>
          </w:p>
        </w:tc>
        <w:tc>
          <w:tcPr>
            <w:tcW w:w="700" w:type="pct"/>
            <w:tcBorders>
              <w:bottom w:val="single" w:sz="4" w:space="0" w:color="auto"/>
            </w:tcBorders>
            <w:noWrap/>
          </w:tcPr>
          <w:p w:rsidR="00C157EC" w:rsidRPr="00807FB9" w:rsidRDefault="00C157EC" w:rsidP="00DE4191">
            <w:pPr>
              <w:pStyle w:val="TableTextCentered"/>
            </w:pPr>
            <w:r w:rsidRPr="00807FB9">
              <w:t>44.5</w:t>
            </w:r>
          </w:p>
        </w:tc>
        <w:tc>
          <w:tcPr>
            <w:tcW w:w="932" w:type="pct"/>
            <w:tcBorders>
              <w:bottom w:val="single" w:sz="4" w:space="0" w:color="auto"/>
            </w:tcBorders>
            <w:noWrap/>
          </w:tcPr>
          <w:p w:rsidR="00C157EC" w:rsidRPr="00807FB9" w:rsidRDefault="00C157EC" w:rsidP="00DE4191">
            <w:pPr>
              <w:pStyle w:val="TableTextCentered"/>
            </w:pPr>
            <w:r w:rsidRPr="00807FB9">
              <w:t>43.6</w:t>
            </w:r>
          </w:p>
        </w:tc>
        <w:tc>
          <w:tcPr>
            <w:tcW w:w="932" w:type="pct"/>
            <w:tcBorders>
              <w:bottom w:val="single" w:sz="4" w:space="0" w:color="auto"/>
            </w:tcBorders>
            <w:noWrap/>
          </w:tcPr>
          <w:p w:rsidR="00C157EC" w:rsidRPr="00807FB9" w:rsidRDefault="00C157EC" w:rsidP="00DE4191">
            <w:pPr>
              <w:pStyle w:val="TableTextCentered"/>
            </w:pPr>
            <w:r w:rsidRPr="00807FB9">
              <w:t>45.5</w:t>
            </w:r>
          </w:p>
        </w:tc>
        <w:tc>
          <w:tcPr>
            <w:tcW w:w="792" w:type="pct"/>
            <w:tcBorders>
              <w:bottom w:val="single" w:sz="4" w:space="0" w:color="auto"/>
            </w:tcBorders>
            <w:noWrap/>
          </w:tcPr>
          <w:p w:rsidR="00C157EC" w:rsidRPr="00807FB9" w:rsidRDefault="00C157EC" w:rsidP="00DE4191">
            <w:pPr>
              <w:pStyle w:val="TableTextCentered"/>
            </w:pPr>
            <w:r>
              <w:t xml:space="preserve">+/- </w:t>
            </w:r>
            <w:r w:rsidRPr="00807FB9">
              <w:t>2%</w:t>
            </w:r>
          </w:p>
        </w:tc>
        <w:tc>
          <w:tcPr>
            <w:tcW w:w="635" w:type="pct"/>
            <w:tcBorders>
              <w:bottom w:val="single" w:sz="4" w:space="0" w:color="auto"/>
            </w:tcBorders>
          </w:tcPr>
          <w:p w:rsidR="00C157EC" w:rsidRPr="00807FB9" w:rsidRDefault="00C157EC" w:rsidP="00DE4191">
            <w:pPr>
              <w:pStyle w:val="TableTextCentered"/>
            </w:pPr>
            <w:r w:rsidRPr="00807FB9">
              <w:t>3.7</w:t>
            </w:r>
          </w:p>
        </w:tc>
      </w:tr>
      <w:tr w:rsidR="008756AD" w:rsidRPr="00AB5834" w:rsidTr="003C50C4">
        <w:tc>
          <w:tcPr>
            <w:tcW w:w="1009" w:type="pct"/>
            <w:tcBorders>
              <w:bottom w:val="single" w:sz="4" w:space="0" w:color="auto"/>
            </w:tcBorders>
          </w:tcPr>
          <w:p w:rsidR="00C157EC" w:rsidRPr="00807FB9" w:rsidRDefault="00C157EC" w:rsidP="003C50C4">
            <w:pPr>
              <w:pStyle w:val="TableText"/>
              <w:jc w:val="center"/>
            </w:pPr>
            <w:r>
              <w:t>2023–</w:t>
            </w:r>
            <w:r w:rsidRPr="00807FB9">
              <w:t>24</w:t>
            </w:r>
          </w:p>
        </w:tc>
        <w:tc>
          <w:tcPr>
            <w:tcW w:w="700" w:type="pct"/>
            <w:tcBorders>
              <w:bottom w:val="single" w:sz="4" w:space="0" w:color="auto"/>
            </w:tcBorders>
            <w:noWrap/>
          </w:tcPr>
          <w:p w:rsidR="00C157EC" w:rsidRPr="00807FB9" w:rsidRDefault="00C157EC" w:rsidP="00DE4191">
            <w:pPr>
              <w:pStyle w:val="TableTextCentered"/>
            </w:pPr>
            <w:r w:rsidRPr="00807FB9">
              <w:t>61.1</w:t>
            </w:r>
          </w:p>
        </w:tc>
        <w:tc>
          <w:tcPr>
            <w:tcW w:w="932" w:type="pct"/>
            <w:tcBorders>
              <w:bottom w:val="single" w:sz="4" w:space="0" w:color="auto"/>
            </w:tcBorders>
            <w:noWrap/>
          </w:tcPr>
          <w:p w:rsidR="00C157EC" w:rsidRPr="00807FB9" w:rsidRDefault="00C157EC" w:rsidP="00DE4191">
            <w:pPr>
              <w:pStyle w:val="TableTextCentered"/>
            </w:pPr>
            <w:r w:rsidRPr="00807FB9">
              <w:t>56.7</w:t>
            </w:r>
          </w:p>
        </w:tc>
        <w:tc>
          <w:tcPr>
            <w:tcW w:w="932" w:type="pct"/>
            <w:tcBorders>
              <w:bottom w:val="single" w:sz="4" w:space="0" w:color="auto"/>
            </w:tcBorders>
            <w:noWrap/>
          </w:tcPr>
          <w:p w:rsidR="00C157EC" w:rsidRPr="00807FB9" w:rsidRDefault="00C157EC" w:rsidP="00DE4191">
            <w:pPr>
              <w:pStyle w:val="TableTextCentered"/>
            </w:pPr>
            <w:r w:rsidRPr="00807FB9">
              <w:t>65.5</w:t>
            </w:r>
          </w:p>
        </w:tc>
        <w:tc>
          <w:tcPr>
            <w:tcW w:w="792" w:type="pct"/>
            <w:tcBorders>
              <w:bottom w:val="single" w:sz="4" w:space="0" w:color="auto"/>
            </w:tcBorders>
            <w:noWrap/>
          </w:tcPr>
          <w:p w:rsidR="00C157EC" w:rsidRPr="00807FB9" w:rsidRDefault="00C157EC" w:rsidP="00DE4191">
            <w:pPr>
              <w:pStyle w:val="TableTextCentered"/>
            </w:pPr>
            <w:r>
              <w:t xml:space="preserve">+/- </w:t>
            </w:r>
            <w:r w:rsidRPr="00807FB9">
              <w:t>7%</w:t>
            </w:r>
          </w:p>
        </w:tc>
        <w:tc>
          <w:tcPr>
            <w:tcW w:w="635" w:type="pct"/>
            <w:tcBorders>
              <w:bottom w:val="single" w:sz="4" w:space="0" w:color="auto"/>
            </w:tcBorders>
          </w:tcPr>
          <w:p w:rsidR="00C157EC" w:rsidRPr="00807FB9" w:rsidRDefault="00C157EC" w:rsidP="00DE4191">
            <w:pPr>
              <w:pStyle w:val="TableTextCentered"/>
            </w:pPr>
          </w:p>
        </w:tc>
      </w:tr>
      <w:tr w:rsidR="008756AD" w:rsidRPr="00AB5834" w:rsidTr="003C50C4">
        <w:tc>
          <w:tcPr>
            <w:tcW w:w="1009" w:type="pct"/>
            <w:tcBorders>
              <w:bottom w:val="single" w:sz="4" w:space="0" w:color="auto"/>
            </w:tcBorders>
            <w:shd w:val="clear" w:color="auto" w:fill="D9E3ED" w:themeFill="accent1" w:themeFillTint="33"/>
          </w:tcPr>
          <w:p w:rsidR="00C157EC" w:rsidRPr="00807FB9" w:rsidRDefault="00C157EC" w:rsidP="003C50C4">
            <w:pPr>
              <w:pStyle w:val="TableText"/>
              <w:jc w:val="center"/>
            </w:pPr>
            <w:r>
              <w:t xml:space="preserve">Age </w:t>
            </w:r>
            <w:r w:rsidRPr="00807FB9">
              <w:t>49</w:t>
            </w:r>
            <w:r>
              <w:t>–</w:t>
            </w:r>
            <w:r w:rsidRPr="00807FB9">
              <w:t>6</w:t>
            </w:r>
          </w:p>
        </w:tc>
        <w:tc>
          <w:tcPr>
            <w:tcW w:w="700"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79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635" w:type="pct"/>
            <w:tcBorders>
              <w:bottom w:val="single" w:sz="4" w:space="0" w:color="auto"/>
            </w:tcBorders>
            <w:shd w:val="clear" w:color="auto" w:fill="D9E3ED" w:themeFill="accent1" w:themeFillTint="33"/>
          </w:tcPr>
          <w:p w:rsidR="00C157EC" w:rsidRPr="00807FB9" w:rsidRDefault="00C157EC" w:rsidP="00DE4191">
            <w:pPr>
              <w:pStyle w:val="TableTextCentered"/>
            </w:pPr>
          </w:p>
        </w:tc>
      </w:tr>
      <w:tr w:rsidR="008756AD" w:rsidRPr="00AB5834" w:rsidTr="003C50C4">
        <w:tc>
          <w:tcPr>
            <w:tcW w:w="1009" w:type="pct"/>
            <w:tcBorders>
              <w:bottom w:val="single" w:sz="4" w:space="0" w:color="auto"/>
            </w:tcBorders>
          </w:tcPr>
          <w:p w:rsidR="00C157EC" w:rsidRPr="00807FB9" w:rsidRDefault="00C157EC" w:rsidP="003C50C4">
            <w:pPr>
              <w:pStyle w:val="TableText"/>
              <w:jc w:val="center"/>
            </w:pPr>
            <w:r>
              <w:t>2014–</w:t>
            </w:r>
            <w:r w:rsidRPr="00807FB9">
              <w:t>15</w:t>
            </w:r>
          </w:p>
        </w:tc>
        <w:tc>
          <w:tcPr>
            <w:tcW w:w="700" w:type="pct"/>
            <w:tcBorders>
              <w:bottom w:val="single" w:sz="4" w:space="0" w:color="auto"/>
            </w:tcBorders>
            <w:noWrap/>
          </w:tcPr>
          <w:p w:rsidR="00C157EC" w:rsidRPr="00807FB9" w:rsidRDefault="00C157EC" w:rsidP="00DE4191">
            <w:pPr>
              <w:pStyle w:val="TableTextCentered"/>
            </w:pPr>
            <w:r w:rsidRPr="00807FB9">
              <w:t>35.5</w:t>
            </w:r>
          </w:p>
        </w:tc>
        <w:tc>
          <w:tcPr>
            <w:tcW w:w="932" w:type="pct"/>
            <w:tcBorders>
              <w:bottom w:val="single" w:sz="4" w:space="0" w:color="auto"/>
            </w:tcBorders>
            <w:noWrap/>
          </w:tcPr>
          <w:p w:rsidR="00C157EC" w:rsidRPr="00807FB9" w:rsidRDefault="00C157EC" w:rsidP="00DE4191">
            <w:pPr>
              <w:pStyle w:val="TableTextCentered"/>
            </w:pPr>
            <w:r w:rsidRPr="00807FB9">
              <w:t>34.6</w:t>
            </w:r>
          </w:p>
        </w:tc>
        <w:tc>
          <w:tcPr>
            <w:tcW w:w="932" w:type="pct"/>
            <w:tcBorders>
              <w:bottom w:val="single" w:sz="4" w:space="0" w:color="auto"/>
            </w:tcBorders>
            <w:noWrap/>
          </w:tcPr>
          <w:p w:rsidR="00C157EC" w:rsidRPr="00807FB9" w:rsidRDefault="00C157EC" w:rsidP="00DE4191">
            <w:pPr>
              <w:pStyle w:val="TableTextCentered"/>
            </w:pPr>
            <w:r w:rsidRPr="00807FB9">
              <w:t>36.3</w:t>
            </w:r>
          </w:p>
        </w:tc>
        <w:tc>
          <w:tcPr>
            <w:tcW w:w="792" w:type="pct"/>
            <w:tcBorders>
              <w:bottom w:val="single" w:sz="4" w:space="0" w:color="auto"/>
            </w:tcBorders>
            <w:noWrap/>
          </w:tcPr>
          <w:p w:rsidR="00C157EC" w:rsidRPr="00807FB9" w:rsidRDefault="00C157EC" w:rsidP="00DE4191">
            <w:pPr>
              <w:pStyle w:val="TableTextCentered"/>
            </w:pPr>
            <w:r>
              <w:t xml:space="preserve">+/- </w:t>
            </w:r>
            <w:r w:rsidRPr="00807FB9">
              <w:t>2%</w:t>
            </w:r>
          </w:p>
        </w:tc>
        <w:tc>
          <w:tcPr>
            <w:tcW w:w="635" w:type="pct"/>
            <w:tcBorders>
              <w:bottom w:val="single" w:sz="4" w:space="0" w:color="auto"/>
            </w:tcBorders>
          </w:tcPr>
          <w:p w:rsidR="00C157EC" w:rsidRPr="00807FB9" w:rsidRDefault="00C157EC" w:rsidP="00DE4191">
            <w:pPr>
              <w:pStyle w:val="TableTextCentered"/>
            </w:pPr>
            <w:r w:rsidRPr="00807FB9">
              <w:t>1.1</w:t>
            </w:r>
          </w:p>
        </w:tc>
      </w:tr>
      <w:tr w:rsidR="008756AD" w:rsidRPr="00AB5834" w:rsidTr="003C50C4">
        <w:tc>
          <w:tcPr>
            <w:tcW w:w="1009" w:type="pct"/>
            <w:tcBorders>
              <w:bottom w:val="single" w:sz="4" w:space="0" w:color="auto"/>
            </w:tcBorders>
          </w:tcPr>
          <w:p w:rsidR="00C157EC" w:rsidRPr="00807FB9" w:rsidRDefault="00C157EC" w:rsidP="003C50C4">
            <w:pPr>
              <w:pStyle w:val="TableText"/>
              <w:jc w:val="center"/>
            </w:pPr>
            <w:r>
              <w:t>2023–</w:t>
            </w:r>
            <w:r w:rsidRPr="00807FB9">
              <w:t>24</w:t>
            </w:r>
          </w:p>
        </w:tc>
        <w:tc>
          <w:tcPr>
            <w:tcW w:w="700" w:type="pct"/>
            <w:tcBorders>
              <w:bottom w:val="single" w:sz="4" w:space="0" w:color="auto"/>
            </w:tcBorders>
            <w:noWrap/>
          </w:tcPr>
          <w:p w:rsidR="00C157EC" w:rsidRPr="00807FB9" w:rsidRDefault="00C157EC" w:rsidP="00DE4191">
            <w:pPr>
              <w:pStyle w:val="TableTextCentered"/>
            </w:pPr>
            <w:r w:rsidRPr="00807FB9">
              <w:t>22.5</w:t>
            </w:r>
          </w:p>
        </w:tc>
        <w:tc>
          <w:tcPr>
            <w:tcW w:w="932" w:type="pct"/>
            <w:tcBorders>
              <w:bottom w:val="single" w:sz="4" w:space="0" w:color="auto"/>
            </w:tcBorders>
            <w:noWrap/>
          </w:tcPr>
          <w:p w:rsidR="00C157EC" w:rsidRPr="00807FB9" w:rsidRDefault="00C157EC" w:rsidP="00DE4191">
            <w:pPr>
              <w:pStyle w:val="TableTextCentered"/>
            </w:pPr>
            <w:r w:rsidRPr="00807FB9">
              <w:t>20.7</w:t>
            </w:r>
          </w:p>
        </w:tc>
        <w:tc>
          <w:tcPr>
            <w:tcW w:w="932" w:type="pct"/>
            <w:tcBorders>
              <w:bottom w:val="single" w:sz="4" w:space="0" w:color="auto"/>
            </w:tcBorders>
            <w:noWrap/>
          </w:tcPr>
          <w:p w:rsidR="00C157EC" w:rsidRPr="00807FB9" w:rsidRDefault="00C157EC" w:rsidP="00DE4191">
            <w:pPr>
              <w:pStyle w:val="TableTextCentered"/>
            </w:pPr>
            <w:r w:rsidRPr="00807FB9">
              <w:t>24.3</w:t>
            </w:r>
          </w:p>
        </w:tc>
        <w:tc>
          <w:tcPr>
            <w:tcW w:w="792" w:type="pct"/>
            <w:tcBorders>
              <w:bottom w:val="single" w:sz="4" w:space="0" w:color="auto"/>
            </w:tcBorders>
            <w:noWrap/>
          </w:tcPr>
          <w:p w:rsidR="00C157EC" w:rsidRPr="00807FB9" w:rsidRDefault="00C157EC" w:rsidP="00DE4191">
            <w:pPr>
              <w:pStyle w:val="TableTextCentered"/>
            </w:pPr>
            <w:r>
              <w:t xml:space="preserve">+/- </w:t>
            </w:r>
            <w:r w:rsidRPr="00807FB9">
              <w:t>8%</w:t>
            </w:r>
          </w:p>
        </w:tc>
        <w:tc>
          <w:tcPr>
            <w:tcW w:w="635" w:type="pct"/>
            <w:tcBorders>
              <w:bottom w:val="single" w:sz="4" w:space="0" w:color="auto"/>
            </w:tcBorders>
          </w:tcPr>
          <w:p w:rsidR="00C157EC" w:rsidRPr="00807FB9" w:rsidRDefault="00C157EC" w:rsidP="00DE4191">
            <w:pPr>
              <w:pStyle w:val="TableTextCentered"/>
            </w:pPr>
          </w:p>
        </w:tc>
      </w:tr>
      <w:tr w:rsidR="008756AD" w:rsidRPr="00AB5834" w:rsidTr="003C50C4">
        <w:tc>
          <w:tcPr>
            <w:tcW w:w="1009" w:type="pct"/>
            <w:tcBorders>
              <w:bottom w:val="single" w:sz="4" w:space="0" w:color="auto"/>
            </w:tcBorders>
            <w:shd w:val="clear" w:color="auto" w:fill="D9E3ED" w:themeFill="accent1" w:themeFillTint="33"/>
          </w:tcPr>
          <w:p w:rsidR="00C157EC" w:rsidRPr="00807FB9" w:rsidRDefault="00C157EC" w:rsidP="003C50C4">
            <w:pPr>
              <w:pStyle w:val="TableText"/>
              <w:jc w:val="center"/>
            </w:pPr>
            <w:r>
              <w:t xml:space="preserve">Age </w:t>
            </w:r>
            <w:r w:rsidRPr="00807FB9">
              <w:t>57</w:t>
            </w:r>
            <w:r>
              <w:t>–</w:t>
            </w:r>
            <w:r w:rsidRPr="00807FB9">
              <w:t>64</w:t>
            </w:r>
          </w:p>
        </w:tc>
        <w:tc>
          <w:tcPr>
            <w:tcW w:w="700"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79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635" w:type="pct"/>
            <w:tcBorders>
              <w:bottom w:val="single" w:sz="4" w:space="0" w:color="auto"/>
            </w:tcBorders>
            <w:shd w:val="clear" w:color="auto" w:fill="D9E3ED" w:themeFill="accent1" w:themeFillTint="33"/>
          </w:tcPr>
          <w:p w:rsidR="00C157EC" w:rsidRPr="00807FB9" w:rsidRDefault="00C157EC" w:rsidP="00DE4191">
            <w:pPr>
              <w:pStyle w:val="TableTextCentered"/>
            </w:pPr>
          </w:p>
        </w:tc>
      </w:tr>
      <w:tr w:rsidR="008756AD" w:rsidRPr="00AB5834" w:rsidTr="003C50C4">
        <w:tc>
          <w:tcPr>
            <w:tcW w:w="1009" w:type="pct"/>
            <w:tcBorders>
              <w:bottom w:val="single" w:sz="4" w:space="0" w:color="auto"/>
            </w:tcBorders>
          </w:tcPr>
          <w:p w:rsidR="00C157EC" w:rsidRPr="00807FB9" w:rsidRDefault="00C157EC" w:rsidP="003C50C4">
            <w:pPr>
              <w:pStyle w:val="TableText"/>
              <w:jc w:val="center"/>
            </w:pPr>
            <w:r>
              <w:t>2014–</w:t>
            </w:r>
            <w:r w:rsidRPr="00807FB9">
              <w:t>15</w:t>
            </w:r>
          </w:p>
        </w:tc>
        <w:tc>
          <w:tcPr>
            <w:tcW w:w="700" w:type="pct"/>
            <w:tcBorders>
              <w:bottom w:val="single" w:sz="4" w:space="0" w:color="auto"/>
            </w:tcBorders>
            <w:noWrap/>
          </w:tcPr>
          <w:p w:rsidR="00C157EC" w:rsidRPr="00807FB9" w:rsidRDefault="00C157EC" w:rsidP="00DE4191">
            <w:pPr>
              <w:pStyle w:val="TableTextCentered"/>
            </w:pPr>
            <w:r w:rsidRPr="00807FB9">
              <w:t>29.2</w:t>
            </w:r>
          </w:p>
        </w:tc>
        <w:tc>
          <w:tcPr>
            <w:tcW w:w="932" w:type="pct"/>
            <w:tcBorders>
              <w:bottom w:val="single" w:sz="4" w:space="0" w:color="auto"/>
            </w:tcBorders>
            <w:noWrap/>
          </w:tcPr>
          <w:p w:rsidR="00C157EC" w:rsidRPr="00807FB9" w:rsidRDefault="00C157EC" w:rsidP="00DE4191">
            <w:pPr>
              <w:pStyle w:val="TableTextCentered"/>
            </w:pPr>
            <w:r w:rsidRPr="00807FB9">
              <w:t>28.3</w:t>
            </w:r>
          </w:p>
        </w:tc>
        <w:tc>
          <w:tcPr>
            <w:tcW w:w="932" w:type="pct"/>
            <w:tcBorders>
              <w:bottom w:val="single" w:sz="4" w:space="0" w:color="auto"/>
            </w:tcBorders>
            <w:noWrap/>
          </w:tcPr>
          <w:p w:rsidR="00C157EC" w:rsidRPr="00807FB9" w:rsidRDefault="00C157EC" w:rsidP="00DE4191">
            <w:pPr>
              <w:pStyle w:val="TableTextCentered"/>
            </w:pPr>
            <w:r w:rsidRPr="00807FB9">
              <w:t>30.0</w:t>
            </w:r>
          </w:p>
        </w:tc>
        <w:tc>
          <w:tcPr>
            <w:tcW w:w="792" w:type="pct"/>
            <w:tcBorders>
              <w:bottom w:val="single" w:sz="4" w:space="0" w:color="auto"/>
            </w:tcBorders>
            <w:noWrap/>
          </w:tcPr>
          <w:p w:rsidR="00C157EC" w:rsidRPr="00807FB9" w:rsidRDefault="00C157EC" w:rsidP="00DE4191">
            <w:pPr>
              <w:pStyle w:val="TableTextCentered"/>
            </w:pPr>
            <w:r>
              <w:t xml:space="preserve">+/- </w:t>
            </w:r>
            <w:r w:rsidRPr="00807FB9">
              <w:t>3%</w:t>
            </w:r>
          </w:p>
        </w:tc>
        <w:tc>
          <w:tcPr>
            <w:tcW w:w="635" w:type="pct"/>
            <w:tcBorders>
              <w:bottom w:val="single" w:sz="4" w:space="0" w:color="auto"/>
            </w:tcBorders>
          </w:tcPr>
          <w:p w:rsidR="00C157EC" w:rsidRPr="00807FB9" w:rsidRDefault="00C157EC" w:rsidP="00DE4191">
            <w:pPr>
              <w:pStyle w:val="TableTextCentered"/>
            </w:pPr>
            <w:r w:rsidRPr="00807FB9">
              <w:t>2.1</w:t>
            </w:r>
          </w:p>
        </w:tc>
      </w:tr>
      <w:tr w:rsidR="008756AD" w:rsidRPr="00AB5834" w:rsidTr="003C50C4">
        <w:tc>
          <w:tcPr>
            <w:tcW w:w="1009" w:type="pct"/>
            <w:tcBorders>
              <w:bottom w:val="single" w:sz="4" w:space="0" w:color="auto"/>
            </w:tcBorders>
          </w:tcPr>
          <w:p w:rsidR="00C157EC" w:rsidRPr="00807FB9" w:rsidRDefault="00C157EC" w:rsidP="003C50C4">
            <w:pPr>
              <w:pStyle w:val="TableText"/>
              <w:jc w:val="center"/>
            </w:pPr>
            <w:r>
              <w:t>2023–</w:t>
            </w:r>
            <w:r w:rsidRPr="00807FB9">
              <w:t>24</w:t>
            </w:r>
          </w:p>
        </w:tc>
        <w:tc>
          <w:tcPr>
            <w:tcW w:w="700" w:type="pct"/>
            <w:tcBorders>
              <w:bottom w:val="single" w:sz="4" w:space="0" w:color="auto"/>
            </w:tcBorders>
            <w:noWrap/>
          </w:tcPr>
          <w:p w:rsidR="00C157EC" w:rsidRPr="00807FB9" w:rsidRDefault="00C157EC" w:rsidP="00DE4191">
            <w:pPr>
              <w:pStyle w:val="TableTextCentered"/>
            </w:pPr>
            <w:r w:rsidRPr="00807FB9">
              <w:t>28.5</w:t>
            </w:r>
          </w:p>
        </w:tc>
        <w:tc>
          <w:tcPr>
            <w:tcW w:w="932" w:type="pct"/>
            <w:tcBorders>
              <w:bottom w:val="single" w:sz="4" w:space="0" w:color="auto"/>
            </w:tcBorders>
            <w:noWrap/>
          </w:tcPr>
          <w:p w:rsidR="00C157EC" w:rsidRPr="00807FB9" w:rsidRDefault="00C157EC" w:rsidP="00DE4191">
            <w:pPr>
              <w:pStyle w:val="TableTextCentered"/>
            </w:pPr>
            <w:r w:rsidRPr="00807FB9">
              <w:t>25.8</w:t>
            </w:r>
          </w:p>
        </w:tc>
        <w:tc>
          <w:tcPr>
            <w:tcW w:w="932" w:type="pct"/>
            <w:tcBorders>
              <w:bottom w:val="single" w:sz="4" w:space="0" w:color="auto"/>
            </w:tcBorders>
            <w:noWrap/>
          </w:tcPr>
          <w:p w:rsidR="00C157EC" w:rsidRPr="00807FB9" w:rsidRDefault="00C157EC" w:rsidP="00DE4191">
            <w:pPr>
              <w:pStyle w:val="TableTextCentered"/>
            </w:pPr>
            <w:r w:rsidRPr="00807FB9">
              <w:t>31.2</w:t>
            </w:r>
          </w:p>
        </w:tc>
        <w:tc>
          <w:tcPr>
            <w:tcW w:w="792" w:type="pct"/>
            <w:tcBorders>
              <w:bottom w:val="single" w:sz="4" w:space="0" w:color="auto"/>
            </w:tcBorders>
            <w:noWrap/>
          </w:tcPr>
          <w:p w:rsidR="00C157EC" w:rsidRPr="00807FB9" w:rsidRDefault="00C157EC" w:rsidP="00DE4191">
            <w:pPr>
              <w:pStyle w:val="TableTextCentered"/>
            </w:pPr>
            <w:r>
              <w:t xml:space="preserve">+/- </w:t>
            </w:r>
            <w:r w:rsidRPr="00807FB9">
              <w:t>9%</w:t>
            </w:r>
          </w:p>
        </w:tc>
        <w:tc>
          <w:tcPr>
            <w:tcW w:w="635" w:type="pct"/>
            <w:tcBorders>
              <w:bottom w:val="single" w:sz="4" w:space="0" w:color="auto"/>
            </w:tcBorders>
          </w:tcPr>
          <w:p w:rsidR="00C157EC" w:rsidRPr="00807FB9" w:rsidRDefault="00C157EC" w:rsidP="00DE4191">
            <w:pPr>
              <w:pStyle w:val="TableTextCentered"/>
            </w:pPr>
          </w:p>
        </w:tc>
      </w:tr>
      <w:tr w:rsidR="008756AD" w:rsidRPr="00AB5834" w:rsidTr="003C50C4">
        <w:tc>
          <w:tcPr>
            <w:tcW w:w="1009" w:type="pct"/>
            <w:tcBorders>
              <w:bottom w:val="single" w:sz="4" w:space="0" w:color="auto"/>
            </w:tcBorders>
            <w:shd w:val="clear" w:color="auto" w:fill="D9E3ED" w:themeFill="accent1" w:themeFillTint="33"/>
          </w:tcPr>
          <w:p w:rsidR="00C157EC" w:rsidRPr="00807FB9" w:rsidRDefault="00C157EC" w:rsidP="003C50C4">
            <w:pPr>
              <w:pStyle w:val="TableText"/>
              <w:jc w:val="center"/>
            </w:pPr>
            <w:r>
              <w:t>Over</w:t>
            </w:r>
            <w:r w:rsidR="00617CD2">
              <w:t xml:space="preserve"> 64</w:t>
            </w:r>
          </w:p>
        </w:tc>
        <w:tc>
          <w:tcPr>
            <w:tcW w:w="700"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93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792" w:type="pct"/>
            <w:tcBorders>
              <w:bottom w:val="single" w:sz="4" w:space="0" w:color="auto"/>
            </w:tcBorders>
            <w:shd w:val="clear" w:color="auto" w:fill="D9E3ED" w:themeFill="accent1" w:themeFillTint="33"/>
            <w:noWrap/>
          </w:tcPr>
          <w:p w:rsidR="00C157EC" w:rsidRPr="00807FB9" w:rsidRDefault="00C157EC" w:rsidP="00DE4191">
            <w:pPr>
              <w:pStyle w:val="TableTextCentered"/>
            </w:pPr>
          </w:p>
        </w:tc>
        <w:tc>
          <w:tcPr>
            <w:tcW w:w="635" w:type="pct"/>
            <w:tcBorders>
              <w:bottom w:val="single" w:sz="4" w:space="0" w:color="auto"/>
            </w:tcBorders>
            <w:shd w:val="clear" w:color="auto" w:fill="D9E3ED" w:themeFill="accent1" w:themeFillTint="33"/>
          </w:tcPr>
          <w:p w:rsidR="00C157EC" w:rsidRPr="00807FB9" w:rsidRDefault="00C157EC" w:rsidP="00DE4191">
            <w:pPr>
              <w:pStyle w:val="TableTextCentered"/>
            </w:pPr>
          </w:p>
        </w:tc>
      </w:tr>
      <w:tr w:rsidR="008756AD" w:rsidRPr="00AB5834" w:rsidTr="003C50C4">
        <w:tc>
          <w:tcPr>
            <w:tcW w:w="1009" w:type="pct"/>
            <w:tcBorders>
              <w:bottom w:val="single" w:sz="4" w:space="0" w:color="auto"/>
            </w:tcBorders>
          </w:tcPr>
          <w:p w:rsidR="00C157EC" w:rsidRPr="00807FB9" w:rsidRDefault="00C157EC" w:rsidP="003C50C4">
            <w:pPr>
              <w:pStyle w:val="TableText"/>
              <w:jc w:val="center"/>
            </w:pPr>
            <w:r>
              <w:t>2014–</w:t>
            </w:r>
            <w:r w:rsidRPr="00807FB9">
              <w:t>15</w:t>
            </w:r>
          </w:p>
        </w:tc>
        <w:tc>
          <w:tcPr>
            <w:tcW w:w="700" w:type="pct"/>
            <w:tcBorders>
              <w:bottom w:val="single" w:sz="4" w:space="0" w:color="auto"/>
            </w:tcBorders>
            <w:noWrap/>
          </w:tcPr>
          <w:p w:rsidR="00C157EC" w:rsidRPr="00807FB9" w:rsidRDefault="00C157EC" w:rsidP="00DE4191">
            <w:pPr>
              <w:pStyle w:val="TableTextCentered"/>
            </w:pPr>
            <w:r w:rsidRPr="00807FB9">
              <w:t>3.7</w:t>
            </w:r>
          </w:p>
        </w:tc>
        <w:tc>
          <w:tcPr>
            <w:tcW w:w="932" w:type="pct"/>
            <w:tcBorders>
              <w:bottom w:val="single" w:sz="4" w:space="0" w:color="auto"/>
            </w:tcBorders>
            <w:noWrap/>
          </w:tcPr>
          <w:p w:rsidR="00C157EC" w:rsidRPr="00807FB9" w:rsidRDefault="00C157EC" w:rsidP="00DE4191">
            <w:pPr>
              <w:pStyle w:val="TableTextCentered"/>
            </w:pPr>
            <w:r w:rsidRPr="00807FB9">
              <w:t>3.5</w:t>
            </w:r>
          </w:p>
        </w:tc>
        <w:tc>
          <w:tcPr>
            <w:tcW w:w="932" w:type="pct"/>
            <w:tcBorders>
              <w:bottom w:val="single" w:sz="4" w:space="0" w:color="auto"/>
            </w:tcBorders>
            <w:noWrap/>
          </w:tcPr>
          <w:p w:rsidR="00C157EC" w:rsidRPr="00807FB9" w:rsidRDefault="00C157EC" w:rsidP="00DE4191">
            <w:pPr>
              <w:pStyle w:val="TableTextCentered"/>
            </w:pPr>
            <w:r w:rsidRPr="00807FB9">
              <w:t>4.0</w:t>
            </w:r>
          </w:p>
        </w:tc>
        <w:tc>
          <w:tcPr>
            <w:tcW w:w="792" w:type="pct"/>
            <w:tcBorders>
              <w:bottom w:val="single" w:sz="4" w:space="0" w:color="auto"/>
            </w:tcBorders>
            <w:noWrap/>
          </w:tcPr>
          <w:p w:rsidR="00C157EC" w:rsidRPr="00807FB9" w:rsidRDefault="00C157EC" w:rsidP="00DE4191">
            <w:pPr>
              <w:pStyle w:val="TableTextCentered"/>
            </w:pPr>
            <w:r>
              <w:t xml:space="preserve">+/- </w:t>
            </w:r>
            <w:r w:rsidRPr="00807FB9">
              <w:t>7%</w:t>
            </w:r>
          </w:p>
        </w:tc>
        <w:tc>
          <w:tcPr>
            <w:tcW w:w="635" w:type="pct"/>
            <w:tcBorders>
              <w:bottom w:val="single" w:sz="4" w:space="0" w:color="auto"/>
            </w:tcBorders>
          </w:tcPr>
          <w:p w:rsidR="00C157EC" w:rsidRPr="00807FB9" w:rsidRDefault="00C157EC" w:rsidP="00DE4191">
            <w:pPr>
              <w:pStyle w:val="TableTextCentered"/>
            </w:pPr>
            <w:r w:rsidRPr="00807FB9">
              <w:t>8.7</w:t>
            </w:r>
          </w:p>
        </w:tc>
      </w:tr>
      <w:tr w:rsidR="008756AD" w:rsidRPr="00AB5834" w:rsidTr="003C50C4">
        <w:tc>
          <w:tcPr>
            <w:tcW w:w="1009" w:type="pct"/>
          </w:tcPr>
          <w:p w:rsidR="00C157EC" w:rsidRPr="00807FB9" w:rsidRDefault="00C157EC" w:rsidP="003C50C4">
            <w:pPr>
              <w:pStyle w:val="TableText"/>
              <w:jc w:val="center"/>
            </w:pPr>
            <w:r>
              <w:t>2023–</w:t>
            </w:r>
            <w:r w:rsidRPr="00807FB9">
              <w:t>24</w:t>
            </w:r>
          </w:p>
        </w:tc>
        <w:tc>
          <w:tcPr>
            <w:tcW w:w="700" w:type="pct"/>
            <w:noWrap/>
          </w:tcPr>
          <w:p w:rsidR="00C157EC" w:rsidRPr="00807FB9" w:rsidRDefault="00C157EC" w:rsidP="00DE4191">
            <w:pPr>
              <w:pStyle w:val="TableTextCentered"/>
            </w:pPr>
            <w:r w:rsidRPr="00807FB9">
              <w:t>10.3</w:t>
            </w:r>
          </w:p>
        </w:tc>
        <w:tc>
          <w:tcPr>
            <w:tcW w:w="932" w:type="pct"/>
            <w:noWrap/>
          </w:tcPr>
          <w:p w:rsidR="00C157EC" w:rsidRPr="00807FB9" w:rsidRDefault="00C157EC" w:rsidP="00DE4191">
            <w:pPr>
              <w:pStyle w:val="TableTextCentered"/>
            </w:pPr>
            <w:r w:rsidRPr="00807FB9">
              <w:t>7.7</w:t>
            </w:r>
          </w:p>
        </w:tc>
        <w:tc>
          <w:tcPr>
            <w:tcW w:w="932" w:type="pct"/>
            <w:noWrap/>
          </w:tcPr>
          <w:p w:rsidR="00C157EC" w:rsidRPr="00807FB9" w:rsidRDefault="00C157EC" w:rsidP="00DE4191">
            <w:pPr>
              <w:pStyle w:val="TableTextCentered"/>
            </w:pPr>
            <w:r w:rsidRPr="00807FB9">
              <w:t>12.8</w:t>
            </w:r>
          </w:p>
        </w:tc>
        <w:tc>
          <w:tcPr>
            <w:tcW w:w="792" w:type="pct"/>
            <w:noWrap/>
          </w:tcPr>
          <w:p w:rsidR="00C157EC" w:rsidRPr="00807FB9" w:rsidRDefault="00C157EC" w:rsidP="00DE4191">
            <w:pPr>
              <w:pStyle w:val="TableTextCentered"/>
            </w:pPr>
            <w:r>
              <w:t xml:space="preserve">+/- </w:t>
            </w:r>
            <w:r w:rsidRPr="00807FB9">
              <w:t>25%</w:t>
            </w:r>
          </w:p>
        </w:tc>
        <w:tc>
          <w:tcPr>
            <w:tcW w:w="635" w:type="pct"/>
          </w:tcPr>
          <w:p w:rsidR="00C157EC" w:rsidRPr="00807FB9" w:rsidRDefault="00C157EC" w:rsidP="00DE4191">
            <w:pPr>
              <w:pStyle w:val="TableTextCentered"/>
            </w:pPr>
          </w:p>
        </w:tc>
      </w:tr>
    </w:tbl>
    <w:p w:rsidR="00C157EC" w:rsidRPr="00EB58A1" w:rsidRDefault="00C157EC" w:rsidP="00A46F58">
      <w:pPr>
        <w:pStyle w:val="BodyText"/>
        <w:rPr>
          <w:rFonts w:cstheme="majorHAnsi"/>
          <w:szCs w:val="26"/>
        </w:rPr>
      </w:pPr>
      <w:r w:rsidRPr="00A46F58">
        <w:rPr>
          <w:rFonts w:asciiTheme="majorHAnsi" w:hAnsiTheme="majorHAnsi" w:cstheme="majorHAnsi"/>
          <w:b/>
          <w:i/>
          <w:sz w:val="26"/>
          <w:szCs w:val="26"/>
        </w:rPr>
        <w:t>Research Question 5</w:t>
      </w:r>
      <w:r w:rsidR="00F11661" w:rsidRPr="00A46F58">
        <w:rPr>
          <w:rFonts w:asciiTheme="majorHAnsi" w:hAnsiTheme="majorHAnsi" w:cstheme="majorHAnsi"/>
          <w:b/>
          <w:i/>
          <w:sz w:val="26"/>
          <w:szCs w:val="26"/>
        </w:rPr>
        <w:t>—</w:t>
      </w:r>
      <w:r w:rsidRPr="00A46F58">
        <w:rPr>
          <w:rFonts w:asciiTheme="majorHAnsi" w:hAnsiTheme="majorHAnsi" w:cstheme="majorHAnsi"/>
          <w:b/>
          <w:i/>
          <w:sz w:val="26"/>
          <w:szCs w:val="26"/>
        </w:rPr>
        <w:t>Validity of Results by Region</w:t>
      </w:r>
    </w:p>
    <w:p w:rsidR="00C157EC" w:rsidRDefault="00C157EC" w:rsidP="00DE4191">
      <w:pPr>
        <w:pStyle w:val="BodyText"/>
      </w:pPr>
      <w:r>
        <w:t xml:space="preserve">As with </w:t>
      </w:r>
      <w:r w:rsidR="000F34CB">
        <w:t>R</w:t>
      </w:r>
      <w:r>
        <w:t xml:space="preserve">esearch </w:t>
      </w:r>
      <w:r w:rsidR="000F34CB">
        <w:t>Q</w:t>
      </w:r>
      <w:r>
        <w:t xml:space="preserve">uestion 1, the demand projections created to address </w:t>
      </w:r>
      <w:r w:rsidR="000F34CB">
        <w:t>R</w:t>
      </w:r>
      <w:r>
        <w:t xml:space="preserve">esearch </w:t>
      </w:r>
      <w:r w:rsidR="000F34CB">
        <w:t>Q</w:t>
      </w:r>
      <w:r>
        <w:t xml:space="preserve">uestion 5 were not based on a regression model or estimated parameter, and thus we cannot report confidence intervals for these results. In addition, due to the fact that supply projections in </w:t>
      </w:r>
      <w:r w:rsidR="000F34CB">
        <w:t>R</w:t>
      </w:r>
      <w:r>
        <w:t xml:space="preserve">esearch </w:t>
      </w:r>
      <w:r w:rsidR="000F34CB">
        <w:t>Q</w:t>
      </w:r>
      <w:r>
        <w:t xml:space="preserve">uestion 5 are based entirely on the projections created to address </w:t>
      </w:r>
      <w:r w:rsidR="000F34CB">
        <w:t>R</w:t>
      </w:r>
      <w:r>
        <w:t xml:space="preserve">esearch </w:t>
      </w:r>
      <w:r w:rsidR="000F34CB">
        <w:t>Q</w:t>
      </w:r>
      <w:r>
        <w:t xml:space="preserve">uestion 2, no additional confidence intervals could be analyzed for these projections. However, the APEs and MAPEs for all </w:t>
      </w:r>
      <w:r w:rsidR="000F34CB">
        <w:t>R</w:t>
      </w:r>
      <w:r>
        <w:t xml:space="preserve">esearch </w:t>
      </w:r>
      <w:r w:rsidR="000F34CB">
        <w:t>Q</w:t>
      </w:r>
      <w:r>
        <w:t>uestion 5 analyses are reported earlier in this appendix.</w:t>
      </w:r>
    </w:p>
    <w:p w:rsidR="00C157EC" w:rsidRPr="001D7530" w:rsidRDefault="00C157EC" w:rsidP="00DE4191">
      <w:pPr>
        <w:pStyle w:val="Heading3NoTOC"/>
      </w:pPr>
      <w:bookmarkStart w:id="179" w:name="_Toc435461203"/>
      <w:bookmarkStart w:id="180" w:name="_Toc436724321"/>
      <w:r w:rsidRPr="001D7530">
        <w:t>Additional Test of Enrollment Projection Validity</w:t>
      </w:r>
      <w:bookmarkEnd w:id="179"/>
      <w:bookmarkEnd w:id="180"/>
    </w:p>
    <w:p w:rsidR="00C157EC" w:rsidRDefault="00C157EC" w:rsidP="00DE4191">
      <w:pPr>
        <w:pStyle w:val="BodyText"/>
      </w:pPr>
      <w:r>
        <w:t xml:space="preserve">In addition to considering the APEs and MAPEs of the enrollment projections, we also </w:t>
      </w:r>
      <w:r w:rsidRPr="00341E2E">
        <w:t xml:space="preserve">compared </w:t>
      </w:r>
      <w:r>
        <w:t xml:space="preserve">our projections </w:t>
      </w:r>
      <w:r w:rsidRPr="00341E2E">
        <w:t xml:space="preserve">to the statewide </w:t>
      </w:r>
      <w:r>
        <w:t xml:space="preserve">aggregated </w:t>
      </w:r>
      <w:r w:rsidRPr="00341E2E">
        <w:t xml:space="preserve">enrollment projections calculated by ESE for the same projected years. </w:t>
      </w:r>
      <w:r w:rsidR="00F11661">
        <w:t>Figure</w:t>
      </w:r>
      <w:r>
        <w:t xml:space="preserve"> C</w:t>
      </w:r>
      <w:r w:rsidR="00F11661">
        <w:t>3</w:t>
      </w:r>
      <w:r>
        <w:t xml:space="preserve"> </w:t>
      </w:r>
      <w:r w:rsidRPr="00341E2E">
        <w:t xml:space="preserve">displays the </w:t>
      </w:r>
      <w:r>
        <w:t xml:space="preserve">AIR </w:t>
      </w:r>
      <w:r w:rsidRPr="00341E2E">
        <w:t>historic</w:t>
      </w:r>
      <w:r>
        <w:t>al</w:t>
      </w:r>
      <w:r w:rsidRPr="00341E2E">
        <w:t xml:space="preserve"> and projected enrollments and those reported by ESE. </w:t>
      </w:r>
      <w:r>
        <w:t xml:space="preserve">As you can be seen in the </w:t>
      </w:r>
      <w:r w:rsidR="00491259">
        <w:t>figure</w:t>
      </w:r>
      <w:r>
        <w:t>, AIR projections are only slightly different than ESE projections. In fact, w</w:t>
      </w:r>
      <w:r w:rsidRPr="00341E2E">
        <w:t>hen the enrollment</w:t>
      </w:r>
      <w:r>
        <w:t xml:space="preserve"> projection</w:t>
      </w:r>
      <w:r w:rsidRPr="00341E2E">
        <w:t>s are compared, AIR projections are an average of 0.</w:t>
      </w:r>
      <w:r>
        <w:t>9</w:t>
      </w:r>
      <w:r w:rsidRPr="00341E2E">
        <w:t xml:space="preserve"> </w:t>
      </w:r>
      <w:r>
        <w:t>percent</w:t>
      </w:r>
      <w:r w:rsidRPr="00341E2E">
        <w:t xml:space="preserve"> </w:t>
      </w:r>
      <w:r>
        <w:t>lower</w:t>
      </w:r>
      <w:r w:rsidRPr="00341E2E">
        <w:t xml:space="preserve"> than ESE projections</w:t>
      </w:r>
      <w:r>
        <w:t>, and at most 1.8 percent lower in the final projected year</w:t>
      </w:r>
      <w:r w:rsidRPr="00341E2E">
        <w:t xml:space="preserve">. </w:t>
      </w:r>
      <w:r w:rsidR="00F11661">
        <w:t>Figure</w:t>
      </w:r>
      <w:r>
        <w:t xml:space="preserve"> C</w:t>
      </w:r>
      <w:r w:rsidR="00F11661">
        <w:t>4</w:t>
      </w:r>
      <w:r>
        <w:t xml:space="preserve"> </w:t>
      </w:r>
      <w:r w:rsidRPr="00341E2E">
        <w:t>displays this</w:t>
      </w:r>
      <w:r>
        <w:t xml:space="preserve"> relative</w:t>
      </w:r>
      <w:r w:rsidRPr="00341E2E">
        <w:t xml:space="preserve"> difference for each of the projected years.</w:t>
      </w:r>
      <w:r>
        <w:t xml:space="preserve"> </w:t>
      </w:r>
    </w:p>
    <w:p w:rsidR="00C157EC" w:rsidRPr="00341E2E" w:rsidRDefault="00C157EC" w:rsidP="00DE4191">
      <w:pPr>
        <w:pStyle w:val="BodyText"/>
      </w:pPr>
      <w:r>
        <w:t xml:space="preserve">Given these results, one could consider </w:t>
      </w:r>
      <w:r w:rsidRPr="00341E2E">
        <w:t xml:space="preserve">our </w:t>
      </w:r>
      <w:r>
        <w:t xml:space="preserve">aggregated </w:t>
      </w:r>
      <w:r w:rsidRPr="00341E2E">
        <w:t xml:space="preserve">projections and those generated by ESE as </w:t>
      </w:r>
      <w:r>
        <w:t>lower</w:t>
      </w:r>
      <w:r w:rsidRPr="00341E2E">
        <w:t xml:space="preserve"> and </w:t>
      </w:r>
      <w:r>
        <w:t>upper</w:t>
      </w:r>
      <w:r w:rsidRPr="00341E2E">
        <w:t xml:space="preserve"> bound </w:t>
      </w:r>
      <w:r>
        <w:t>enrollment</w:t>
      </w:r>
      <w:r w:rsidRPr="00341E2E">
        <w:t xml:space="preserve"> estimates, respectively</w:t>
      </w:r>
      <w:r>
        <w:t>. However</w:t>
      </w:r>
      <w:r w:rsidRPr="00341E2E">
        <w:t xml:space="preserve">, the ESE figures do not have the same granularity and therefore do not allow for reporting across the same contrasts included in our analysis. </w:t>
      </w:r>
    </w:p>
    <w:p w:rsidR="00C157EC" w:rsidRPr="00341E2E" w:rsidRDefault="00F11661" w:rsidP="00DE4191">
      <w:pPr>
        <w:pStyle w:val="ExhibitTitle"/>
      </w:pPr>
      <w:r>
        <w:t>Figure</w:t>
      </w:r>
      <w:r w:rsidR="00C157EC">
        <w:t xml:space="preserve"> C</w:t>
      </w:r>
      <w:r>
        <w:t>3</w:t>
      </w:r>
      <w:r w:rsidR="00C157EC">
        <w:t>.</w:t>
      </w:r>
      <w:r w:rsidR="00C157EC" w:rsidRPr="00341E2E">
        <w:t xml:space="preserve"> Comparison of ESE and </w:t>
      </w:r>
      <w:r w:rsidR="00C157EC">
        <w:t>AIR Enrollment Projections, 2008-09</w:t>
      </w:r>
      <w:r w:rsidR="00605BE7">
        <w:t xml:space="preserve"> </w:t>
      </w:r>
      <w:proofErr w:type="gramStart"/>
      <w:r w:rsidR="00605BE7">
        <w:t>Through</w:t>
      </w:r>
      <w:proofErr w:type="gramEnd"/>
      <w:r w:rsidR="00605BE7">
        <w:t xml:space="preserve"> </w:t>
      </w:r>
      <w:r w:rsidR="00C157EC" w:rsidRPr="00341E2E">
        <w:t>20</w:t>
      </w:r>
      <w:r w:rsidR="00C157EC">
        <w:t>23-</w:t>
      </w:r>
      <w:r w:rsidR="00C157EC" w:rsidRPr="00341E2E">
        <w:t>24</w:t>
      </w:r>
    </w:p>
    <w:p w:rsidR="00C157EC" w:rsidRPr="00DE4191" w:rsidRDefault="00C157EC" w:rsidP="00DE4191">
      <w:pPr>
        <w:pStyle w:val="FigurePlacement"/>
      </w:pPr>
      <w:r w:rsidRPr="003B7340">
        <w:rPr>
          <w:noProof/>
          <w:lang w:eastAsia="zh-CN" w:bidi="km-KH"/>
        </w:rPr>
        <w:drawing>
          <wp:inline distT="0" distB="0" distL="0" distR="0">
            <wp:extent cx="5605773" cy="3657600"/>
            <wp:effectExtent l="19050" t="0" r="0" b="0"/>
            <wp:docPr id="2" name="Picture 2" descr="Figure C3 displays the AIR historical and projected enrollments and those reported by ESE. As you can be seen in the figure, AIR projections are only slightly different than ESE projections. In fact, when the enrollment projections are compared, AIR projections are an average of 0.9 percent lower than ESE projections, and at most 1.8 percent lower in the final projected year. Figure C4 displays this relative difference for each of the projected years.&#10;Figure C3. Comparison of ESE and AIR Enrollment Projections, 2008-09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06" t="3277" r="4379" b="7075"/>
                    <a:stretch/>
                  </pic:blipFill>
                  <pic:spPr bwMode="auto">
                    <a:xfrm>
                      <a:off x="0" y="0"/>
                      <a:ext cx="5605773" cy="36576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Pr="00341E2E" w:rsidRDefault="00F11661" w:rsidP="00DE4191">
      <w:pPr>
        <w:pStyle w:val="ExhibitTitle"/>
      </w:pPr>
      <w:r>
        <w:t>Figure</w:t>
      </w:r>
      <w:r w:rsidR="00C157EC">
        <w:t xml:space="preserve"> C</w:t>
      </w:r>
      <w:r>
        <w:t>4</w:t>
      </w:r>
      <w:r w:rsidR="00C157EC">
        <w:t>.</w:t>
      </w:r>
      <w:r w:rsidR="00C157EC" w:rsidRPr="00341E2E">
        <w:t xml:space="preserve"> Relative </w:t>
      </w:r>
      <w:r w:rsidR="00C157EC">
        <w:t xml:space="preserve">Differences in </w:t>
      </w:r>
      <w:r w:rsidR="00C157EC" w:rsidRPr="00341E2E">
        <w:t xml:space="preserve">AIR and ESE </w:t>
      </w:r>
      <w:r w:rsidR="00C157EC">
        <w:t>Projections</w:t>
      </w:r>
      <w:r w:rsidR="00D41F40">
        <w:t xml:space="preserve">, 2014-15 </w:t>
      </w:r>
      <w:proofErr w:type="gramStart"/>
      <w:r w:rsidR="00A20090">
        <w:t>Through</w:t>
      </w:r>
      <w:proofErr w:type="gramEnd"/>
      <w:r w:rsidR="00D41F40">
        <w:t xml:space="preserve"> 2023-24</w:t>
      </w:r>
    </w:p>
    <w:p w:rsidR="00C157EC" w:rsidRDefault="00C157EC" w:rsidP="00DE4191">
      <w:pPr>
        <w:pStyle w:val="FigurePlacement"/>
      </w:pPr>
      <w:r w:rsidRPr="00E63722">
        <w:rPr>
          <w:noProof/>
          <w:lang w:eastAsia="zh-CN" w:bidi="km-KH"/>
        </w:rPr>
        <w:drawing>
          <wp:inline distT="0" distB="0" distL="0" distR="0">
            <wp:extent cx="5486400" cy="3431573"/>
            <wp:effectExtent l="19050" t="0" r="0" b="0"/>
            <wp:docPr id="228" name="Picture 228" descr="Figure C4. Relative Differences in AIR and ESE Projections, 2014-15 Through 2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22" t="2448" r="2963" b="10960"/>
                    <a:stretch/>
                  </pic:blipFill>
                  <pic:spPr bwMode="auto">
                    <a:xfrm>
                      <a:off x="0" y="0"/>
                      <a:ext cx="5486400" cy="343157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157EC" w:rsidRPr="0060363E" w:rsidRDefault="00C157EC" w:rsidP="00C157EC">
      <w:pPr>
        <w:rPr>
          <w:rFonts w:eastAsiaTheme="minorEastAsia"/>
        </w:rPr>
      </w:pPr>
    </w:p>
    <w:p w:rsidR="00C157EC" w:rsidRPr="0032382F" w:rsidRDefault="00C157EC" w:rsidP="00C157EC">
      <w:pPr>
        <w:rPr>
          <w:rFonts w:eastAsiaTheme="minorEastAsia"/>
        </w:rPr>
        <w:sectPr w:rsidR="00C157EC" w:rsidRPr="0032382F" w:rsidSect="00787A89">
          <w:footerReference w:type="default" r:id="rId81"/>
          <w:pgSz w:w="12240" w:h="15840" w:code="1"/>
          <w:pgMar w:top="1440" w:right="1440" w:bottom="1440" w:left="1440" w:header="720" w:footer="720" w:gutter="0"/>
          <w:pgNumType w:start="1"/>
          <w:cols w:space="720"/>
          <w:docGrid w:linePitch="360"/>
        </w:sectPr>
      </w:pPr>
    </w:p>
    <w:sdt>
      <w:sdtPr>
        <w:rPr>
          <w:rFonts w:asciiTheme="majorHAnsi" w:eastAsia="Times New Roman" w:hAnsiTheme="majorHAnsi" w:cs="Franklin Gothic Demi"/>
          <w:b/>
          <w:bCs/>
          <w:color w:val="000000"/>
          <w:sz w:val="20"/>
          <w:szCs w:val="20"/>
        </w:rPr>
        <w:id w:val="1002394033"/>
        <w:docPartObj>
          <w:docPartGallery w:val="Cover Pages"/>
        </w:docPartObj>
      </w:sdtPr>
      <w:sdtEndPr>
        <w:rPr>
          <w:rFonts w:ascii="Arial" w:hAnsi="Arial" w:cs="Times New Roman"/>
          <w:b w:val="0"/>
          <w:bCs w:val="0"/>
          <w:color w:val="auto"/>
          <w:sz w:val="24"/>
          <w:szCs w:val="24"/>
        </w:rPr>
      </w:sdtEndPr>
      <w:sdtContent>
        <w:p w:rsidR="00C157EC" w:rsidRPr="0032382F" w:rsidRDefault="00C157EC" w:rsidP="00C157EC">
          <w:pPr>
            <w:pStyle w:val="AboutAIRLocations"/>
          </w:pPr>
          <w:r w:rsidRPr="0032382F">
            <w:t xml:space="preserve">ABOUT AMERICAN </w:t>
          </w:r>
          <w:r w:rsidRPr="005B6925">
            <w:t>INSTITUTES</w:t>
          </w:r>
          <w:r w:rsidRPr="0032382F">
            <w:t xml:space="preserve"> FOR RESEARCH</w:t>
          </w:r>
        </w:p>
        <w:p w:rsidR="00C157EC" w:rsidRPr="0032382F" w:rsidRDefault="00C157EC" w:rsidP="00C157EC">
          <w:pPr>
            <w:pStyle w:val="AboutAIRText"/>
          </w:pPr>
          <w:r w:rsidRPr="0032382F">
            <w:t xml:space="preserve">Established in 1946, with headquarters in Washington, D.C., American Institutes for Research (AIR) is an independent, nonpartisan, not-for-profit organization that conducts behavioral and social science research and delivers technical assistance both domestically and internationally. As one of the largest behavioral and social </w:t>
          </w:r>
          <w:r w:rsidRPr="005B6925">
            <w:t>science</w:t>
          </w:r>
          <w:r w:rsidRPr="0032382F">
            <w:t xml:space="preserve"> research organizations in the world, AIR is committed to empowering communities and institutions with innovative solutions to the most critical challenges in education, health, workforce,</w:t>
          </w:r>
          <w:r>
            <w:t xml:space="preserve"> and international development.</w:t>
          </w:r>
        </w:p>
        <w:p w:rsidR="00C157EC" w:rsidRPr="0032382F" w:rsidRDefault="00C157EC" w:rsidP="00C157EC">
          <w:pPr>
            <w:pStyle w:val="CoverBackLogo"/>
          </w:pPr>
          <w:r w:rsidRPr="0032382F">
            <w:rPr>
              <w:noProof/>
              <w:lang w:eastAsia="zh-CN" w:bidi="km-KH"/>
            </w:rPr>
            <w:drawing>
              <wp:inline distT="0" distB="0" distL="0" distR="0">
                <wp:extent cx="1993392" cy="777240"/>
                <wp:effectExtent l="0" t="0" r="6985" b="3810"/>
                <wp:docPr id="5"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0"/>
                        <pic:cNvPicPr>
                          <a:picLocks noChangeAspect="1" noChangeArrowheads="1"/>
                        </pic:cNvPicPr>
                      </pic:nvPicPr>
                      <pic:blipFill>
                        <a:blip r:embed="rId8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993392" cy="777240"/>
                        </a:xfrm>
                        <a:prstGeom prst="rect">
                          <a:avLst/>
                        </a:prstGeom>
                        <a:noFill/>
                        <a:extLst/>
                      </pic:spPr>
                    </pic:pic>
                  </a:graphicData>
                </a:graphic>
              </wp:inline>
            </w:drawing>
          </w:r>
        </w:p>
        <w:p w:rsidR="00C157EC" w:rsidRPr="0032382F" w:rsidRDefault="00C157EC" w:rsidP="00C157EC">
          <w:pPr>
            <w:pStyle w:val="CoverBackAddress"/>
          </w:pPr>
          <w:r w:rsidRPr="0079408F">
            <w:t>1000 Thomas Jefferson Street NW</w:t>
          </w:r>
          <w:r w:rsidRPr="0079408F">
            <w:br/>
            <w:t>Washington, DC 20007-3835</w:t>
          </w:r>
          <w:r w:rsidRPr="0079408F">
            <w:br/>
            <w:t>202.403.5000</w:t>
          </w:r>
        </w:p>
        <w:p w:rsidR="00C157EC" w:rsidRPr="0032382F" w:rsidRDefault="00C157EC" w:rsidP="00C157EC">
          <w:pPr>
            <w:pStyle w:val="CoverBackURL"/>
          </w:pPr>
          <w:r w:rsidRPr="0032382F">
            <w:t>www.air.org</w:t>
          </w:r>
        </w:p>
        <w:p w:rsidR="00C157EC" w:rsidRPr="004F3D6F" w:rsidRDefault="00C157EC" w:rsidP="00C157EC">
          <w:pPr>
            <w:pStyle w:val="CoverBackTagline"/>
          </w:pPr>
          <w:r w:rsidRPr="004F3D6F">
            <w:rPr>
              <w:noProof/>
              <w:lang w:eastAsia="zh-CN" w:bidi="km-KH"/>
            </w:rPr>
            <w:drawing>
              <wp:inline distT="0" distB="0" distL="0" distR="0">
                <wp:extent cx="2730844" cy="333632"/>
                <wp:effectExtent l="0" t="0" r="0" b="9525"/>
                <wp:docPr id="8" name="Picture 1" descr="Making Research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 descr="C_Tagline Gray.png"/>
                        <pic:cNvPicPr>
                          <a:picLocks noChangeAspect="1" noChangeArrowheads="1"/>
                        </pic:cNvPicPr>
                      </pic:nvPicPr>
                      <pic:blipFill>
                        <a:blip r:embed="rId8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844" cy="333632"/>
                        </a:xfrm>
                        <a:prstGeom prst="rect">
                          <a:avLst/>
                        </a:prstGeom>
                        <a:noFill/>
                        <a:extLst/>
                      </pic:spPr>
                    </pic:pic>
                  </a:graphicData>
                </a:graphic>
              </wp:inline>
            </w:drawing>
          </w:r>
        </w:p>
      </w:sdtContent>
    </w:sdt>
    <w:p w:rsidR="00C157EC" w:rsidRPr="0032382F" w:rsidRDefault="00C157EC" w:rsidP="00C157EC">
      <w:pPr>
        <w:pStyle w:val="AboutAIRLocations"/>
      </w:pPr>
      <w:r w:rsidRPr="0032382F">
        <w:br w:type="column"/>
        <w:t>LOCATIONS</w:t>
      </w:r>
    </w:p>
    <w:p w:rsidR="00C157EC" w:rsidRPr="0032382F" w:rsidRDefault="00C157EC" w:rsidP="00C157EC">
      <w:pPr>
        <w:pStyle w:val="AboutAIRLocations"/>
      </w:pPr>
      <w:r w:rsidRPr="0032382F">
        <w:t>Domestic</w:t>
      </w:r>
    </w:p>
    <w:p w:rsidR="00C157EC" w:rsidRPr="0032382F" w:rsidRDefault="00C157EC" w:rsidP="00C157EC">
      <w:pPr>
        <w:pStyle w:val="AIRLocations"/>
      </w:pPr>
      <w:r w:rsidRPr="0032382F">
        <w:t>Washington, D.C.</w:t>
      </w:r>
    </w:p>
    <w:p w:rsidR="00C157EC" w:rsidRPr="0032382F" w:rsidRDefault="00C157EC" w:rsidP="00C157EC">
      <w:pPr>
        <w:pStyle w:val="AIRLocations"/>
      </w:pPr>
      <w:r w:rsidRPr="0032382F">
        <w:t>Atlanta, GA</w:t>
      </w:r>
    </w:p>
    <w:p w:rsidR="00C157EC" w:rsidRPr="0032382F" w:rsidRDefault="00C157EC" w:rsidP="00C157EC">
      <w:pPr>
        <w:pStyle w:val="AIRLocations"/>
      </w:pPr>
      <w:r w:rsidRPr="0032382F">
        <w:t>Austin, TX</w:t>
      </w:r>
    </w:p>
    <w:p w:rsidR="00C157EC" w:rsidRPr="0032382F" w:rsidRDefault="00C157EC" w:rsidP="00C157EC">
      <w:pPr>
        <w:pStyle w:val="AIRLocations"/>
      </w:pPr>
      <w:r w:rsidRPr="0032382F">
        <w:t>Baltimore, MD</w:t>
      </w:r>
    </w:p>
    <w:p w:rsidR="00C157EC" w:rsidRPr="0032382F" w:rsidRDefault="00C157EC" w:rsidP="00C157EC">
      <w:pPr>
        <w:pStyle w:val="AIRLocations"/>
      </w:pPr>
      <w:r w:rsidRPr="0032382F">
        <w:t>Cayce, SC</w:t>
      </w:r>
    </w:p>
    <w:p w:rsidR="00C157EC" w:rsidRPr="0032382F" w:rsidRDefault="00C157EC" w:rsidP="00C157EC">
      <w:pPr>
        <w:pStyle w:val="AIRLocations"/>
      </w:pPr>
      <w:r w:rsidRPr="0032382F">
        <w:t>Chapel Hill, NC</w:t>
      </w:r>
    </w:p>
    <w:p w:rsidR="00C157EC" w:rsidRPr="0032382F" w:rsidRDefault="00C157EC" w:rsidP="00C157EC">
      <w:pPr>
        <w:pStyle w:val="AIRLocations"/>
      </w:pPr>
      <w:r w:rsidRPr="0032382F">
        <w:t>Chicago, IL</w:t>
      </w:r>
    </w:p>
    <w:p w:rsidR="00C157EC" w:rsidRPr="0032382F" w:rsidRDefault="00C157EC" w:rsidP="00C157EC">
      <w:pPr>
        <w:pStyle w:val="AIRLocations"/>
      </w:pPr>
      <w:r w:rsidRPr="0032382F">
        <w:t>Columbus, OH</w:t>
      </w:r>
    </w:p>
    <w:p w:rsidR="00C157EC" w:rsidRPr="0032382F" w:rsidRDefault="00C157EC" w:rsidP="00C157EC">
      <w:pPr>
        <w:pStyle w:val="AIRLocations"/>
      </w:pPr>
      <w:r w:rsidRPr="0032382F">
        <w:t>Frederick, MD</w:t>
      </w:r>
    </w:p>
    <w:p w:rsidR="00C157EC" w:rsidRPr="0032382F" w:rsidRDefault="00C157EC" w:rsidP="00C157EC">
      <w:pPr>
        <w:pStyle w:val="AIRLocations"/>
      </w:pPr>
      <w:r w:rsidRPr="0032382F">
        <w:t>Honolulu, HI</w:t>
      </w:r>
    </w:p>
    <w:p w:rsidR="00C157EC" w:rsidRPr="0032382F" w:rsidRDefault="00C157EC" w:rsidP="00C157EC">
      <w:pPr>
        <w:pStyle w:val="AIRLocations"/>
      </w:pPr>
      <w:r w:rsidRPr="0032382F">
        <w:t>Indianapolis, IN</w:t>
      </w:r>
    </w:p>
    <w:p w:rsidR="00C157EC" w:rsidRPr="0032382F" w:rsidRDefault="00C157EC" w:rsidP="00C157EC">
      <w:pPr>
        <w:pStyle w:val="AIRLocations"/>
      </w:pPr>
      <w:r w:rsidRPr="0032382F">
        <w:t>Metairie, LA</w:t>
      </w:r>
    </w:p>
    <w:p w:rsidR="00C157EC" w:rsidRPr="0032382F" w:rsidRDefault="00C157EC" w:rsidP="00C157EC">
      <w:pPr>
        <w:pStyle w:val="AIRLocations"/>
      </w:pPr>
      <w:r w:rsidRPr="0032382F">
        <w:t>Naperville, IL</w:t>
      </w:r>
    </w:p>
    <w:p w:rsidR="00C157EC" w:rsidRPr="0032382F" w:rsidRDefault="00C157EC" w:rsidP="00C157EC">
      <w:pPr>
        <w:pStyle w:val="AIRLocations"/>
      </w:pPr>
      <w:r w:rsidRPr="0032382F">
        <w:t>New York, NY</w:t>
      </w:r>
    </w:p>
    <w:p w:rsidR="00C157EC" w:rsidRPr="0032382F" w:rsidRDefault="00C157EC" w:rsidP="00C157EC">
      <w:pPr>
        <w:pStyle w:val="AIRLocations"/>
      </w:pPr>
      <w:r w:rsidRPr="0032382F">
        <w:t>Rockville, MD</w:t>
      </w:r>
    </w:p>
    <w:p w:rsidR="00C157EC" w:rsidRPr="0032382F" w:rsidRDefault="00C157EC" w:rsidP="00C157EC">
      <w:pPr>
        <w:pStyle w:val="AIRLocations"/>
      </w:pPr>
      <w:r w:rsidRPr="0032382F">
        <w:t>Sacramento, CA</w:t>
      </w:r>
    </w:p>
    <w:p w:rsidR="00C157EC" w:rsidRPr="0032382F" w:rsidRDefault="00C157EC" w:rsidP="00C157EC">
      <w:pPr>
        <w:pStyle w:val="AIRLocations"/>
      </w:pPr>
      <w:r w:rsidRPr="0032382F">
        <w:t>San Mateo, CA</w:t>
      </w:r>
    </w:p>
    <w:p w:rsidR="00C157EC" w:rsidRPr="0032382F" w:rsidRDefault="00C157EC" w:rsidP="00C157EC">
      <w:pPr>
        <w:pStyle w:val="AIRLocations"/>
      </w:pPr>
      <w:r w:rsidRPr="0032382F">
        <w:t>Waltham, MA</w:t>
      </w:r>
    </w:p>
    <w:p w:rsidR="00C157EC" w:rsidRPr="0032382F" w:rsidRDefault="00C157EC" w:rsidP="00C157EC">
      <w:pPr>
        <w:pStyle w:val="AboutAIRLocations"/>
      </w:pPr>
      <w:r w:rsidRPr="0032382F">
        <w:t>International</w:t>
      </w:r>
    </w:p>
    <w:p w:rsidR="00C157EC" w:rsidRPr="0032382F" w:rsidRDefault="00C157EC" w:rsidP="00C157EC">
      <w:pPr>
        <w:pStyle w:val="AIRLocations"/>
      </w:pPr>
      <w:r w:rsidRPr="0032382F">
        <w:t>Egypt</w:t>
      </w:r>
    </w:p>
    <w:p w:rsidR="00C157EC" w:rsidRPr="0032382F" w:rsidRDefault="00C157EC" w:rsidP="00C157EC">
      <w:pPr>
        <w:pStyle w:val="AIRLocations"/>
      </w:pPr>
      <w:r w:rsidRPr="0032382F">
        <w:t>Honduras</w:t>
      </w:r>
    </w:p>
    <w:p w:rsidR="00C157EC" w:rsidRPr="0032382F" w:rsidRDefault="00C157EC" w:rsidP="00C157EC">
      <w:pPr>
        <w:pStyle w:val="AIRLocations"/>
      </w:pPr>
      <w:r w:rsidRPr="0032382F">
        <w:t>Ivory Coast</w:t>
      </w:r>
    </w:p>
    <w:p w:rsidR="00C157EC" w:rsidRPr="0032382F" w:rsidRDefault="00C157EC" w:rsidP="00C157EC">
      <w:pPr>
        <w:pStyle w:val="AIRLocations"/>
      </w:pPr>
      <w:r w:rsidRPr="0032382F">
        <w:t>Kyrgyzstan</w:t>
      </w:r>
    </w:p>
    <w:p w:rsidR="00C157EC" w:rsidRPr="0032382F" w:rsidRDefault="00C157EC" w:rsidP="00C157EC">
      <w:pPr>
        <w:pStyle w:val="AIRLocations"/>
      </w:pPr>
      <w:r w:rsidRPr="0032382F">
        <w:t>Liberia</w:t>
      </w:r>
    </w:p>
    <w:p w:rsidR="00C157EC" w:rsidRPr="0032382F" w:rsidRDefault="00C157EC" w:rsidP="00C157EC">
      <w:pPr>
        <w:pStyle w:val="AIRLocations"/>
      </w:pPr>
      <w:r w:rsidRPr="0032382F">
        <w:t>Tajikistan</w:t>
      </w:r>
    </w:p>
    <w:p w:rsidR="00C157EC" w:rsidRPr="005B6925" w:rsidRDefault="00C157EC" w:rsidP="00C157EC">
      <w:pPr>
        <w:pStyle w:val="AIRLocations"/>
      </w:pPr>
      <w:r w:rsidRPr="0032382F">
        <w:t>Zambia</w:t>
      </w:r>
    </w:p>
    <w:p w:rsidR="00C157EC" w:rsidRDefault="00C157EC" w:rsidP="00C157EC"/>
    <w:p w:rsidR="00787A89" w:rsidRPr="005B6925" w:rsidRDefault="00787A89" w:rsidP="00C157EC">
      <w:pPr>
        <w:pStyle w:val="Heading2"/>
      </w:pPr>
    </w:p>
    <w:sectPr w:rsidR="00787A89" w:rsidRPr="005B6925" w:rsidSect="005B6925">
      <w:footerReference w:type="default" r:id="rId84"/>
      <w:footerReference w:type="first" r:id="rId85"/>
      <w:pgSz w:w="12240" w:h="15840" w:code="1"/>
      <w:pgMar w:top="1440" w:right="1440" w:bottom="1440" w:left="1440" w:header="720" w:footer="720" w:gutter="0"/>
      <w:pgNumType w:start="1"/>
      <w:cols w:num="2" w:sep="1" w:space="720" w:equalWidth="0">
        <w:col w:w="6840" w:space="720"/>
        <w:col w:w="1800"/>
      </w:cols>
      <w:docGrid w:linePitch="360"/>
    </w:sectPr>
  </w:body>
</w:document>
</file>

<file path=word/customizations.xml><?xml version="1.0" encoding="utf-8"?>
<wne:tcg xmlns:r="http://schemas.openxmlformats.org/officeDocument/2006/relationships" xmlns:wne="http://schemas.microsoft.com/office/word/2006/wordml">
  <wne:keymaps>
    <wne:keymap wne:kcmPrimary="0342">
      <wne:acd wne:acdName="acd0"/>
    </wne:keymap>
    <wne:keymap wne:kcmPrimary="0631">
      <wne:acd wne:acdName="acd1"/>
    </wne:keymap>
    <wne:keymap wne:kcmPrimary="0632">
      <wne:acd wne:acdName="acd2"/>
    </wne:keymap>
    <wne:keymap wne:kcmPrimary="0633">
      <wne:acd wne:acdName="acd3"/>
    </wne:keymap>
    <wne:keymap wne:kcmPrimary="0634">
      <wne:acd wne:acdName="acd4"/>
    </wne:keymap>
    <wne:keymap wne:kcmPrimary="0635">
      <wne:acd wne:acdName="acd5"/>
    </wne:keymap>
    <wne:keymap wne:kcmPrimary="0636">
      <wne:acd wne:acdName="acd6"/>
    </wne:keymap>
  </wne:keymaps>
  <wne:toolbars>
    <wne:acdManifest>
      <wne:acdEntry wne:acdName="acd0"/>
      <wne:acdEntry wne:acdName="acd1"/>
      <wne:acdEntry wne:acdName="acd2"/>
      <wne:acdEntry wne:acdName="acd3"/>
      <wne:acdEntry wne:acdName="acd4"/>
      <wne:acdEntry wne:acdName="acd5"/>
      <wne:acdEntry wne:acdName="acd6"/>
    </wne:acdManifest>
  </wne:toolbars>
  <wne:acds>
    <wne:acd wne:argValue="AQAAAEI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QAAAAUA" wne:acdName="acd5" wne:fciIndexBasedOn="0065"/>
    <wne:acd wne:argValue="AQAAAAYA" wne:acdName="acd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B08" w:rsidRDefault="009C4B08" w:rsidP="00F712CC">
      <w:r>
        <w:separator/>
      </w:r>
    </w:p>
    <w:p w:rsidR="009C4B08" w:rsidRDefault="009C4B08"/>
  </w:endnote>
  <w:endnote w:type="continuationSeparator" w:id="0">
    <w:p w:rsidR="009C4B08" w:rsidRDefault="009C4B08" w:rsidP="00F712CC">
      <w:r>
        <w:continuationSeparator/>
      </w:r>
    </w:p>
    <w:p w:rsidR="009C4B08" w:rsidRDefault="009C4B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DaunPenh">
    <w:panose1 w:val="01010101010101010101"/>
    <w:charset w:val="00"/>
    <w:family w:val="auto"/>
    <w:pitch w:val="variable"/>
    <w:sig w:usb0="A00000EF" w:usb1="5000204A" w:usb2="00010000" w:usb3="00000000" w:csb0="0000011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Pr="002516BD" w:rsidRDefault="009C4B08" w:rsidP="002516BD">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Pr="0060363E" w:rsidRDefault="009C4B08" w:rsidP="00787A89">
    <w:pPr>
      <w:pStyle w:val="Footer"/>
      <w:rPr>
        <w:rFonts w:eastAsiaTheme="minorEastAsia" w:cstheme="minorHAns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Pr="0060363E" w:rsidRDefault="009C4B08" w:rsidP="005861B8">
    <w:pPr>
      <w:pStyle w:val="PubID"/>
    </w:pPr>
    <w:r w:rsidRPr="00566DA6">
      <w:t>4469_12/15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Pr="008F5A9F" w:rsidRDefault="009C4B08" w:rsidP="008F5A9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Pr="00C157EC" w:rsidRDefault="009C4B08" w:rsidP="00C157EC">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C157EC">
      <w:rPr>
        <w:rFonts w:eastAsiaTheme="minorEastAsia" w:cstheme="minorHAnsi"/>
      </w:rPr>
      <w:t>Massachusetts Study of Teacher Supply and Demand</w:t>
    </w:r>
    <w:r w:rsidRPr="0060363E">
      <w:rPr>
        <w:rFonts w:eastAsiaTheme="minorEastAsia" w:cstheme="minorHAnsi"/>
      </w:rPr>
      <w:t>—</w:t>
    </w:r>
    <w:r w:rsidR="002555E4" w:rsidRPr="0060363E">
      <w:rPr>
        <w:rFonts w:eastAsiaTheme="minorEastAsia" w:cstheme="minorHAnsi"/>
      </w:rPr>
      <w:fldChar w:fldCharType="begin"/>
    </w:r>
    <w:r w:rsidRPr="0060363E">
      <w:rPr>
        <w:rFonts w:eastAsiaTheme="minorEastAsia" w:cstheme="minorHAnsi"/>
      </w:rPr>
      <w:instrText xml:space="preserve"> PAGE </w:instrText>
    </w:r>
    <w:r w:rsidR="002555E4" w:rsidRPr="0060363E">
      <w:rPr>
        <w:rFonts w:eastAsiaTheme="minorEastAsia" w:cstheme="minorHAnsi"/>
      </w:rPr>
      <w:fldChar w:fldCharType="separate"/>
    </w:r>
    <w:r w:rsidR="000412BB">
      <w:rPr>
        <w:rFonts w:eastAsiaTheme="minorEastAsia" w:cstheme="minorHAnsi"/>
        <w:noProof/>
      </w:rPr>
      <w:t>10</w:t>
    </w:r>
    <w:r w:rsidR="002555E4" w:rsidRPr="0060363E">
      <w:rPr>
        <w:rFonts w:eastAsiaTheme="minorEastAsia" w:cstheme="minorHAnsi"/>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Pr="00C157EC" w:rsidRDefault="009C4B08" w:rsidP="00C157EC">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C157EC">
      <w:rPr>
        <w:rFonts w:eastAsiaTheme="minorEastAsia" w:cstheme="minorHAnsi"/>
      </w:rPr>
      <w:t>Massachusetts Study of Teacher Supply and Demand</w:t>
    </w:r>
    <w:r w:rsidRPr="0060363E">
      <w:rPr>
        <w:rFonts w:eastAsiaTheme="minorEastAsia" w:cstheme="minorHAnsi"/>
      </w:rPr>
      <w:t>—</w:t>
    </w:r>
    <w:r>
      <w:rPr>
        <w:rFonts w:eastAsiaTheme="minorEastAsia" w:cstheme="minorHAnsi"/>
      </w:rPr>
      <w:t>A-</w:t>
    </w:r>
    <w:r w:rsidR="002555E4" w:rsidRPr="0060363E">
      <w:rPr>
        <w:rFonts w:eastAsiaTheme="minorEastAsia" w:cstheme="minorHAnsi"/>
      </w:rPr>
      <w:fldChar w:fldCharType="begin"/>
    </w:r>
    <w:r w:rsidRPr="0060363E">
      <w:rPr>
        <w:rFonts w:eastAsiaTheme="minorEastAsia" w:cstheme="minorHAnsi"/>
      </w:rPr>
      <w:instrText xml:space="preserve"> PAGE </w:instrText>
    </w:r>
    <w:r w:rsidR="002555E4" w:rsidRPr="0060363E">
      <w:rPr>
        <w:rFonts w:eastAsiaTheme="minorEastAsia" w:cstheme="minorHAnsi"/>
      </w:rPr>
      <w:fldChar w:fldCharType="separate"/>
    </w:r>
    <w:r w:rsidR="000412BB">
      <w:rPr>
        <w:rFonts w:eastAsiaTheme="minorEastAsia" w:cstheme="minorHAnsi"/>
        <w:noProof/>
      </w:rPr>
      <w:t>19</w:t>
    </w:r>
    <w:r w:rsidR="002555E4" w:rsidRPr="0060363E">
      <w:rPr>
        <w:rFonts w:eastAsiaTheme="minorEastAsia" w:cstheme="minorHAnsi"/>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Pr="008F5A9F" w:rsidRDefault="009C4B08" w:rsidP="008F5A9F">
    <w:pPr>
      <w:pStyle w:val="Footer"/>
    </w:pPr>
  </w:p>
  <w:p w:rsidR="009C4B08" w:rsidRDefault="009C4B0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Pr="00C157EC" w:rsidRDefault="009C4B08" w:rsidP="00C157EC">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C157EC">
      <w:rPr>
        <w:rFonts w:eastAsiaTheme="minorEastAsia" w:cstheme="minorHAnsi"/>
      </w:rPr>
      <w:t>Massachusetts Study of Teacher Supply and Demand</w:t>
    </w:r>
    <w:r w:rsidRPr="0060363E">
      <w:rPr>
        <w:rFonts w:eastAsiaTheme="minorEastAsia" w:cstheme="minorHAnsi"/>
      </w:rPr>
      <w:t>—</w:t>
    </w:r>
    <w:r>
      <w:rPr>
        <w:rFonts w:eastAsiaTheme="minorEastAsia" w:cstheme="minorHAnsi"/>
      </w:rPr>
      <w:t>B-</w:t>
    </w:r>
    <w:r w:rsidR="002555E4" w:rsidRPr="0060363E">
      <w:rPr>
        <w:rFonts w:eastAsiaTheme="minorEastAsia" w:cstheme="minorHAnsi"/>
      </w:rPr>
      <w:fldChar w:fldCharType="begin"/>
    </w:r>
    <w:r w:rsidRPr="0060363E">
      <w:rPr>
        <w:rFonts w:eastAsiaTheme="minorEastAsia" w:cstheme="minorHAnsi"/>
      </w:rPr>
      <w:instrText xml:space="preserve"> PAGE </w:instrText>
    </w:r>
    <w:r w:rsidR="002555E4" w:rsidRPr="0060363E">
      <w:rPr>
        <w:rFonts w:eastAsiaTheme="minorEastAsia" w:cstheme="minorHAnsi"/>
      </w:rPr>
      <w:fldChar w:fldCharType="separate"/>
    </w:r>
    <w:r w:rsidR="000412BB">
      <w:rPr>
        <w:rFonts w:eastAsiaTheme="minorEastAsia" w:cstheme="minorHAnsi"/>
        <w:noProof/>
      </w:rPr>
      <w:t>20</w:t>
    </w:r>
    <w:r w:rsidR="002555E4" w:rsidRPr="0060363E">
      <w:rPr>
        <w:rFonts w:eastAsiaTheme="minorEastAsia" w:cstheme="minorHAnsi"/>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Pr="00C157EC" w:rsidRDefault="009C4B08" w:rsidP="00C157EC">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sidRPr="00C157EC">
      <w:rPr>
        <w:rFonts w:eastAsiaTheme="minorEastAsia" w:cstheme="minorHAnsi"/>
      </w:rPr>
      <w:t>Massachusetts Study of Teacher Supply and Demand</w:t>
    </w:r>
    <w:r w:rsidRPr="0060363E">
      <w:rPr>
        <w:rFonts w:eastAsiaTheme="minorEastAsia" w:cstheme="minorHAnsi"/>
      </w:rPr>
      <w:t>—</w:t>
    </w:r>
    <w:r>
      <w:rPr>
        <w:rFonts w:eastAsiaTheme="minorEastAsia" w:cstheme="minorHAnsi"/>
      </w:rPr>
      <w:t>C-</w:t>
    </w:r>
    <w:r w:rsidR="002555E4" w:rsidRPr="0060363E">
      <w:rPr>
        <w:rFonts w:eastAsiaTheme="minorEastAsia" w:cstheme="minorHAnsi"/>
      </w:rPr>
      <w:fldChar w:fldCharType="begin"/>
    </w:r>
    <w:r w:rsidRPr="0060363E">
      <w:rPr>
        <w:rFonts w:eastAsiaTheme="minorEastAsia" w:cstheme="minorHAnsi"/>
      </w:rPr>
      <w:instrText xml:space="preserve"> PAGE </w:instrText>
    </w:r>
    <w:r w:rsidR="002555E4" w:rsidRPr="0060363E">
      <w:rPr>
        <w:rFonts w:eastAsiaTheme="minorEastAsia" w:cstheme="minorHAnsi"/>
      </w:rPr>
      <w:fldChar w:fldCharType="separate"/>
    </w:r>
    <w:r w:rsidR="000412BB">
      <w:rPr>
        <w:rFonts w:eastAsiaTheme="minorEastAsia" w:cstheme="minorHAnsi"/>
        <w:noProof/>
      </w:rPr>
      <w:t>17</w:t>
    </w:r>
    <w:r w:rsidR="002555E4" w:rsidRPr="0060363E">
      <w:rPr>
        <w:rFonts w:eastAsiaTheme="minorEastAsia" w:cstheme="minorHAnsi"/>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Pr="004C508F" w:rsidRDefault="009C4B08" w:rsidP="00787A89">
    <w:pPr>
      <w:pStyle w:val="CoverBackFooter"/>
    </w:pPr>
    <w:r w:rsidRPr="0079408F">
      <w:t>4469_12/15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B08" w:rsidRDefault="009C4B08" w:rsidP="00F712CC">
      <w:r>
        <w:separator/>
      </w:r>
    </w:p>
  </w:footnote>
  <w:footnote w:type="continuationSeparator" w:id="0">
    <w:p w:rsidR="009C4B08" w:rsidRDefault="009C4B08" w:rsidP="00F712CC">
      <w:r>
        <w:continuationSeparator/>
      </w:r>
    </w:p>
  </w:footnote>
  <w:footnote w:type="continuationNotice" w:id="1">
    <w:p w:rsidR="009C4B08" w:rsidRDefault="009C4B08"/>
  </w:footnote>
  <w:footnote w:id="2">
    <w:p w:rsidR="009C4B08" w:rsidRDefault="009C4B08" w:rsidP="00C157EC">
      <w:pPr>
        <w:pStyle w:val="FootnoteText"/>
        <w:tabs>
          <w:tab w:val="left" w:pos="735"/>
        </w:tabs>
      </w:pPr>
      <w:r>
        <w:rPr>
          <w:rStyle w:val="FootnoteReference"/>
        </w:rPr>
        <w:footnoteRef/>
      </w:r>
      <w:r>
        <w:t xml:space="preserve"> </w:t>
      </w:r>
      <w:r w:rsidRPr="00616EF3">
        <w:t>Table</w:t>
      </w:r>
      <w:r>
        <w:t xml:space="preserve"> A1 in Appendix A includes Internet links to the locations of these data sources.</w:t>
      </w:r>
      <w:r>
        <w:tab/>
      </w:r>
    </w:p>
  </w:footnote>
  <w:footnote w:id="3">
    <w:p w:rsidR="009C4B08" w:rsidRDefault="009C4B08" w:rsidP="002C5575">
      <w:pPr>
        <w:pStyle w:val="Footer"/>
      </w:pPr>
      <w:r>
        <w:rPr>
          <w:rStyle w:val="FootnoteReference"/>
        </w:rPr>
        <w:footnoteRef/>
      </w:r>
      <w:r>
        <w:t xml:space="preserve"> </w:t>
      </w:r>
      <w:r w:rsidRPr="007E43DF">
        <w:t xml:space="preserve">The reports that </w:t>
      </w:r>
      <w:r>
        <w:t xml:space="preserve">were </w:t>
      </w:r>
      <w:r w:rsidRPr="007E43DF">
        <w:t>use</w:t>
      </w:r>
      <w:r>
        <w:t>d</w:t>
      </w:r>
      <w:r w:rsidRPr="007E43DF">
        <w:t xml:space="preserve"> include</w:t>
      </w:r>
      <w:r>
        <w:t xml:space="preserve">d </w:t>
      </w:r>
      <w:r w:rsidRPr="007E43DF">
        <w:t xml:space="preserve">the following: Employment </w:t>
      </w:r>
      <w:r>
        <w:t xml:space="preserve">of </w:t>
      </w:r>
      <w:r w:rsidRPr="007E43DF">
        <w:t>Ed</w:t>
      </w:r>
      <w:r>
        <w:t>ucation</w:t>
      </w:r>
      <w:r w:rsidRPr="007E43DF">
        <w:t xml:space="preserve"> Prep</w:t>
      </w:r>
      <w:r>
        <w:t>aration</w:t>
      </w:r>
      <w:r w:rsidRPr="007E43DF">
        <w:t xml:space="preserve"> </w:t>
      </w:r>
      <w:r>
        <w:t xml:space="preserve">Completers </w:t>
      </w:r>
      <w:r w:rsidRPr="007E43DF">
        <w:t xml:space="preserve">by Program/Program Characteristics/Year, </w:t>
      </w:r>
      <w:r>
        <w:t xml:space="preserve">Ed Prep Candidate Enrollment by Race/Gender, </w:t>
      </w:r>
      <w:r w:rsidRPr="007E43DF">
        <w:t>Student Enrollment by Grade/Race/Gender, Staffing Retention Rates, Staffing Age Report, Selected Populations Report, Race/Ethnicity and Gender Staffing Report, Teacher by Program Area Report, and Teacher Data Report.</w:t>
      </w:r>
    </w:p>
  </w:footnote>
  <w:footnote w:id="4">
    <w:p w:rsidR="009C4B08" w:rsidRDefault="009C4B08" w:rsidP="00C157EC">
      <w:pPr>
        <w:pStyle w:val="FootnoteText"/>
      </w:pPr>
      <w:r>
        <w:rPr>
          <w:rStyle w:val="FootnoteReference"/>
        </w:rPr>
        <w:footnoteRef/>
      </w:r>
      <w:r>
        <w:t xml:space="preserve"> Table A1 in Appendix A includes Internet links to the locations of these data sources.</w:t>
      </w:r>
    </w:p>
  </w:footnote>
  <w:footnote w:id="5">
    <w:p w:rsidR="009C4B08" w:rsidRDefault="009C4B08" w:rsidP="00C157EC">
      <w:pPr>
        <w:pStyle w:val="FootnoteText"/>
      </w:pPr>
      <w:r>
        <w:rPr>
          <w:rStyle w:val="FootnoteReference"/>
        </w:rPr>
        <w:footnoteRef/>
      </w:r>
      <w:r>
        <w:t xml:space="preserve"> The </w:t>
      </w:r>
      <w:r w:rsidRPr="007E43DF">
        <w:t>NCES categorizes schools and districts in 12 urban-centric locale types based on population and proximity to urban areas as follows: City-Large, City- Midsize, City-Small, Suburb-Large, Suburb-Midsize, Suburb-Small, Town-Fringe, Town-Distant, Town-Remote, Rural-Fringe, Rural-Distant, and Rural-Remote.</w:t>
      </w:r>
      <w:r>
        <w:t xml:space="preserve"> Additional information on these data can be found at </w:t>
      </w:r>
      <w:hyperlink r:id="rId1" w:history="1">
        <w:r w:rsidRPr="00844177">
          <w:rPr>
            <w:rStyle w:val="Hyperlink"/>
          </w:rPr>
          <w:t>https://nces.ed.gov/ccd/aboutCCD.asp</w:t>
        </w:r>
      </w:hyperlink>
    </w:p>
  </w:footnote>
  <w:footnote w:id="6">
    <w:p w:rsidR="009C4B08" w:rsidRDefault="009C4B08" w:rsidP="00C157EC">
      <w:r>
        <w:rPr>
          <w:rStyle w:val="FootnoteReference"/>
        </w:rPr>
        <w:footnoteRef/>
      </w:r>
      <w:r>
        <w:t xml:space="preserve"> </w:t>
      </w:r>
      <w:r w:rsidRPr="0044505A">
        <w:rPr>
          <w:sz w:val="20"/>
          <w:szCs w:val="20"/>
        </w:rPr>
        <w:t>A more detailed summary of the methods used to project enrollment can be found in Appendix A.</w:t>
      </w:r>
    </w:p>
  </w:footnote>
  <w:footnote w:id="7">
    <w:p w:rsidR="009C4B08" w:rsidRDefault="009C4B08" w:rsidP="00C157EC">
      <w:pPr>
        <w:pStyle w:val="FootnoteText"/>
      </w:pPr>
      <w:r>
        <w:rPr>
          <w:rStyle w:val="FootnoteReference"/>
        </w:rPr>
        <w:footnoteRef/>
      </w:r>
      <w:r>
        <w:t xml:space="preserve"> Modeling the pupil–teacher ratio as a function of several</w:t>
      </w:r>
      <w:r w:rsidRPr="00AA7EEC">
        <w:t xml:space="preserve"> </w:t>
      </w:r>
      <w:r>
        <w:t>factors and predicting trends for future years assumes</w:t>
      </w:r>
      <w:r w:rsidRPr="00AA7EEC">
        <w:t xml:space="preserve"> that historical trends in pupil</w:t>
      </w:r>
      <w:r>
        <w:t>–</w:t>
      </w:r>
      <w:r w:rsidRPr="00AA7EEC">
        <w:t xml:space="preserve">teacher ratios </w:t>
      </w:r>
      <w:r>
        <w:t xml:space="preserve">based on the estimated relationships </w:t>
      </w:r>
      <w:r w:rsidRPr="00AA7EEC">
        <w:t>would persist over the next 10 years</w:t>
      </w:r>
      <w:r>
        <w:t>. However, the predictions resulting from the models that were run yielded much larger changes in pupil–teacher ratios over future years than were thought to be realistic; therefore, this assumption</w:t>
      </w:r>
      <w:r w:rsidRPr="00AA7EEC">
        <w:t xml:space="preserve"> was not </w:t>
      </w:r>
      <w:r>
        <w:t xml:space="preserve">considered as </w:t>
      </w:r>
      <w:r w:rsidRPr="00AA7EEC">
        <w:t>reasonable</w:t>
      </w:r>
      <w:r>
        <w:t xml:space="preserve"> in assuming the districts will maintain their average ratio over recent years</w:t>
      </w:r>
      <w:r w:rsidRPr="00AA7EEC">
        <w:t>.</w:t>
      </w:r>
    </w:p>
  </w:footnote>
  <w:footnote w:id="8">
    <w:p w:rsidR="009C4B08" w:rsidRDefault="009C4B08" w:rsidP="00C157EC">
      <w:pPr>
        <w:pStyle w:val="FootnoteText"/>
      </w:pPr>
      <w:r>
        <w:rPr>
          <w:rStyle w:val="FootnoteReference"/>
        </w:rPr>
        <w:footnoteRef/>
      </w:r>
      <w:r>
        <w:t xml:space="preserve"> The supply subcomponent of retained teachers was also analyzed, but </w:t>
      </w:r>
      <w:r w:rsidRPr="00146F75">
        <w:t>because of additional uncertainty in these measurements</w:t>
      </w:r>
      <w:r>
        <w:t xml:space="preserve"> they are not reported in the main body of this report. Additional details on this analysis can be found in Appendix A.</w:t>
      </w:r>
    </w:p>
  </w:footnote>
  <w:footnote w:id="9">
    <w:p w:rsidR="009C4B08" w:rsidRDefault="009C4B08" w:rsidP="00C157EC">
      <w:pPr>
        <w:pStyle w:val="FootnoteText"/>
      </w:pPr>
      <w:r>
        <w:rPr>
          <w:rStyle w:val="FootnoteReference"/>
        </w:rPr>
        <w:footnoteRef/>
      </w:r>
      <w:r>
        <w:t xml:space="preserve"> See the Data and Methods section for additional detail on this method.</w:t>
      </w:r>
    </w:p>
  </w:footnote>
  <w:footnote w:id="10">
    <w:p w:rsidR="009C4B08" w:rsidRDefault="009C4B08" w:rsidP="00C157EC">
      <w:pPr>
        <w:pStyle w:val="FootnoteText"/>
      </w:pPr>
      <w:r>
        <w:rPr>
          <w:rStyle w:val="FootnoteReference"/>
        </w:rPr>
        <w:footnoteRef/>
      </w:r>
      <w:r>
        <w:t xml:space="preserve"> Additional details on these metrics, including a detailed list of average percent errors (APEs) and mean absolute percent errors (MAPEs) for all analyses can be found in Appendix C.</w:t>
      </w:r>
    </w:p>
  </w:footnote>
  <w:footnote w:id="11">
    <w:p w:rsidR="009C4B08" w:rsidRDefault="009C4B08" w:rsidP="00C157EC">
      <w:pPr>
        <w:pStyle w:val="FootnoteText"/>
      </w:pPr>
      <w:r>
        <w:rPr>
          <w:rStyle w:val="FootnoteReference"/>
        </w:rPr>
        <w:footnoteRef/>
      </w:r>
      <w:r>
        <w:t xml:space="preserve"> Policymakers may want to further investigate this finding, perhaps through a more comprehensive study comparing teacher staff counts and FTEs not only over time but also across regions. For example, are prospective teacher preparation program candidates observing that teaching is increasingly becoming a part-time profession in particular regions of the state, and, if so, is this influencing their enrollment decision?</w:t>
      </w:r>
    </w:p>
  </w:footnote>
  <w:footnote w:id="12">
    <w:p w:rsidR="009C4B08" w:rsidRDefault="009C4B08" w:rsidP="00C157EC">
      <w:pPr>
        <w:pStyle w:val="FootnoteText"/>
      </w:pPr>
      <w:r>
        <w:rPr>
          <w:rStyle w:val="FootnoteReference"/>
        </w:rPr>
        <w:footnoteRef/>
      </w:r>
      <w:r>
        <w:t xml:space="preserve"> See the Data and Methods section for additional detail on the assumptions underlying the projections.</w:t>
      </w:r>
    </w:p>
  </w:footnote>
  <w:footnote w:id="13">
    <w:p w:rsidR="009C4B08" w:rsidRDefault="009C4B08" w:rsidP="00C157EC">
      <w:pPr>
        <w:pStyle w:val="FootnoteText"/>
      </w:pPr>
      <w:r>
        <w:rPr>
          <w:rStyle w:val="FootnoteReference"/>
        </w:rPr>
        <w:footnoteRef/>
      </w:r>
      <w:r>
        <w:t xml:space="preserve"> Due to the fact that transfers are calculated deterministically by backing out the figures using the estimated overall teacher supply and retained and new entrant components, there are no confidence intervals to consider for this component of supply.</w:t>
      </w:r>
    </w:p>
  </w:footnote>
  <w:footnote w:id="14">
    <w:p w:rsidR="009C4B08" w:rsidRDefault="009C4B08" w:rsidP="00C157EC">
      <w:pPr>
        <w:pStyle w:val="FootnoteText"/>
      </w:pPr>
      <w:r>
        <w:rPr>
          <w:rStyle w:val="FootnoteReference"/>
        </w:rPr>
        <w:footnoteRef/>
      </w:r>
      <w:r>
        <w:t xml:space="preserve"> There is</w:t>
      </w:r>
      <w:r w:rsidRPr="00AA4BAE">
        <w:t xml:space="preserve"> no industry standard for an acceptable amount of bias and inaccuracy that </w:t>
      </w:r>
      <w:r>
        <w:t>the AIR research team is</w:t>
      </w:r>
      <w:r w:rsidRPr="00AA4BAE">
        <w:t xml:space="preserve"> aware of, </w:t>
      </w:r>
      <w:r>
        <w:t xml:space="preserve">although </w:t>
      </w:r>
      <w:r w:rsidRPr="00AA4BAE">
        <w:t xml:space="preserve">others have suggested some guidelines. </w:t>
      </w:r>
      <w:r>
        <w:t xml:space="preserve">On the one hand, </w:t>
      </w:r>
      <w:proofErr w:type="spellStart"/>
      <w:r w:rsidRPr="00AA4BAE">
        <w:t>Berk</w:t>
      </w:r>
      <w:proofErr w:type="spellEnd"/>
      <w:r w:rsidRPr="00AA4BAE">
        <w:t xml:space="preserve"> and </w:t>
      </w:r>
      <w:proofErr w:type="spellStart"/>
      <w:r w:rsidRPr="00AA4BAE">
        <w:t>Hodgins</w:t>
      </w:r>
      <w:proofErr w:type="spellEnd"/>
      <w:r w:rsidRPr="00AA4BAE">
        <w:t xml:space="preserve"> (2008) suggest</w:t>
      </w:r>
      <w:r>
        <w:t>ed</w:t>
      </w:r>
      <w:r w:rsidRPr="00AA4BAE">
        <w:t xml:space="preserve"> that an MAPE of more than 10 percent </w:t>
      </w:r>
      <w:r>
        <w:t>indicate</w:t>
      </w:r>
      <w:r w:rsidRPr="00AA4BAE">
        <w:t xml:space="preserve"> that future projections should be interpreted with caution. </w:t>
      </w:r>
      <w:r>
        <w:t>On the other hand,</w:t>
      </w:r>
      <w:r w:rsidRPr="00AA4BAE">
        <w:t xml:space="preserve"> the Minnesota Teacher Supply and Demand Report</w:t>
      </w:r>
      <w:r>
        <w:t xml:space="preserve"> (Minnesot</w:t>
      </w:r>
      <w:r w:rsidRPr="002A4D1F">
        <w:t xml:space="preserve">a </w:t>
      </w:r>
      <w:r w:rsidRPr="00A46F58">
        <w:t>Department of Education, 2015)</w:t>
      </w:r>
      <w:r w:rsidRPr="00AA4BAE">
        <w:t xml:space="preserve"> found that for three- and five-year enrollment projections, the best method tested produced MAPEs no higher than 5 percent. With these reports in mind, </w:t>
      </w:r>
      <w:r>
        <w:t>the AIR research team has</w:t>
      </w:r>
      <w:r w:rsidRPr="00AA4BAE">
        <w:t xml:space="preserve"> chosen to consider a MAPE of 7.5 percent high enough to warrant caution.</w:t>
      </w:r>
      <w:r>
        <w:t xml:space="preserve"> </w:t>
      </w:r>
    </w:p>
  </w:footnote>
  <w:footnote w:id="15">
    <w:p w:rsidR="009C4B08" w:rsidRDefault="009C4B08" w:rsidP="00C157EC">
      <w:pPr>
        <w:pStyle w:val="FootnoteText"/>
      </w:pPr>
      <w:r>
        <w:rPr>
          <w:rStyle w:val="FootnoteReference"/>
        </w:rPr>
        <w:footnoteRef/>
      </w:r>
      <w:r>
        <w:t xml:space="preserve"> Additional details on validation testing and these metrics can be found in Appendix C.</w:t>
      </w:r>
    </w:p>
  </w:footnote>
  <w:footnote w:id="16">
    <w:p w:rsidR="009C4B08" w:rsidRDefault="009C4B08" w:rsidP="00C157EC">
      <w:pPr>
        <w:pStyle w:val="FootnoteText"/>
      </w:pPr>
      <w:r>
        <w:rPr>
          <w:rStyle w:val="FootnoteReference"/>
        </w:rPr>
        <w:footnoteRef/>
      </w:r>
      <w:r>
        <w:t xml:space="preserve"> The AIR team also estimated projections of retained teachers by program area. See Appendix B for additional findings.</w:t>
      </w:r>
    </w:p>
  </w:footnote>
  <w:footnote w:id="17">
    <w:p w:rsidR="009C4B08" w:rsidRDefault="009C4B08" w:rsidP="00C157EC">
      <w:pPr>
        <w:pStyle w:val="FootnoteText"/>
      </w:pPr>
      <w:r>
        <w:rPr>
          <w:rStyle w:val="FootnoteReference"/>
        </w:rPr>
        <w:footnoteRef/>
      </w:r>
      <w:r>
        <w:t xml:space="preserve"> Additional exhibits displaying Research Question 3 findings not presented in this report, including figures and tables, are available upon request.</w:t>
      </w:r>
    </w:p>
  </w:footnote>
  <w:footnote w:id="18">
    <w:p w:rsidR="009C4B08" w:rsidRDefault="009C4B08" w:rsidP="00C157EC">
      <w:pPr>
        <w:pStyle w:val="FootnoteText"/>
      </w:pPr>
      <w:r>
        <w:rPr>
          <w:rStyle w:val="FootnoteReference"/>
        </w:rPr>
        <w:footnoteRef/>
      </w:r>
      <w:r>
        <w:t xml:space="preserve"> Please note that throughout this section when “teachers” are referred to, the reference is to FTEs, not staff counts.</w:t>
      </w:r>
    </w:p>
  </w:footnote>
  <w:footnote w:id="19">
    <w:p w:rsidR="009C4B08" w:rsidRDefault="009C4B08" w:rsidP="00C157EC">
      <w:r>
        <w:rPr>
          <w:rStyle w:val="FootnoteReference"/>
        </w:rPr>
        <w:footnoteRef/>
      </w:r>
      <w:r>
        <w:t xml:space="preserve"> </w:t>
      </w:r>
      <w:r w:rsidRPr="00CD7EC9">
        <w:rPr>
          <w:sz w:val="20"/>
          <w:szCs w:val="20"/>
        </w:rPr>
        <w:t xml:space="preserve">It should be noted that </w:t>
      </w:r>
      <w:r>
        <w:rPr>
          <w:sz w:val="20"/>
          <w:szCs w:val="20"/>
        </w:rPr>
        <w:t>because</w:t>
      </w:r>
      <w:r w:rsidRPr="00CD7EC9">
        <w:rPr>
          <w:sz w:val="20"/>
          <w:szCs w:val="20"/>
        </w:rPr>
        <w:t xml:space="preserve"> </w:t>
      </w:r>
      <w:r>
        <w:rPr>
          <w:sz w:val="20"/>
          <w:szCs w:val="20"/>
        </w:rPr>
        <w:t xml:space="preserve">these </w:t>
      </w:r>
      <w:r w:rsidRPr="00CD7EC9">
        <w:rPr>
          <w:sz w:val="20"/>
          <w:szCs w:val="20"/>
        </w:rPr>
        <w:t xml:space="preserve">projections are based on an average historical trend, </w:t>
      </w:r>
      <w:r>
        <w:rPr>
          <w:sz w:val="20"/>
          <w:szCs w:val="20"/>
        </w:rPr>
        <w:t xml:space="preserve">the AIR team sees </w:t>
      </w:r>
      <w:r w:rsidRPr="00CD7EC9">
        <w:rPr>
          <w:sz w:val="20"/>
          <w:szCs w:val="20"/>
        </w:rPr>
        <w:t xml:space="preserve">gradual changes in future years. </w:t>
      </w:r>
      <w:r>
        <w:rPr>
          <w:sz w:val="20"/>
          <w:szCs w:val="20"/>
        </w:rPr>
        <w:t>An inherent limitation to the method AIR used is n</w:t>
      </w:r>
      <w:r w:rsidRPr="00CD7EC9">
        <w:rPr>
          <w:sz w:val="20"/>
          <w:szCs w:val="20"/>
        </w:rPr>
        <w:t>ot being able to accurately forecast future shocks</w:t>
      </w:r>
      <w:r>
        <w:rPr>
          <w:sz w:val="20"/>
          <w:szCs w:val="20"/>
        </w:rPr>
        <w:t>, but</w:t>
      </w:r>
      <w:r w:rsidRPr="00CD7EC9">
        <w:rPr>
          <w:sz w:val="20"/>
          <w:szCs w:val="20"/>
        </w:rPr>
        <w:t xml:space="preserve"> it is</w:t>
      </w:r>
      <w:r>
        <w:rPr>
          <w:sz w:val="20"/>
          <w:szCs w:val="20"/>
        </w:rPr>
        <w:t>,</w:t>
      </w:r>
      <w:r w:rsidRPr="00CD7EC9">
        <w:rPr>
          <w:sz w:val="20"/>
          <w:szCs w:val="20"/>
        </w:rPr>
        <w:t xml:space="preserve"> for the most part</w:t>
      </w:r>
      <w:r>
        <w:rPr>
          <w:sz w:val="20"/>
          <w:szCs w:val="20"/>
        </w:rPr>
        <w:t>, an</w:t>
      </w:r>
      <w:r w:rsidRPr="00CD7EC9">
        <w:rPr>
          <w:sz w:val="20"/>
          <w:szCs w:val="20"/>
        </w:rPr>
        <w:t xml:space="preserve"> unavoidable</w:t>
      </w:r>
      <w:r>
        <w:rPr>
          <w:sz w:val="20"/>
          <w:szCs w:val="20"/>
        </w:rPr>
        <w:t xml:space="preserve"> limitation</w:t>
      </w:r>
      <w:r w:rsidRPr="00CD7EC9">
        <w:rPr>
          <w:sz w:val="20"/>
          <w:szCs w:val="20"/>
        </w:rPr>
        <w:t xml:space="preserve">. Without a clear understanding of the observed historical shocks, the most conservative </w:t>
      </w:r>
      <w:r>
        <w:rPr>
          <w:sz w:val="20"/>
          <w:szCs w:val="20"/>
        </w:rPr>
        <w:t>thinking</w:t>
      </w:r>
      <w:r w:rsidRPr="00CD7EC9">
        <w:rPr>
          <w:sz w:val="20"/>
          <w:szCs w:val="20"/>
        </w:rPr>
        <w:t xml:space="preserve"> is to assume that these trends will smooth out in future years and approach the average.</w:t>
      </w:r>
    </w:p>
  </w:footnote>
  <w:footnote w:id="20">
    <w:p w:rsidR="009C4B08" w:rsidRDefault="009C4B08" w:rsidP="00C157EC">
      <w:pPr>
        <w:pStyle w:val="FootnoteText"/>
      </w:pPr>
      <w:r>
        <w:rPr>
          <w:rStyle w:val="FootnoteReference"/>
        </w:rPr>
        <w:footnoteRef/>
      </w:r>
      <w:r>
        <w:t xml:space="preserve"> This is noteworthy because findings in Research Question 2 suggested that FTEs are projected to decline but that staff counts are actually projected to increase. The fact that </w:t>
      </w:r>
      <w:proofErr w:type="spellStart"/>
      <w:r>
        <w:t>GenED</w:t>
      </w:r>
      <w:proofErr w:type="spellEnd"/>
      <w:r>
        <w:t xml:space="preserve"> FTEs are following the staff count trend may suggest that relatively few </w:t>
      </w:r>
      <w:proofErr w:type="spellStart"/>
      <w:r>
        <w:t>GenED</w:t>
      </w:r>
      <w:proofErr w:type="spellEnd"/>
      <w:r>
        <w:t xml:space="preserve"> teachers are serving at less than one FTE, or, conversely, that SPED, CTE, and ELL teachers are more likely to serve in a part-time capacity.</w:t>
      </w:r>
    </w:p>
  </w:footnote>
  <w:footnote w:id="21">
    <w:p w:rsidR="009C4B08" w:rsidRDefault="009C4B08" w:rsidP="00C157EC">
      <w:pPr>
        <w:pStyle w:val="FootnoteText"/>
      </w:pPr>
      <w:r>
        <w:rPr>
          <w:rStyle w:val="FootnoteReference"/>
        </w:rPr>
        <w:footnoteRef/>
      </w:r>
      <w:r>
        <w:t xml:space="preserve"> Additional details on validation testing and these metrics can be found in Appendix C.</w:t>
      </w:r>
    </w:p>
  </w:footnote>
  <w:footnote w:id="22">
    <w:p w:rsidR="009C4B08" w:rsidRDefault="009C4B08" w:rsidP="00C157EC">
      <w:pPr>
        <w:pStyle w:val="FootnoteText"/>
      </w:pPr>
      <w:r>
        <w:rPr>
          <w:rStyle w:val="FootnoteReference"/>
        </w:rPr>
        <w:footnoteRef/>
      </w:r>
      <w:r>
        <w:t xml:space="preserve"> The data available for this study included the following seven race categories: (1) African American, (2) Asian, (3) Hispanic, (4) Native American, (5) Native Hawaiian, (6) Pacific Islander, (7) multi-race, non-Hispanic, and (7) White.</w:t>
      </w:r>
    </w:p>
  </w:footnote>
  <w:footnote w:id="23">
    <w:p w:rsidR="009C4B08" w:rsidRPr="003E7972" w:rsidRDefault="009C4B08" w:rsidP="00C157EC">
      <w:pPr>
        <w:rPr>
          <w:sz w:val="20"/>
        </w:rPr>
      </w:pPr>
      <w:r>
        <w:rPr>
          <w:rStyle w:val="FootnoteReference"/>
        </w:rPr>
        <w:footnoteRef/>
      </w:r>
      <w:r>
        <w:t xml:space="preserve"> </w:t>
      </w:r>
      <w:r w:rsidRPr="00DE641F">
        <w:rPr>
          <w:sz w:val="20"/>
        </w:rPr>
        <w:t xml:space="preserve">The seven </w:t>
      </w:r>
      <w:r>
        <w:rPr>
          <w:sz w:val="20"/>
        </w:rPr>
        <w:t xml:space="preserve">age </w:t>
      </w:r>
      <w:r w:rsidRPr="00DE641F">
        <w:rPr>
          <w:sz w:val="20"/>
        </w:rPr>
        <w:t xml:space="preserve">categories </w:t>
      </w:r>
      <w:r>
        <w:rPr>
          <w:sz w:val="20"/>
        </w:rPr>
        <w:t>are as follows:</w:t>
      </w:r>
      <w:r w:rsidRPr="00DE641F">
        <w:rPr>
          <w:sz w:val="20"/>
        </w:rPr>
        <w:t xml:space="preserve"> </w:t>
      </w:r>
      <w:r>
        <w:rPr>
          <w:sz w:val="20"/>
        </w:rPr>
        <w:t>(1) under 26, (2) 26–32, (3) 33–40, (4) 41–48, (5) 49–56, (6) 57–64, and (7) over 64.</w:t>
      </w:r>
    </w:p>
  </w:footnote>
  <w:footnote w:id="24">
    <w:p w:rsidR="009C4B08" w:rsidRDefault="009C4B08" w:rsidP="00C157EC">
      <w:pPr>
        <w:pStyle w:val="FootnoteText"/>
      </w:pPr>
      <w:r>
        <w:rPr>
          <w:rStyle w:val="FootnoteReference"/>
        </w:rPr>
        <w:footnoteRef/>
      </w:r>
      <w:r>
        <w:t xml:space="preserve"> Additional exhibits displaying Research Question 4 findings not presented in this report, including figures and tables, are available upon request.</w:t>
      </w:r>
    </w:p>
  </w:footnote>
  <w:footnote w:id="25">
    <w:p w:rsidR="009C4B08" w:rsidRDefault="009C4B08" w:rsidP="00C157EC">
      <w:pPr>
        <w:pStyle w:val="FootnoteText"/>
      </w:pPr>
      <w:r>
        <w:rPr>
          <w:rStyle w:val="FootnoteReference"/>
        </w:rPr>
        <w:footnoteRef/>
      </w:r>
      <w:r>
        <w:t xml:space="preserve"> Please note that throughout this section when “teachers” are referred to, the reference is to FTEs, not staff counts.</w:t>
      </w:r>
    </w:p>
  </w:footnote>
  <w:footnote w:id="26">
    <w:p w:rsidR="009C4B08" w:rsidRDefault="009C4B08" w:rsidP="00C157EC">
      <w:pPr>
        <w:pStyle w:val="FootnoteText"/>
      </w:pPr>
      <w:r>
        <w:rPr>
          <w:rStyle w:val="FootnoteReference"/>
        </w:rPr>
        <w:footnoteRef/>
      </w:r>
      <w:r>
        <w:t xml:space="preserve"> Additional details on these metrics can be found in Appendix C.</w:t>
      </w:r>
    </w:p>
  </w:footnote>
  <w:footnote w:id="27">
    <w:p w:rsidR="009C4B08" w:rsidRDefault="009C4B08" w:rsidP="00C157EC">
      <w:pPr>
        <w:pStyle w:val="FootnoteText"/>
      </w:pPr>
      <w:r>
        <w:rPr>
          <w:rStyle w:val="FootnoteReference"/>
        </w:rPr>
        <w:footnoteRef/>
      </w:r>
      <w:r>
        <w:t xml:space="preserve"> Additional details on these metrics can be found in Appendix C.</w:t>
      </w:r>
    </w:p>
  </w:footnote>
  <w:footnote w:id="28">
    <w:p w:rsidR="009C4B08" w:rsidRDefault="009C4B08" w:rsidP="00C157EC">
      <w:pPr>
        <w:pStyle w:val="FootnoteText"/>
      </w:pPr>
      <w:r>
        <w:rPr>
          <w:rStyle w:val="FootnoteReference"/>
        </w:rPr>
        <w:footnoteRef/>
      </w:r>
      <w:r>
        <w:t xml:space="preserve"> Additional figure and tables displaying Research Question 5 findings not presented in this report, including bar figures and tables, are available upon request.</w:t>
      </w:r>
    </w:p>
  </w:footnote>
  <w:footnote w:id="29">
    <w:p w:rsidR="009C4B08" w:rsidRDefault="009C4B08" w:rsidP="00C157EC">
      <w:pPr>
        <w:pStyle w:val="FootnoteText"/>
      </w:pPr>
      <w:r>
        <w:rPr>
          <w:rStyle w:val="FootnoteReference"/>
        </w:rPr>
        <w:footnoteRef/>
      </w:r>
      <w:r>
        <w:t xml:space="preserve"> Note that the team did not analyze confidence intervals as the results for Research Question 5 or rely on the same regression models used to address Research Question 2. For additional information on the validity of these results, see Research Question 2 and Appendix C.</w:t>
      </w:r>
    </w:p>
  </w:footnote>
  <w:footnote w:id="30">
    <w:p w:rsidR="009C4B08" w:rsidRDefault="009C4B08" w:rsidP="00C157EC">
      <w:pPr>
        <w:pStyle w:val="FootnoteText"/>
      </w:pPr>
      <w:r>
        <w:rPr>
          <w:rStyle w:val="FootnoteReference"/>
        </w:rPr>
        <w:footnoteRef/>
      </w:r>
      <w:r>
        <w:t xml:space="preserve"> A previous study conducted by members of the research team addressed some of these types of questions in Oklahoma (Berg-Jacobson &amp; Levin, 2015).</w:t>
      </w:r>
    </w:p>
  </w:footnote>
  <w:footnote w:id="31">
    <w:p w:rsidR="009C4B08" w:rsidRDefault="009C4B08" w:rsidP="00C157EC">
      <w:pPr>
        <w:pStyle w:val="FootnoteText"/>
      </w:pPr>
      <w:r>
        <w:rPr>
          <w:rStyle w:val="FootnoteReference"/>
        </w:rPr>
        <w:footnoteRef/>
      </w:r>
      <w:r>
        <w:t xml:space="preserve"> For example, shortages of teachers of color may disproportionately impact students of color, as teachers of color are more likely to work in high-need urban schools (</w:t>
      </w:r>
      <w:proofErr w:type="spellStart"/>
      <w:r>
        <w:t>Achinstein</w:t>
      </w:r>
      <w:proofErr w:type="spellEnd"/>
      <w:r>
        <w:t xml:space="preserve">, </w:t>
      </w:r>
      <w:proofErr w:type="spellStart"/>
      <w:r>
        <w:t>Owaga</w:t>
      </w:r>
      <w:proofErr w:type="spellEnd"/>
      <w:r>
        <w:t xml:space="preserve">, Sexton, &amp; </w:t>
      </w:r>
      <w:proofErr w:type="spellStart"/>
      <w:r>
        <w:t>Freitas</w:t>
      </w:r>
      <w:proofErr w:type="spellEnd"/>
      <w:r>
        <w:t>, 2010).</w:t>
      </w:r>
    </w:p>
  </w:footnote>
  <w:footnote w:id="32">
    <w:p w:rsidR="009C4B08" w:rsidRDefault="009C4B08" w:rsidP="00C157EC">
      <w:pPr>
        <w:pStyle w:val="FootnoteText"/>
      </w:pPr>
      <w:r>
        <w:rPr>
          <w:rStyle w:val="FootnoteReference"/>
        </w:rPr>
        <w:footnoteRef/>
      </w:r>
      <w:r>
        <w:t xml:space="preserve"> Shocks impacting trends of supply and demand could be policy changes impacting teacher supply and demand, such as maximum class-size policies, sudden changes in economic growth such as recessions or periods of strong growth, rapid demographic changes, or many other factors that can change quickly, which could impact teacher supply and demand.</w:t>
      </w:r>
    </w:p>
  </w:footnote>
  <w:footnote w:id="33">
    <w:p w:rsidR="009C4B08" w:rsidRDefault="009C4B08" w:rsidP="00C157EC">
      <w:pPr>
        <w:pStyle w:val="FootnoteText"/>
      </w:pPr>
      <w:r>
        <w:rPr>
          <w:rStyle w:val="FootnoteReference"/>
        </w:rPr>
        <w:footnoteRef/>
      </w:r>
      <w:r>
        <w:t xml:space="preserve"> The fertility rate is defined as the number of births divided by the number of females age 15</w:t>
      </w:r>
      <w:r w:rsidRPr="008D78C5">
        <w:t>–</w:t>
      </w:r>
      <w:r>
        <w:t>44 in the given year.</w:t>
      </w:r>
    </w:p>
  </w:footnote>
  <w:footnote w:id="34">
    <w:p w:rsidR="009C4B08" w:rsidRDefault="009C4B08" w:rsidP="00C157EC">
      <w:pPr>
        <w:pStyle w:val="FootnoteText"/>
      </w:pPr>
      <w:r>
        <w:rPr>
          <w:rStyle w:val="FootnoteReference"/>
        </w:rPr>
        <w:footnoteRef/>
      </w:r>
      <w:r>
        <w:t xml:space="preserve"> Note that although 2014</w:t>
      </w:r>
      <w:r w:rsidRPr="008D78C5">
        <w:t>–</w:t>
      </w:r>
      <w:r>
        <w:t>15 enrollment data were available to the research team, other data sources were not; thus, projections for these analyses begin in 2014</w:t>
      </w:r>
      <w:r w:rsidRPr="008D78C5">
        <w:t>–</w:t>
      </w:r>
      <w:r>
        <w:t>15.</w:t>
      </w:r>
    </w:p>
  </w:footnote>
  <w:footnote w:id="35">
    <w:p w:rsidR="009C4B08" w:rsidRDefault="009C4B08" w:rsidP="00C157EC">
      <w:pPr>
        <w:pStyle w:val="FootnoteText"/>
      </w:pPr>
      <w:r>
        <w:rPr>
          <w:rStyle w:val="FootnoteReference"/>
        </w:rPr>
        <w:footnoteRef/>
      </w:r>
      <w:r>
        <w:t xml:space="preserve"> Although there are enrollment data available for 2015, we do not have retention data available for this year. Thus, we begin projecting demand in 2015, the first year for which we do not have data from all relevant sources.</w:t>
      </w:r>
    </w:p>
  </w:footnote>
  <w:footnote w:id="36">
    <w:p w:rsidR="009C4B08" w:rsidRDefault="009C4B08" w:rsidP="00C157EC">
      <w:pPr>
        <w:pStyle w:val="FootnoteText"/>
      </w:pPr>
      <w:r>
        <w:rPr>
          <w:rStyle w:val="FootnoteReference"/>
        </w:rPr>
        <w:footnoteRef/>
      </w:r>
      <w:r>
        <w:t xml:space="preserve"> SO areas are the geographic areas surrounding the five sponsoring organizations with the most education preparation program completers. The geographic area is defined as a 45-minute drive from the SO.</w:t>
      </w:r>
    </w:p>
  </w:footnote>
  <w:footnote w:id="37">
    <w:p w:rsidR="009C4B08" w:rsidRDefault="009C4B08" w:rsidP="00C157EC">
      <w:pPr>
        <w:pStyle w:val="FootnoteText"/>
      </w:pPr>
      <w:r>
        <w:rPr>
          <w:rStyle w:val="FootnoteReference"/>
        </w:rPr>
        <w:footnoteRef/>
      </w:r>
      <w:r>
        <w:t xml:space="preserve"> The percentage of students eligible for free/reduced-price lunch is used here as a proxy for the population of students in poverty.</w:t>
      </w:r>
    </w:p>
  </w:footnote>
  <w:footnote w:id="38">
    <w:p w:rsidR="009C4B08" w:rsidRDefault="009C4B08" w:rsidP="00C157EC">
      <w:pPr>
        <w:pStyle w:val="FootnoteText"/>
      </w:pPr>
      <w:r>
        <w:rPr>
          <w:rStyle w:val="FootnoteReference"/>
        </w:rPr>
        <w:footnoteRef/>
      </w:r>
      <w:r>
        <w:t xml:space="preserve"> </w:t>
      </w:r>
      <w:r w:rsidRPr="003E4772">
        <w:t>Additional models</w:t>
      </w:r>
      <w:r>
        <w:t>,</w:t>
      </w:r>
      <w:r w:rsidRPr="003E4772">
        <w:t xml:space="preserve"> including additional student characteristics</w:t>
      </w:r>
      <w:r>
        <w:t>,</w:t>
      </w:r>
      <w:r w:rsidRPr="003E4772">
        <w:t xml:space="preserve"> were tested, but </w:t>
      </w:r>
      <w:r>
        <w:t xml:space="preserve">the inclusion of these variables </w:t>
      </w:r>
      <w:r w:rsidRPr="003E4772">
        <w:t xml:space="preserve">did little to improve the </w:t>
      </w:r>
      <w:r>
        <w:t xml:space="preserve">performance of the </w:t>
      </w:r>
      <w:r w:rsidRPr="003E4772">
        <w:t>model.</w:t>
      </w:r>
    </w:p>
  </w:footnote>
  <w:footnote w:id="39">
    <w:p w:rsidR="009C4B08" w:rsidRDefault="009C4B08" w:rsidP="00C157EC">
      <w:pPr>
        <w:pStyle w:val="FootnoteText"/>
      </w:pPr>
      <w:r>
        <w:rPr>
          <w:rStyle w:val="FootnoteReference"/>
        </w:rPr>
        <w:footnoteRef/>
      </w:r>
      <w:r>
        <w:t xml:space="preserve"> In addition, to improve the fit of the model, the natural log of enrollment and its square were used.</w:t>
      </w:r>
    </w:p>
  </w:footnote>
  <w:footnote w:id="40">
    <w:p w:rsidR="009C4B08" w:rsidRDefault="009C4B08" w:rsidP="00C157EC">
      <w:pPr>
        <w:pStyle w:val="FootnoteText"/>
      </w:pPr>
      <w:r>
        <w:rPr>
          <w:rStyle w:val="FootnoteReference"/>
        </w:rPr>
        <w:footnoteRef/>
      </w:r>
      <w:r>
        <w:t xml:space="preserve"> Additional information on the </w:t>
      </w:r>
      <w:proofErr w:type="spellStart"/>
      <w:r>
        <w:t>Stata</w:t>
      </w:r>
      <w:proofErr w:type="spellEnd"/>
      <w:r>
        <w:t xml:space="preserve"> commands used to calculate travel times can be found here: </w:t>
      </w:r>
      <w:hyperlink r:id="rId2" w:history="1">
        <w:r w:rsidRPr="002A32D6">
          <w:rPr>
            <w:rStyle w:val="Hyperlink"/>
          </w:rPr>
          <w:t>http://www.stata-journal.com/article.html?article=dm0083</w:t>
        </w:r>
      </w:hyperlink>
      <w:r>
        <w:t>.</w:t>
      </w:r>
    </w:p>
  </w:footnote>
  <w:footnote w:id="41">
    <w:p w:rsidR="009C4B08" w:rsidRDefault="009C4B08" w:rsidP="00C157EC">
      <w:pPr>
        <w:pStyle w:val="FootnoteText"/>
      </w:pPr>
      <w:r>
        <w:rPr>
          <w:rStyle w:val="FootnoteReference"/>
        </w:rPr>
        <w:footnoteRef/>
      </w:r>
      <w:r>
        <w:t xml:space="preserve"> The percentage of general education teachers was omitted from the retention rate model to serve as the reference group.</w:t>
      </w:r>
    </w:p>
  </w:footnote>
  <w:footnote w:id="42">
    <w:p w:rsidR="009C4B08" w:rsidRDefault="009C4B08" w:rsidP="00C157EC">
      <w:pPr>
        <w:pStyle w:val="FootnoteText"/>
      </w:pPr>
      <w:r>
        <w:rPr>
          <w:rStyle w:val="FootnoteReference"/>
        </w:rPr>
        <w:footnoteRef/>
      </w:r>
      <w:r>
        <w:t xml:space="preserve"> The data for retention use numbers of teachers rather than FTEs. In order to convert the number of retained teachers to retained FTEs, the retained number of teachers was multiplied by the ratio of total FTEs to total number of teachers.</w:t>
      </w:r>
    </w:p>
  </w:footnote>
  <w:footnote w:id="43">
    <w:p w:rsidR="009C4B08" w:rsidRDefault="009C4B08" w:rsidP="00C157EC">
      <w:pPr>
        <w:pStyle w:val="FootnoteText"/>
      </w:pPr>
      <w:r>
        <w:rPr>
          <w:rStyle w:val="FootnoteReference"/>
        </w:rPr>
        <w:footnoteRef/>
      </w:r>
      <w:r>
        <w:t xml:space="preserve"> The percentage of White teachers was omitted from the retention rate-by-race model to serve as the reference group. The percentage of teachers ages 49–56 was omitted from the retention rate-by-age group model to serve as the reference group.</w:t>
      </w:r>
    </w:p>
  </w:footnote>
  <w:footnote w:id="44">
    <w:p w:rsidR="009C4B08" w:rsidRDefault="009C4B08" w:rsidP="00C157EC">
      <w:pPr>
        <w:pStyle w:val="FootnoteText"/>
      </w:pPr>
      <w:r>
        <w:rPr>
          <w:rStyle w:val="FootnoteReference"/>
        </w:rPr>
        <w:footnoteRef/>
      </w:r>
      <w:r>
        <w:t xml:space="preserve"> The data for retention use numbers of teachers rather than FTEs. In order to convert the number of retained teachers to retained FTEs, the retained number of teachers was multiplied by the ratio of total FTEs to total number of teachers.</w:t>
      </w:r>
    </w:p>
  </w:footnote>
  <w:footnote w:id="45">
    <w:p w:rsidR="009C4B08" w:rsidRDefault="009C4B08" w:rsidP="00C157EC">
      <w:pPr>
        <w:pStyle w:val="FootnoteText"/>
      </w:pPr>
      <w:r>
        <w:rPr>
          <w:rStyle w:val="FootnoteReference"/>
        </w:rPr>
        <w:footnoteRef/>
      </w:r>
      <w:r>
        <w:t xml:space="preserve"> SASS is a collection of related questionnaires used to provide descriptive data about the context of elementary and secondary education, and covers a wide range of topics. More information on this data source can be found here: </w:t>
      </w:r>
      <w:hyperlink r:id="rId3" w:history="1">
        <w:r w:rsidRPr="00B83EE6">
          <w:rPr>
            <w:rStyle w:val="Hyperlink"/>
          </w:rPr>
          <w:t>https://nces.ed.gov/surveys/sass/</w:t>
        </w:r>
      </w:hyperlink>
      <w:r>
        <w:t>.</w:t>
      </w:r>
    </w:p>
  </w:footnote>
  <w:footnote w:id="46">
    <w:p w:rsidR="009C4B08" w:rsidRDefault="009C4B08" w:rsidP="00C157EC">
      <w:pPr>
        <w:pStyle w:val="FootnoteText"/>
      </w:pPr>
      <w:r>
        <w:rPr>
          <w:rStyle w:val="FootnoteReference"/>
        </w:rPr>
        <w:footnoteRef/>
      </w:r>
      <w:r>
        <w:t xml:space="preserve"> For more details on this model, see the section New Entrants above.</w:t>
      </w:r>
    </w:p>
  </w:footnote>
  <w:footnote w:id="47">
    <w:p w:rsidR="009C4B08" w:rsidRDefault="009C4B08" w:rsidP="00C157EC">
      <w:pPr>
        <w:pStyle w:val="FootnoteText"/>
      </w:pPr>
      <w:r>
        <w:rPr>
          <w:rStyle w:val="FootnoteReference"/>
        </w:rPr>
        <w:footnoteRef/>
      </w:r>
      <w:r>
        <w:t xml:space="preserve"> Recall that although 2014</w:t>
      </w:r>
      <w:r w:rsidRPr="00137C67">
        <w:t>–</w:t>
      </w:r>
      <w:r>
        <w:t>15 enrollment data were available, 2014</w:t>
      </w:r>
      <w:r w:rsidRPr="00137C67">
        <w:t>–</w:t>
      </w:r>
      <w:r>
        <w:t>15 staffing data were not; consequently, 2014</w:t>
      </w:r>
      <w:r w:rsidRPr="00137C67">
        <w:t>–</w:t>
      </w:r>
      <w:r>
        <w:t>15 was projected for all analyses.</w:t>
      </w:r>
    </w:p>
  </w:footnote>
  <w:footnote w:id="48">
    <w:p w:rsidR="009C4B08" w:rsidRDefault="009C4B08" w:rsidP="00C157EC">
      <w:pPr>
        <w:pStyle w:val="FootnoteText"/>
      </w:pPr>
      <w:r>
        <w:rPr>
          <w:rStyle w:val="FootnoteReference"/>
        </w:rPr>
        <w:footnoteRef/>
      </w:r>
      <w:r>
        <w:t xml:space="preserve"> See the Appendix A for more details on the methods used to estimate these retention rates.</w:t>
      </w:r>
    </w:p>
  </w:footnote>
  <w:footnote w:id="49">
    <w:p w:rsidR="009C4B08" w:rsidRDefault="009C4B08" w:rsidP="00C157EC">
      <w:pPr>
        <w:pStyle w:val="FootnoteText"/>
      </w:pPr>
      <w:r>
        <w:rPr>
          <w:rStyle w:val="FootnoteReference"/>
        </w:rPr>
        <w:footnoteRef/>
      </w:r>
      <w:r>
        <w:t xml:space="preserve"> For additional detail, see </w:t>
      </w:r>
      <w:hyperlink r:id="rId4" w:history="1">
        <w:r w:rsidRPr="006B6053">
          <w:rPr>
            <w:rStyle w:val="Hyperlink"/>
          </w:rPr>
          <w:t>http://www.stats.gla.ac.uk/steps/glossary/confidence_intervals.html</w:t>
        </w:r>
      </w:hyperlink>
      <w:r>
        <w:t>.</w:t>
      </w:r>
    </w:p>
  </w:footnote>
  <w:footnote w:id="50">
    <w:p w:rsidR="009C4B08" w:rsidRDefault="009C4B08" w:rsidP="00C157EC">
      <w:pPr>
        <w:pStyle w:val="FootnoteText"/>
      </w:pPr>
      <w:r>
        <w:rPr>
          <w:rStyle w:val="FootnoteReference"/>
        </w:rPr>
        <w:footnoteRef/>
      </w:r>
      <w:r>
        <w:t xml:space="preserve"> Please note that the metric projected for this analysis is itself a proportion, and that the point estimate and bounds are presented in Table C3 as decimals.</w:t>
      </w:r>
    </w:p>
  </w:footnote>
  <w:footnote w:id="51">
    <w:p w:rsidR="009C4B08" w:rsidRDefault="009C4B08" w:rsidP="00C157EC">
      <w:pPr>
        <w:pStyle w:val="FootnoteText"/>
      </w:pPr>
      <w:r>
        <w:rPr>
          <w:rStyle w:val="FootnoteReference"/>
        </w:rPr>
        <w:footnoteRef/>
      </w:r>
      <w:r>
        <w:t xml:space="preserve"> Please note that the metric projected for this analysis is itself a proportion, and that the point estimate and bounds are presented in Table C6 as decimals.</w:t>
      </w:r>
    </w:p>
  </w:footnote>
  <w:footnote w:id="52">
    <w:p w:rsidR="009C4B08" w:rsidRDefault="009C4B08" w:rsidP="00C157EC">
      <w:pPr>
        <w:pStyle w:val="FootnoteText"/>
      </w:pPr>
      <w:r>
        <w:rPr>
          <w:rStyle w:val="FootnoteReference"/>
        </w:rPr>
        <w:footnoteRef/>
      </w:r>
      <w:r>
        <w:t xml:space="preserve"> Please note that the metric projected for this analysis is itself a proportion, and that the point estimate and bounds are presented in Table C10 as decimals.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Default="002555E4">
    <w:pPr>
      <w:pStyle w:val="Header"/>
    </w:pPr>
    <w:r>
      <w:rPr>
        <w:noProof/>
      </w:rPr>
      <w:pict>
        <v:group id="Group 2" o:spid="_x0000_s10241" alt="Cover page background" style="position:absolute;margin-left:18pt;margin-top:18pt;width:576.7pt;height:756pt;z-index:-251658240;mso-position-horizontal-relative:page;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">
          <v:rect id="Rectangle 4" o:spid="_x0000_s10245" style="position:absolute;left:369;top:458;width:3240;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ILsYA&#10;AADbAAAADwAAAGRycy9kb3ducmV2LnhtbESPT2vCQBTE74LfYXlCb7rRQ6vRjajQ0kNBjC14fM2+&#10;/KHZt2l2TdJ++m5B8DjMzG+YzXYwteiodZVlBfNZBII4s7riQsH7+Xm6BOE8ssbaMin4IQfbZDza&#10;YKxtzyfqUl+IAGEXo4LS+yaW0mUlGXQz2xAHL7etQR9kW0jdYh/gppaLKHqUBisOCyU2dCgp+0qv&#10;RsHv8TpQv/huZPq2714up/wz+jgq9TAZdmsQngZ/D9/ar1rB6gn+v4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wILsYAAADbAAAADwAAAAAAAAAAAAAAAACYAgAAZHJz&#10;L2Rvd25yZXYueG1sUEsFBgAAAAAEAAQA9QAAAIsDAAAAAA==&#10;" fillcolor="#003462 [3215]" stroked="f"/>
          <v:rect id="Rectangle 5" o:spid="_x0000_s10244" style="position:absolute;left:3697;top:458;width:8208;height:15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KvMIA&#10;AADbAAAADwAAAGRycy9kb3ducmV2LnhtbERPTWvCQBC9C/0PyxS86aYixUZXKaWCFFJIlOpxzI5J&#10;MDsbsqtJ/n33IHh8vO/Vpje1uFPrKssK3qYRCOLc6ooLBYf9drIA4TyyxtoyKRjIwWb9MlphrG3H&#10;Kd0zX4gQwi5GBaX3TSyly0sy6Ka2IQ7cxbYGfYBtIXWLXQg3tZxF0bs0WHFoKLGhr5Lya3YzCmyf&#10;HH7TU3T+uyTSz+uf43c6HJUav/afSxCeev8UP9w7reAjjA1fw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8q8wgAAANsAAAAPAAAAAAAAAAAAAAAAAJgCAABkcnMvZG93&#10;bnJldi54bWxQSwUGAAAAAAQABAD1AAAAhwMAAAAA&#10;" fillcolor="#d4d4d4 [321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43" type="#_x0000_t75" alt="American Institutes for Research" style="position:absolute;left:466;top:4896;width:3003;height:11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TIrDEAAAA2wAAAA8AAABkcnMvZG93bnJldi54bWxEj0FrwkAUhO8F/8PyhN7qxh6Kia4igtKL&#10;LTXi+ZF9ZqPZtyG7Tbb99d1CocdhZr5hVptoWzFQ7xvHCuazDARx5XTDtYJzuX9agPABWWPrmBR8&#10;kYfNevKwwkK7kT9oOIVaJAj7AhWYELpCSl8ZsuhnriNO3tX1FkOSfS11j2OC21Y+Z9mLtNhwWjDY&#10;0c5QdT99WgX+eOzyeJDlIr7by3eZZ7fD212px2ncLkEEiuE//Nd+1QryHH6/pB8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TIrDEAAAA2wAAAA8AAAAAAAAAAAAAAAAA&#10;nwIAAGRycy9kb3ducmV2LnhtbFBLBQYAAAAABAAEAPcAAACQAwAAAAA=&#10;">
            <v:imagedata r:id="rId1" o:title="American Institutes for Research"/>
          </v:shape>
          <v:shapetype id="_x0000_t32" coordsize="21600,21600" o:spt="32" o:oned="t" path="m,l21600,21600e" filled="f">
            <v:path arrowok="t" fillok="f" o:connecttype="none"/>
            <o:lock v:ext="edit" shapetype="t"/>
          </v:shapetype>
          <v:shape id="AutoShape 7" o:spid="_x0000_s10242" type="#_x0000_t32" style="position:absolute;left:3884;top:5760;width:77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NResUAAADcAAAADwAAAGRycy9kb3ducmV2LnhtbESPQWvDMAyF74P9B6PBbqvdHdKR1S2l&#10;0FF2WFlXehaxGqeN5RC7TbZfPx0Gu0m8p/c+zZdjaNWN+tREtjCdGFDEVXQN1xYOX5unF1ApIzts&#10;I5OFb0qwXNzfzbF0ceBPuu1zrSSEU4kWfM5dqXWqPAVMk9gRi3aKfcAsa19r1+Mg4aHVz8YUOmDD&#10;0uCxo7Wn6rK/Bgvvs4/DLoRhk4vzz9GM/khN8Wbt48O4egWVacz/5r/rrRN8I/jyjEy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NResUAAADcAAAADwAAAAAAAAAA&#10;AAAAAAChAgAAZHJzL2Rvd25yZXYueG1sUEsFBgAAAAAEAAQA+QAAAJMDAAAAAA==&#10;" strokecolor="#003462 [3215]" strokeweight="7pt"/>
          <w10:wrap anchorx="page" anchory="page"/>
          <w10:anchorlock/>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Default="009C4B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Default="009C4B08">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B08" w:rsidRDefault="009C4B08">
    <w:pPr>
      <w:pStyle w:val="Header"/>
    </w:pPr>
  </w:p>
  <w:p w:rsidR="009C4B08" w:rsidRDefault="009C4B08"/>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427"/>
    <w:multiLevelType w:val="hybridMultilevel"/>
    <w:tmpl w:val="D262B6FC"/>
    <w:lvl w:ilvl="0" w:tplc="45D6845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547CF3"/>
    <w:multiLevelType w:val="hybridMultilevel"/>
    <w:tmpl w:val="A3C897EC"/>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253F9"/>
    <w:multiLevelType w:val="hybridMultilevel"/>
    <w:tmpl w:val="5FE0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B797E"/>
    <w:multiLevelType w:val="hybridMultilevel"/>
    <w:tmpl w:val="32E60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94FA5"/>
    <w:multiLevelType w:val="hybridMultilevel"/>
    <w:tmpl w:val="C4488FC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nsid w:val="2F521F9F"/>
    <w:multiLevelType w:val="multilevel"/>
    <w:tmpl w:val="F90259FE"/>
    <w:numStyleLink w:val="AIRBullet"/>
  </w:abstractNum>
  <w:abstractNum w:abstractNumId="7">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8">
    <w:nsid w:val="33B27197"/>
    <w:multiLevelType w:val="hybridMultilevel"/>
    <w:tmpl w:val="FB86E6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3264C4"/>
    <w:multiLevelType w:val="hybridMultilevel"/>
    <w:tmpl w:val="19AE8208"/>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E8040B"/>
    <w:multiLevelType w:val="hybridMultilevel"/>
    <w:tmpl w:val="9C4ED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2">
    <w:nsid w:val="3F2E0598"/>
    <w:multiLevelType w:val="hybridMultilevel"/>
    <w:tmpl w:val="84CAB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EA2850"/>
    <w:multiLevelType w:val="hybridMultilevel"/>
    <w:tmpl w:val="588C59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B57BF9"/>
    <w:multiLevelType w:val="hybridMultilevel"/>
    <w:tmpl w:val="99248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4E5A9B"/>
    <w:multiLevelType w:val="hybridMultilevel"/>
    <w:tmpl w:val="E6DE60FC"/>
    <w:lvl w:ilvl="0" w:tplc="0409000F">
      <w:start w:val="1"/>
      <w:numFmt w:val="decimal"/>
      <w:lvlText w:val="%1."/>
      <w:lvlJc w:val="left"/>
      <w:pPr>
        <w:ind w:left="720" w:hanging="360"/>
      </w:pPr>
      <w:rPr>
        <w:rFonts w:hint="default"/>
      </w:rPr>
    </w:lvl>
    <w:lvl w:ilvl="1" w:tplc="8BA25922">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5A0E79"/>
    <w:multiLevelType w:val="hybridMultilevel"/>
    <w:tmpl w:val="F678F3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B76D4F"/>
    <w:multiLevelType w:val="hybridMultilevel"/>
    <w:tmpl w:val="3B1E745E"/>
    <w:lvl w:ilvl="0" w:tplc="AB0EB91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5F2A2BBB"/>
    <w:multiLevelType w:val="multilevel"/>
    <w:tmpl w:val="F134F144"/>
    <w:numStyleLink w:val="AIRTableBullet"/>
  </w:abstractNum>
  <w:abstractNum w:abstractNumId="20">
    <w:nsid w:val="60991485"/>
    <w:multiLevelType w:val="hybridMultilevel"/>
    <w:tmpl w:val="D9B0D59C"/>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747408"/>
    <w:multiLevelType w:val="hybridMultilevel"/>
    <w:tmpl w:val="4DFC43EE"/>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42473B"/>
    <w:multiLevelType w:val="hybridMultilevel"/>
    <w:tmpl w:val="434892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4A6CD4"/>
    <w:multiLevelType w:val="hybridMultilevel"/>
    <w:tmpl w:val="8B0CF594"/>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245EDA"/>
    <w:multiLevelType w:val="hybridMultilevel"/>
    <w:tmpl w:val="3F02BB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C92A3E"/>
    <w:multiLevelType w:val="hybridMultilevel"/>
    <w:tmpl w:val="695C90C4"/>
    <w:lvl w:ilvl="0" w:tplc="C59EC57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8"/>
  </w:num>
  <w:num w:numId="4">
    <w:abstractNumId w:val="7"/>
  </w:num>
  <w:num w:numId="5">
    <w:abstractNumId w:val="6"/>
  </w:num>
  <w:num w:numId="6">
    <w:abstractNumId w:val="19"/>
  </w:num>
  <w:num w:numId="7">
    <w:abstractNumId w:val="6"/>
  </w:num>
  <w:num w:numId="8">
    <w:abstractNumId w:val="5"/>
  </w:num>
  <w:num w:numId="9">
    <w:abstractNumId w:val="19"/>
  </w:num>
  <w:num w:numId="10">
    <w:abstractNumId w:val="7"/>
  </w:num>
  <w:num w:numId="11">
    <w:abstractNumId w:val="4"/>
  </w:num>
  <w:num w:numId="12">
    <w:abstractNumId w:val="8"/>
  </w:num>
  <w:num w:numId="13">
    <w:abstractNumId w:val="2"/>
  </w:num>
  <w:num w:numId="14">
    <w:abstractNumId w:val="10"/>
  </w:num>
  <w:num w:numId="15">
    <w:abstractNumId w:val="0"/>
  </w:num>
  <w:num w:numId="16">
    <w:abstractNumId w:val="1"/>
  </w:num>
  <w:num w:numId="17">
    <w:abstractNumId w:val="20"/>
  </w:num>
  <w:num w:numId="18">
    <w:abstractNumId w:val="9"/>
  </w:num>
  <w:num w:numId="19">
    <w:abstractNumId w:val="23"/>
  </w:num>
  <w:num w:numId="20">
    <w:abstractNumId w:val="21"/>
  </w:num>
  <w:num w:numId="21">
    <w:abstractNumId w:val="13"/>
  </w:num>
  <w:num w:numId="22">
    <w:abstractNumId w:val="15"/>
  </w:num>
  <w:num w:numId="23">
    <w:abstractNumId w:val="16"/>
  </w:num>
  <w:num w:numId="24">
    <w:abstractNumId w:val="22"/>
  </w:num>
  <w:num w:numId="25">
    <w:abstractNumId w:val="24"/>
  </w:num>
  <w:num w:numId="26">
    <w:abstractNumId w:val="25"/>
  </w:num>
  <w:num w:numId="27">
    <w:abstractNumId w:val="12"/>
  </w:num>
  <w:num w:numId="28">
    <w:abstractNumId w:val="14"/>
  </w:num>
  <w:num w:numId="29">
    <w:abstractNumId w:val="17"/>
  </w:num>
  <w:num w:numId="30">
    <w:abstractNumId w:val="3"/>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1F08"/>
  <w:stylePaneSortMethod w:val="0000"/>
  <w:defaultTabStop w:val="720"/>
  <w:characterSpacingControl w:val="doNotCompress"/>
  <w:hdrShapeDefaults>
    <o:shapedefaults v:ext="edit" spidmax="10246"/>
    <o:shapelayout v:ext="edit">
      <o:idmap v:ext="edit" data="10"/>
      <o:rules v:ext="edit">
        <o:r id="V:Rule1" type="connector" idref="#AutoShape 7"/>
      </o:rules>
    </o:shapelayout>
  </w:hdrShapeDefaults>
  <w:footnotePr>
    <w:footnote w:id="-1"/>
    <w:footnote w:id="0"/>
    <w:footnote w:id="1"/>
  </w:footnotePr>
  <w:endnotePr>
    <w:endnote w:id="-1"/>
    <w:endnote w:id="0"/>
  </w:endnotePr>
  <w:compat>
    <w:useFELayout/>
  </w:compat>
  <w:rsids>
    <w:rsidRoot w:val="00DB6494"/>
    <w:rsid w:val="000011FF"/>
    <w:rsid w:val="00011AFF"/>
    <w:rsid w:val="00025D50"/>
    <w:rsid w:val="000268BC"/>
    <w:rsid w:val="00026FAD"/>
    <w:rsid w:val="0002730D"/>
    <w:rsid w:val="00027B8D"/>
    <w:rsid w:val="000412BB"/>
    <w:rsid w:val="000452E3"/>
    <w:rsid w:val="00053818"/>
    <w:rsid w:val="000612BC"/>
    <w:rsid w:val="00065A0D"/>
    <w:rsid w:val="000666E7"/>
    <w:rsid w:val="00081569"/>
    <w:rsid w:val="000823B4"/>
    <w:rsid w:val="000853C5"/>
    <w:rsid w:val="00085539"/>
    <w:rsid w:val="00090E9F"/>
    <w:rsid w:val="00091D7B"/>
    <w:rsid w:val="00097EE4"/>
    <w:rsid w:val="000A518C"/>
    <w:rsid w:val="000B3D52"/>
    <w:rsid w:val="000C1EED"/>
    <w:rsid w:val="000C517F"/>
    <w:rsid w:val="000D1950"/>
    <w:rsid w:val="000D4287"/>
    <w:rsid w:val="000D5EC0"/>
    <w:rsid w:val="000E3C72"/>
    <w:rsid w:val="000E4902"/>
    <w:rsid w:val="000F2D5D"/>
    <w:rsid w:val="000F34CB"/>
    <w:rsid w:val="00113720"/>
    <w:rsid w:val="00116546"/>
    <w:rsid w:val="001228FE"/>
    <w:rsid w:val="00123319"/>
    <w:rsid w:val="001437FD"/>
    <w:rsid w:val="00161EBF"/>
    <w:rsid w:val="00165248"/>
    <w:rsid w:val="00165D83"/>
    <w:rsid w:val="0016679C"/>
    <w:rsid w:val="00173102"/>
    <w:rsid w:val="00185B4B"/>
    <w:rsid w:val="0019080D"/>
    <w:rsid w:val="00191B5A"/>
    <w:rsid w:val="00191C0D"/>
    <w:rsid w:val="00197E8D"/>
    <w:rsid w:val="001A526F"/>
    <w:rsid w:val="001B01DB"/>
    <w:rsid w:val="001B03A8"/>
    <w:rsid w:val="001B6030"/>
    <w:rsid w:val="001C15D7"/>
    <w:rsid w:val="001D07B8"/>
    <w:rsid w:val="001D2252"/>
    <w:rsid w:val="001D2E77"/>
    <w:rsid w:val="001D72CF"/>
    <w:rsid w:val="001E723A"/>
    <w:rsid w:val="001F517C"/>
    <w:rsid w:val="001F712C"/>
    <w:rsid w:val="002024D0"/>
    <w:rsid w:val="00211200"/>
    <w:rsid w:val="00214D1D"/>
    <w:rsid w:val="00214E02"/>
    <w:rsid w:val="002307F8"/>
    <w:rsid w:val="00232F19"/>
    <w:rsid w:val="00247896"/>
    <w:rsid w:val="002516BD"/>
    <w:rsid w:val="00254D5A"/>
    <w:rsid w:val="002555E4"/>
    <w:rsid w:val="00255919"/>
    <w:rsid w:val="0027264A"/>
    <w:rsid w:val="00276368"/>
    <w:rsid w:val="00277E7B"/>
    <w:rsid w:val="00290CDD"/>
    <w:rsid w:val="00294F44"/>
    <w:rsid w:val="002968CC"/>
    <w:rsid w:val="002A3021"/>
    <w:rsid w:val="002A3858"/>
    <w:rsid w:val="002A4D1F"/>
    <w:rsid w:val="002B0777"/>
    <w:rsid w:val="002B72EA"/>
    <w:rsid w:val="002C0128"/>
    <w:rsid w:val="002C5575"/>
    <w:rsid w:val="002D6597"/>
    <w:rsid w:val="002D7F77"/>
    <w:rsid w:val="002E34DD"/>
    <w:rsid w:val="002F520C"/>
    <w:rsid w:val="0030701E"/>
    <w:rsid w:val="00307869"/>
    <w:rsid w:val="00312F3B"/>
    <w:rsid w:val="00315720"/>
    <w:rsid w:val="00317ADD"/>
    <w:rsid w:val="00320CFB"/>
    <w:rsid w:val="00322D28"/>
    <w:rsid w:val="0032382F"/>
    <w:rsid w:val="0034503F"/>
    <w:rsid w:val="00346F80"/>
    <w:rsid w:val="0034719D"/>
    <w:rsid w:val="00364A7C"/>
    <w:rsid w:val="003748C4"/>
    <w:rsid w:val="0037535A"/>
    <w:rsid w:val="00381FB6"/>
    <w:rsid w:val="00390354"/>
    <w:rsid w:val="00390660"/>
    <w:rsid w:val="003A3353"/>
    <w:rsid w:val="003B02DB"/>
    <w:rsid w:val="003B3CD3"/>
    <w:rsid w:val="003B58E4"/>
    <w:rsid w:val="003C50C4"/>
    <w:rsid w:val="003C5B57"/>
    <w:rsid w:val="003C7C1B"/>
    <w:rsid w:val="003E31C9"/>
    <w:rsid w:val="003E4995"/>
    <w:rsid w:val="003E7468"/>
    <w:rsid w:val="003F4F9F"/>
    <w:rsid w:val="00404E8A"/>
    <w:rsid w:val="004102E2"/>
    <w:rsid w:val="004110D9"/>
    <w:rsid w:val="00415C4D"/>
    <w:rsid w:val="00421188"/>
    <w:rsid w:val="0042367D"/>
    <w:rsid w:val="0042543F"/>
    <w:rsid w:val="00427B26"/>
    <w:rsid w:val="00434994"/>
    <w:rsid w:val="00434C0C"/>
    <w:rsid w:val="004351EE"/>
    <w:rsid w:val="00436E8D"/>
    <w:rsid w:val="0044224B"/>
    <w:rsid w:val="004457B7"/>
    <w:rsid w:val="00450CD1"/>
    <w:rsid w:val="00456C2C"/>
    <w:rsid w:val="004573AC"/>
    <w:rsid w:val="00461E17"/>
    <w:rsid w:val="00472330"/>
    <w:rsid w:val="00477C9C"/>
    <w:rsid w:val="00486CC6"/>
    <w:rsid w:val="00491259"/>
    <w:rsid w:val="00494E11"/>
    <w:rsid w:val="004A2816"/>
    <w:rsid w:val="004A6C0D"/>
    <w:rsid w:val="004B5EC0"/>
    <w:rsid w:val="004C058D"/>
    <w:rsid w:val="004D06C7"/>
    <w:rsid w:val="004D3F7C"/>
    <w:rsid w:val="004E2149"/>
    <w:rsid w:val="004E35F3"/>
    <w:rsid w:val="004E50CD"/>
    <w:rsid w:val="004F356A"/>
    <w:rsid w:val="004F3D6F"/>
    <w:rsid w:val="004F66BC"/>
    <w:rsid w:val="00511F2C"/>
    <w:rsid w:val="005120C4"/>
    <w:rsid w:val="005343C1"/>
    <w:rsid w:val="00535A6A"/>
    <w:rsid w:val="00537B28"/>
    <w:rsid w:val="00545090"/>
    <w:rsid w:val="0054568E"/>
    <w:rsid w:val="00546098"/>
    <w:rsid w:val="00547DFB"/>
    <w:rsid w:val="00553EAF"/>
    <w:rsid w:val="005541CB"/>
    <w:rsid w:val="005554AD"/>
    <w:rsid w:val="00566DA6"/>
    <w:rsid w:val="005728F1"/>
    <w:rsid w:val="00573B14"/>
    <w:rsid w:val="00586078"/>
    <w:rsid w:val="005861B8"/>
    <w:rsid w:val="0059339A"/>
    <w:rsid w:val="005B162E"/>
    <w:rsid w:val="005B2793"/>
    <w:rsid w:val="005B509E"/>
    <w:rsid w:val="005B6925"/>
    <w:rsid w:val="005C153F"/>
    <w:rsid w:val="005D03E2"/>
    <w:rsid w:val="005D1DAC"/>
    <w:rsid w:val="005D59BF"/>
    <w:rsid w:val="005D77FF"/>
    <w:rsid w:val="005E0378"/>
    <w:rsid w:val="005F1C28"/>
    <w:rsid w:val="00603331"/>
    <w:rsid w:val="00605BE7"/>
    <w:rsid w:val="00614D19"/>
    <w:rsid w:val="0061670B"/>
    <w:rsid w:val="00616D5B"/>
    <w:rsid w:val="00616EF3"/>
    <w:rsid w:val="00617CD2"/>
    <w:rsid w:val="00620E4C"/>
    <w:rsid w:val="00621CD7"/>
    <w:rsid w:val="00627BA3"/>
    <w:rsid w:val="0063130E"/>
    <w:rsid w:val="006325A5"/>
    <w:rsid w:val="006343EB"/>
    <w:rsid w:val="00644127"/>
    <w:rsid w:val="00645716"/>
    <w:rsid w:val="00647F78"/>
    <w:rsid w:val="00650265"/>
    <w:rsid w:val="006614BD"/>
    <w:rsid w:val="0066539F"/>
    <w:rsid w:val="00670AEC"/>
    <w:rsid w:val="006731F1"/>
    <w:rsid w:val="00675428"/>
    <w:rsid w:val="00685973"/>
    <w:rsid w:val="00697D35"/>
    <w:rsid w:val="006A360F"/>
    <w:rsid w:val="006A379C"/>
    <w:rsid w:val="006B29F2"/>
    <w:rsid w:val="006D0253"/>
    <w:rsid w:val="006D1EB1"/>
    <w:rsid w:val="006D2330"/>
    <w:rsid w:val="006F181C"/>
    <w:rsid w:val="006F4177"/>
    <w:rsid w:val="006F6354"/>
    <w:rsid w:val="00701182"/>
    <w:rsid w:val="00725ABA"/>
    <w:rsid w:val="00727E61"/>
    <w:rsid w:val="0075516C"/>
    <w:rsid w:val="0075573B"/>
    <w:rsid w:val="00763623"/>
    <w:rsid w:val="00776F2C"/>
    <w:rsid w:val="007820C5"/>
    <w:rsid w:val="007858C8"/>
    <w:rsid w:val="00787A89"/>
    <w:rsid w:val="00787BB7"/>
    <w:rsid w:val="00791999"/>
    <w:rsid w:val="00792F42"/>
    <w:rsid w:val="0079408F"/>
    <w:rsid w:val="007A056A"/>
    <w:rsid w:val="007A33AE"/>
    <w:rsid w:val="007B0EC5"/>
    <w:rsid w:val="007B22EC"/>
    <w:rsid w:val="007B4A8E"/>
    <w:rsid w:val="007C2068"/>
    <w:rsid w:val="007C586E"/>
    <w:rsid w:val="007C5DCB"/>
    <w:rsid w:val="007E4146"/>
    <w:rsid w:val="007F3402"/>
    <w:rsid w:val="00802BF3"/>
    <w:rsid w:val="00811F47"/>
    <w:rsid w:val="00815597"/>
    <w:rsid w:val="0082526B"/>
    <w:rsid w:val="00827DDE"/>
    <w:rsid w:val="00831890"/>
    <w:rsid w:val="008333F9"/>
    <w:rsid w:val="00843A7E"/>
    <w:rsid w:val="00845851"/>
    <w:rsid w:val="00854E4E"/>
    <w:rsid w:val="00856128"/>
    <w:rsid w:val="00857555"/>
    <w:rsid w:val="00872D4B"/>
    <w:rsid w:val="008756AD"/>
    <w:rsid w:val="008756C8"/>
    <w:rsid w:val="00881FF8"/>
    <w:rsid w:val="00894E00"/>
    <w:rsid w:val="00897047"/>
    <w:rsid w:val="008A0B45"/>
    <w:rsid w:val="008C31A1"/>
    <w:rsid w:val="008D26E3"/>
    <w:rsid w:val="008D430D"/>
    <w:rsid w:val="008E3C49"/>
    <w:rsid w:val="008E529B"/>
    <w:rsid w:val="008F35B3"/>
    <w:rsid w:val="008F5A9F"/>
    <w:rsid w:val="008F7FB6"/>
    <w:rsid w:val="009103A1"/>
    <w:rsid w:val="00910CA5"/>
    <w:rsid w:val="00910FE9"/>
    <w:rsid w:val="0092042A"/>
    <w:rsid w:val="0092314A"/>
    <w:rsid w:val="009235C1"/>
    <w:rsid w:val="009272FD"/>
    <w:rsid w:val="009321A9"/>
    <w:rsid w:val="009369CB"/>
    <w:rsid w:val="0095056C"/>
    <w:rsid w:val="0095702A"/>
    <w:rsid w:val="00981427"/>
    <w:rsid w:val="00994053"/>
    <w:rsid w:val="00995554"/>
    <w:rsid w:val="009A28A9"/>
    <w:rsid w:val="009A6CFF"/>
    <w:rsid w:val="009C0911"/>
    <w:rsid w:val="009C1C9A"/>
    <w:rsid w:val="009C29CD"/>
    <w:rsid w:val="009C362C"/>
    <w:rsid w:val="009C4B08"/>
    <w:rsid w:val="009C6A89"/>
    <w:rsid w:val="009D575C"/>
    <w:rsid w:val="009D7FE1"/>
    <w:rsid w:val="009F4481"/>
    <w:rsid w:val="009F7F7B"/>
    <w:rsid w:val="00A02BBC"/>
    <w:rsid w:val="00A06063"/>
    <w:rsid w:val="00A0650E"/>
    <w:rsid w:val="00A06F93"/>
    <w:rsid w:val="00A1370B"/>
    <w:rsid w:val="00A143BE"/>
    <w:rsid w:val="00A15221"/>
    <w:rsid w:val="00A20028"/>
    <w:rsid w:val="00A20090"/>
    <w:rsid w:val="00A22ADF"/>
    <w:rsid w:val="00A2777B"/>
    <w:rsid w:val="00A32DD1"/>
    <w:rsid w:val="00A4614C"/>
    <w:rsid w:val="00A46F58"/>
    <w:rsid w:val="00A5516F"/>
    <w:rsid w:val="00A57A7B"/>
    <w:rsid w:val="00A57C8A"/>
    <w:rsid w:val="00A63F22"/>
    <w:rsid w:val="00A71ADC"/>
    <w:rsid w:val="00A8214C"/>
    <w:rsid w:val="00A97FBB"/>
    <w:rsid w:val="00AA6403"/>
    <w:rsid w:val="00AB1442"/>
    <w:rsid w:val="00AB2631"/>
    <w:rsid w:val="00AB441A"/>
    <w:rsid w:val="00AB5888"/>
    <w:rsid w:val="00AC4F18"/>
    <w:rsid w:val="00AC56D9"/>
    <w:rsid w:val="00AC692F"/>
    <w:rsid w:val="00AD2BBD"/>
    <w:rsid w:val="00AD2F9C"/>
    <w:rsid w:val="00AD3033"/>
    <w:rsid w:val="00AE14C6"/>
    <w:rsid w:val="00AE30AC"/>
    <w:rsid w:val="00AE5A44"/>
    <w:rsid w:val="00AF0242"/>
    <w:rsid w:val="00B01383"/>
    <w:rsid w:val="00B01754"/>
    <w:rsid w:val="00B02017"/>
    <w:rsid w:val="00B0525B"/>
    <w:rsid w:val="00B0585A"/>
    <w:rsid w:val="00B06D46"/>
    <w:rsid w:val="00B10354"/>
    <w:rsid w:val="00B13D76"/>
    <w:rsid w:val="00B21E7F"/>
    <w:rsid w:val="00B23F7F"/>
    <w:rsid w:val="00B335FB"/>
    <w:rsid w:val="00B40C0C"/>
    <w:rsid w:val="00B54681"/>
    <w:rsid w:val="00B55A5C"/>
    <w:rsid w:val="00B65D32"/>
    <w:rsid w:val="00B70AFA"/>
    <w:rsid w:val="00B70E1A"/>
    <w:rsid w:val="00B70EB0"/>
    <w:rsid w:val="00B73466"/>
    <w:rsid w:val="00B759EF"/>
    <w:rsid w:val="00B81E92"/>
    <w:rsid w:val="00B9378E"/>
    <w:rsid w:val="00BB797E"/>
    <w:rsid w:val="00BD18E1"/>
    <w:rsid w:val="00BD7B11"/>
    <w:rsid w:val="00BE6FDE"/>
    <w:rsid w:val="00BF524B"/>
    <w:rsid w:val="00BF66EB"/>
    <w:rsid w:val="00C00FE5"/>
    <w:rsid w:val="00C02423"/>
    <w:rsid w:val="00C10CD7"/>
    <w:rsid w:val="00C10DD0"/>
    <w:rsid w:val="00C157EC"/>
    <w:rsid w:val="00C15C7C"/>
    <w:rsid w:val="00C205F8"/>
    <w:rsid w:val="00C23507"/>
    <w:rsid w:val="00C242F0"/>
    <w:rsid w:val="00C279E4"/>
    <w:rsid w:val="00C40BCF"/>
    <w:rsid w:val="00C5095E"/>
    <w:rsid w:val="00C561D3"/>
    <w:rsid w:val="00C61005"/>
    <w:rsid w:val="00C6217B"/>
    <w:rsid w:val="00C6300E"/>
    <w:rsid w:val="00C80BD3"/>
    <w:rsid w:val="00C979EE"/>
    <w:rsid w:val="00CA243F"/>
    <w:rsid w:val="00CA3D48"/>
    <w:rsid w:val="00CA5156"/>
    <w:rsid w:val="00CA70D4"/>
    <w:rsid w:val="00CA771C"/>
    <w:rsid w:val="00CB48E0"/>
    <w:rsid w:val="00CD4CE7"/>
    <w:rsid w:val="00CE7487"/>
    <w:rsid w:val="00CE749C"/>
    <w:rsid w:val="00CF5537"/>
    <w:rsid w:val="00D00816"/>
    <w:rsid w:val="00D07734"/>
    <w:rsid w:val="00D16DA6"/>
    <w:rsid w:val="00D23B73"/>
    <w:rsid w:val="00D3292D"/>
    <w:rsid w:val="00D40E3F"/>
    <w:rsid w:val="00D41F40"/>
    <w:rsid w:val="00D43B17"/>
    <w:rsid w:val="00D46F17"/>
    <w:rsid w:val="00D54E7B"/>
    <w:rsid w:val="00DB037E"/>
    <w:rsid w:val="00DB10EA"/>
    <w:rsid w:val="00DB1DFD"/>
    <w:rsid w:val="00DB4116"/>
    <w:rsid w:val="00DB5F20"/>
    <w:rsid w:val="00DB6494"/>
    <w:rsid w:val="00DC0854"/>
    <w:rsid w:val="00DC0BCE"/>
    <w:rsid w:val="00DC60BD"/>
    <w:rsid w:val="00DC7F8E"/>
    <w:rsid w:val="00DD06A3"/>
    <w:rsid w:val="00DD13E6"/>
    <w:rsid w:val="00DD64A0"/>
    <w:rsid w:val="00DD76AE"/>
    <w:rsid w:val="00DE4191"/>
    <w:rsid w:val="00DE748D"/>
    <w:rsid w:val="00DF33AB"/>
    <w:rsid w:val="00DF3451"/>
    <w:rsid w:val="00DF7B53"/>
    <w:rsid w:val="00E00D60"/>
    <w:rsid w:val="00E011CA"/>
    <w:rsid w:val="00E07648"/>
    <w:rsid w:val="00E25DE5"/>
    <w:rsid w:val="00E26AE5"/>
    <w:rsid w:val="00E5258D"/>
    <w:rsid w:val="00E54C22"/>
    <w:rsid w:val="00E603B3"/>
    <w:rsid w:val="00E65C3D"/>
    <w:rsid w:val="00E717D5"/>
    <w:rsid w:val="00E80E14"/>
    <w:rsid w:val="00E96874"/>
    <w:rsid w:val="00EB00E7"/>
    <w:rsid w:val="00EB3C74"/>
    <w:rsid w:val="00EB58A1"/>
    <w:rsid w:val="00EC5B95"/>
    <w:rsid w:val="00EC7912"/>
    <w:rsid w:val="00EC7FF5"/>
    <w:rsid w:val="00ED7C5E"/>
    <w:rsid w:val="00EF3FC4"/>
    <w:rsid w:val="00F00248"/>
    <w:rsid w:val="00F02C4E"/>
    <w:rsid w:val="00F11661"/>
    <w:rsid w:val="00F1267B"/>
    <w:rsid w:val="00F1471D"/>
    <w:rsid w:val="00F27B0A"/>
    <w:rsid w:val="00F311C7"/>
    <w:rsid w:val="00F37326"/>
    <w:rsid w:val="00F42024"/>
    <w:rsid w:val="00F54C5E"/>
    <w:rsid w:val="00F712CC"/>
    <w:rsid w:val="00F7722F"/>
    <w:rsid w:val="00F80FD7"/>
    <w:rsid w:val="00F82300"/>
    <w:rsid w:val="00F86C51"/>
    <w:rsid w:val="00F9470D"/>
    <w:rsid w:val="00F95A87"/>
    <w:rsid w:val="00F95EC3"/>
    <w:rsid w:val="00FA7054"/>
    <w:rsid w:val="00FC0168"/>
    <w:rsid w:val="00FC31F1"/>
    <w:rsid w:val="00FC6604"/>
    <w:rsid w:val="00FC72FA"/>
    <w:rsid w:val="00FD1B26"/>
    <w:rsid w:val="00FD289D"/>
    <w:rsid w:val="00FD58DE"/>
    <w:rsid w:val="00FE1460"/>
    <w:rsid w:val="00FE7110"/>
    <w:rsid w:val="00FF19B1"/>
    <w:rsid w:val="00FF447D"/>
    <w:rsid w:val="00FF701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6"/>
    <o:shapelayout v:ext="edit">
      <o:idmap v:ext="edit" data="1"/>
      <o:rules v:ext="edit">
        <o:r id="V:Rule1" type="connector" idref="#Straight Arrow Connector 299"/>
        <o:r id="V:Rule2" type="connector" idref="#Straight Arrow Connector 317"/>
        <o:r id="V:Rule3" type="connector" idref="#Straight Arrow Connector 3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lock Text" w:uiPriority="1"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rsid w:val="009C0911"/>
    <w:pPr>
      <w:spacing w:after="0" w:line="240" w:lineRule="auto"/>
    </w:pPr>
    <w:rPr>
      <w:rFonts w:eastAsia="Times New Roman"/>
      <w:sz w:val="24"/>
      <w:szCs w:val="24"/>
    </w:rPr>
  </w:style>
  <w:style w:type="paragraph" w:styleId="Heading1">
    <w:name w:val="heading 1"/>
    <w:next w:val="BodyText"/>
    <w:link w:val="Heading1Char"/>
    <w:uiPriority w:val="9"/>
    <w:qFormat/>
    <w:rsid w:val="009C362C"/>
    <w:pPr>
      <w:spacing w:before="4900" w:after="120" w:line="240" w:lineRule="auto"/>
      <w:outlineLvl w:val="0"/>
    </w:pPr>
    <w:rPr>
      <w:rFonts w:ascii="Arial" w:eastAsia="Perpetua" w:hAnsi="Arial" w:cs="Times New Roman"/>
      <w:b/>
      <w:color w:val="003462" w:themeColor="text2"/>
      <w:sz w:val="48"/>
      <w:szCs w:val="50"/>
    </w:rPr>
  </w:style>
  <w:style w:type="paragraph" w:styleId="Heading2">
    <w:name w:val="heading 2"/>
    <w:next w:val="BodyText"/>
    <w:link w:val="Heading2Char"/>
    <w:uiPriority w:val="9"/>
    <w:qFormat/>
    <w:rsid w:val="00DB6494"/>
    <w:pPr>
      <w:keepNext/>
      <w:keepLines/>
      <w:spacing w:before="240" w:after="120" w:line="240" w:lineRule="auto"/>
      <w:outlineLvl w:val="1"/>
    </w:pPr>
    <w:rPr>
      <w:rFonts w:asciiTheme="majorHAnsi" w:eastAsia="Times New Roman" w:hAnsiTheme="majorHAnsi" w:cs="Times New Roman"/>
      <w:b/>
      <w:bCs/>
      <w:sz w:val="36"/>
      <w:szCs w:val="36"/>
    </w:rPr>
  </w:style>
  <w:style w:type="paragraph" w:styleId="Heading3">
    <w:name w:val="heading 3"/>
    <w:next w:val="BodyText"/>
    <w:link w:val="Heading3Char"/>
    <w:uiPriority w:val="9"/>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9"/>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9"/>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paragraph" w:styleId="Heading7">
    <w:name w:val="heading 7"/>
    <w:basedOn w:val="Normal"/>
    <w:next w:val="Normal"/>
    <w:link w:val="Heading7Char"/>
    <w:uiPriority w:val="9"/>
    <w:unhideWhenUsed/>
    <w:qFormat/>
    <w:rsid w:val="00ED7C5E"/>
    <w:pPr>
      <w:keepNext/>
      <w:keepLines/>
      <w:spacing w:before="40"/>
      <w:outlineLvl w:val="6"/>
    </w:pPr>
    <w:rPr>
      <w:rFonts w:asciiTheme="majorHAnsi" w:eastAsiaTheme="majorEastAsia" w:hAnsiTheme="majorHAnsi" w:cstheme="majorBidi"/>
      <w:i/>
      <w:iCs/>
      <w:color w:val="253A4F"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basedOn w:val="Normal"/>
    <w:uiPriority w:val="99"/>
    <w:rsid w:val="001B6030"/>
    <w:pPr>
      <w:suppressAutoHyphens/>
      <w:spacing w:before="480" w:after="120"/>
    </w:pPr>
    <w:rPr>
      <w:rFonts w:ascii="Arial" w:eastAsia="Calibri" w:hAnsi="Arial" w:cstheme="majorHAnsi"/>
      <w:color w:val="003462" w:themeColor="text2"/>
    </w:rPr>
  </w:style>
  <w:style w:type="paragraph" w:customStyle="1" w:styleId="AboutAIRText">
    <w:name w:val="About AIR Text"/>
    <w:basedOn w:val="Normal"/>
    <w:uiPriority w:val="99"/>
    <w:rsid w:val="001B6030"/>
    <w:pPr>
      <w:suppressAutoHyphens/>
      <w:autoSpaceDE w:val="0"/>
      <w:autoSpaceDN w:val="0"/>
      <w:adjustRightInd w:val="0"/>
      <w:spacing w:before="300" w:line="360" w:lineRule="auto"/>
      <w:ind w:right="1728"/>
      <w:textAlignment w:val="center"/>
    </w:pPr>
    <w:rPr>
      <w:rFonts w:ascii="Arial" w:eastAsia="Calibri" w:hAnsi="Arial" w:cstheme="majorHAnsi"/>
      <w:bCs/>
      <w:color w:val="000000"/>
      <w:sz w:val="18"/>
      <w:szCs w:val="18"/>
    </w:rPr>
  </w:style>
  <w:style w:type="table" w:customStyle="1" w:styleId="AIRBlueTable">
    <w:name w:val="AIR Blue Table"/>
    <w:basedOn w:val="TableNormal"/>
    <w:uiPriority w:val="99"/>
    <w:rsid w:val="00763623"/>
    <w:pPr>
      <w:spacing w:before="40" w:after="40" w:line="240" w:lineRule="auto"/>
    </w:pPr>
    <w:rPr>
      <w:rFonts w:asciiTheme="majorHAnsi" w:eastAsia="Times New Roman" w:hAnsiTheme="majorHAnsi" w:cs="Times New Roman"/>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Ind w:w="0" w:type="dxa"/>
      <w:tblBorders>
        <w:top w:val="single" w:sz="12" w:space="0" w:color="D4D4D4" w:themeColor="background2"/>
      </w:tblBorders>
      <w:tblCellMar>
        <w:top w:w="0" w:type="dxa"/>
        <w:left w:w="108" w:type="dxa"/>
        <w:bottom w:w="0" w:type="dxa"/>
        <w:right w:w="108" w:type="dxa"/>
      </w:tblCellMar>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uiPriority w:val="4"/>
    <w:qFormat/>
    <w:rsid w:val="00494E11"/>
    <w:pPr>
      <w:keepLines/>
      <w:numPr>
        <w:numId w:val="7"/>
      </w:numPr>
      <w:spacing w:before="120"/>
    </w:pPr>
  </w:style>
  <w:style w:type="paragraph" w:styleId="BodyText">
    <w:name w:val="Body Text"/>
    <w:link w:val="BodyTextChar"/>
    <w:qFormat/>
    <w:rsid w:val="00DB6494"/>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B6494"/>
    <w:rPr>
      <w:rFonts w:eastAsia="Times New Roman" w:cs="Times New Roman"/>
      <w:sz w:val="24"/>
      <w:szCs w:val="24"/>
    </w:rPr>
  </w:style>
  <w:style w:type="paragraph" w:customStyle="1" w:styleId="Bullet2">
    <w:name w:val="Bullet 2"/>
    <w:basedOn w:val="BodyText"/>
    <w:uiPriority w:val="4"/>
    <w:qFormat/>
    <w:rsid w:val="00494E11"/>
    <w:pPr>
      <w:keepLines/>
      <w:numPr>
        <w:ilvl w:val="1"/>
        <w:numId w:val="7"/>
      </w:numPr>
      <w:spacing w:before="120"/>
    </w:pPr>
  </w:style>
  <w:style w:type="paragraph" w:customStyle="1" w:styleId="Bullet3">
    <w:name w:val="Bullet 3"/>
    <w:basedOn w:val="BodyText"/>
    <w:uiPriority w:val="4"/>
    <w:qFormat/>
    <w:rsid w:val="00494E11"/>
    <w:pPr>
      <w:keepLines/>
      <w:numPr>
        <w:ilvl w:val="2"/>
        <w:numId w:val="7"/>
      </w:numPr>
      <w:spacing w:before="120"/>
      <w:contextualSpacing/>
    </w:pPr>
  </w:style>
  <w:style w:type="paragraph" w:customStyle="1" w:styleId="NumberedList">
    <w:name w:val="Numbered List"/>
    <w:basedOn w:val="BodyText"/>
    <w:uiPriority w:val="4"/>
    <w:qFormat/>
    <w:rsid w:val="00494E11"/>
    <w:pPr>
      <w:keepLines/>
      <w:numPr>
        <w:numId w:val="8"/>
      </w:numPr>
      <w:spacing w:before="120"/>
    </w:pPr>
  </w:style>
  <w:style w:type="paragraph" w:customStyle="1" w:styleId="TableBullet1">
    <w:name w:val="Table Bullet 1"/>
    <w:basedOn w:val="Normal"/>
    <w:uiPriority w:val="16"/>
    <w:qFormat/>
    <w:rsid w:val="00DB6494"/>
    <w:pPr>
      <w:numPr>
        <w:numId w:val="9"/>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9"/>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10"/>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35"/>
    <w:unhideWhenUsed/>
    <w:qFormat/>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1B6030"/>
    <w:pPr>
      <w:suppressAutoHyphens/>
      <w:autoSpaceDE w:val="0"/>
      <w:autoSpaceDN w:val="0"/>
      <w:adjustRightInd w:val="0"/>
      <w:spacing w:after="0" w:line="288" w:lineRule="auto"/>
      <w:textAlignment w:val="center"/>
    </w:pPr>
    <w:rPr>
      <w:rFonts w:ascii="Arial" w:eastAsia="Calibri" w:hAnsi="Arial" w:cs="Franklin Gothic Book"/>
      <w:bCs/>
      <w:color w:val="000000"/>
      <w:sz w:val="20"/>
      <w:szCs w:val="20"/>
    </w:rPr>
  </w:style>
  <w:style w:type="paragraph" w:customStyle="1" w:styleId="CoverBackFooter">
    <w:name w:val="Cover Back Footer"/>
    <w:uiPriority w:val="99"/>
    <w:rsid w:val="001B6030"/>
    <w:pPr>
      <w:tabs>
        <w:tab w:val="center" w:pos="4680"/>
        <w:tab w:val="right" w:pos="9360"/>
      </w:tabs>
      <w:spacing w:after="0" w:line="240" w:lineRule="auto"/>
      <w:jc w:val="right"/>
    </w:pPr>
    <w:rPr>
      <w:rFonts w:ascii="Arial" w:eastAsia="Times New Roman" w:hAnsi="Arial" w:cs="Times New Roman"/>
      <w:sz w:val="16"/>
      <w:szCs w:val="18"/>
    </w:rPr>
  </w:style>
  <w:style w:type="paragraph" w:customStyle="1" w:styleId="CoverBackURL">
    <w:name w:val="Cover Back URL"/>
    <w:uiPriority w:val="99"/>
    <w:rsid w:val="004D3F7C"/>
    <w:pPr>
      <w:suppressAutoHyphens/>
      <w:autoSpaceDE w:val="0"/>
      <w:autoSpaceDN w:val="0"/>
      <w:adjustRightInd w:val="0"/>
      <w:spacing w:before="90" w:after="0" w:line="288" w:lineRule="auto"/>
      <w:textAlignment w:val="center"/>
    </w:pPr>
    <w:rPr>
      <w:rFonts w:ascii="Arial" w:eastAsia="Calibri" w:hAnsi="Arial" w:cs="Franklin Gothic Demi"/>
      <w:b/>
      <w:bCs/>
      <w:color w:val="000000"/>
      <w:sz w:val="20"/>
      <w:szCs w:val="20"/>
    </w:rPr>
  </w:style>
  <w:style w:type="paragraph" w:customStyle="1" w:styleId="CoverFrontOrganization">
    <w:name w:val="Cover Front Organization"/>
    <w:link w:val="CoverFrontOrganizationChar"/>
    <w:uiPriority w:val="99"/>
    <w:rsid w:val="00B02017"/>
    <w:pPr>
      <w:spacing w:before="120" w:after="0" w:line="240" w:lineRule="auto"/>
    </w:pPr>
    <w:rPr>
      <w:rFonts w:ascii="Arial" w:eastAsia="Perpetua" w:hAnsi="Arial" w:cs="Times New Roman"/>
      <w:b/>
      <w:i/>
      <w:color w:val="595959"/>
      <w:sz w:val="28"/>
      <w:szCs w:val="28"/>
    </w:rPr>
  </w:style>
  <w:style w:type="character" w:customStyle="1" w:styleId="CoverFrontOrganizationChar">
    <w:name w:val="Cover Front Organization Char"/>
    <w:basedOn w:val="DefaultParagraphFont"/>
    <w:link w:val="CoverFrontOrganization"/>
    <w:uiPriority w:val="99"/>
    <w:rsid w:val="00B02017"/>
    <w:rPr>
      <w:rFonts w:ascii="Arial" w:eastAsia="Perpetua" w:hAnsi="Arial" w:cs="Times New Roman"/>
      <w:b/>
      <w:i/>
      <w:color w:val="595959"/>
      <w:sz w:val="28"/>
      <w:szCs w:val="28"/>
    </w:rPr>
  </w:style>
  <w:style w:type="paragraph" w:customStyle="1" w:styleId="CoverFrontAuthorName">
    <w:name w:val="Cover Front Author Name"/>
    <w:link w:val="CoverFrontAuthorNameChar"/>
    <w:uiPriority w:val="99"/>
    <w:rsid w:val="009C362C"/>
    <w:pPr>
      <w:spacing w:before="480" w:after="0" w:line="240" w:lineRule="auto"/>
    </w:pPr>
    <w:rPr>
      <w:rFonts w:ascii="Arial" w:eastAsia="Perpetua" w:hAnsi="Arial" w:cs="Times New Roman"/>
      <w:b/>
      <w:color w:val="595959"/>
      <w:sz w:val="28"/>
      <w:szCs w:val="28"/>
    </w:rPr>
  </w:style>
  <w:style w:type="character" w:customStyle="1" w:styleId="CoverFrontAuthorNameChar">
    <w:name w:val="Cover Front Author Name Char"/>
    <w:basedOn w:val="DefaultParagraphFont"/>
    <w:link w:val="CoverFrontAuthorName"/>
    <w:uiPriority w:val="99"/>
    <w:rsid w:val="009C362C"/>
    <w:rPr>
      <w:rFonts w:ascii="Arial" w:eastAsia="Perpetua" w:hAnsi="Arial" w:cs="Times New Roman"/>
      <w:b/>
      <w:color w:val="595959"/>
      <w:sz w:val="28"/>
      <w:szCs w:val="28"/>
    </w:rPr>
  </w:style>
  <w:style w:type="paragraph" w:customStyle="1" w:styleId="CoverFrontDate">
    <w:name w:val="Cover Front Date"/>
    <w:uiPriority w:val="99"/>
    <w:rsid w:val="004D3F7C"/>
    <w:pPr>
      <w:spacing w:after="0" w:line="240" w:lineRule="auto"/>
      <w:jc w:val="center"/>
    </w:pPr>
    <w:rPr>
      <w:rFonts w:ascii="Arial" w:eastAsia="Perpetua" w:hAnsi="Arial" w:cs="Times New Roman"/>
      <w:caps/>
      <w:color w:val="FFFFFF"/>
      <w:spacing w:val="12"/>
    </w:rPr>
  </w:style>
  <w:style w:type="paragraph" w:customStyle="1" w:styleId="CoverFrontProgram">
    <w:name w:val="Cover Front Program"/>
    <w:uiPriority w:val="99"/>
    <w:rsid w:val="004D3F7C"/>
    <w:pPr>
      <w:spacing w:before="720" w:after="0" w:line="240" w:lineRule="auto"/>
      <w:jc w:val="center"/>
    </w:pPr>
    <w:rPr>
      <w:rFonts w:ascii="Arial" w:eastAsia="Perpetua" w:hAnsi="Arial" w:cs="Times New Roman"/>
      <w:color w:val="FFFFFF"/>
      <w:sz w:val="20"/>
      <w:szCs w:val="20"/>
    </w:rPr>
  </w:style>
  <w:style w:type="paragraph" w:customStyle="1" w:styleId="TitlePageTitle">
    <w:name w:val="Title Page Title"/>
    <w:uiPriority w:val="1"/>
    <w:rsid w:val="00644127"/>
    <w:pPr>
      <w:spacing w:before="1040" w:after="0" w:line="240" w:lineRule="auto"/>
      <w:outlineLvl w:val="0"/>
    </w:pPr>
    <w:rPr>
      <w:rFonts w:ascii="Arial" w:eastAsia="Perpetua" w:hAnsi="Arial" w:cs="Times New Roman"/>
      <w:b/>
      <w:sz w:val="48"/>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aliases w:val="*Footnote Reference"/>
    <w:uiPriority w:val="99"/>
    <w:qFormat/>
    <w:rsid w:val="00DB6494"/>
    <w:rPr>
      <w:vertAlign w:val="superscript"/>
    </w:rPr>
  </w:style>
  <w:style w:type="paragraph" w:styleId="FootnoteText">
    <w:name w:val="footnote text"/>
    <w:aliases w:val="F1,*Footnote Text"/>
    <w:link w:val="FootnoteTextChar"/>
    <w:uiPriority w:val="99"/>
    <w:qFormat/>
    <w:rsid w:val="003C5B57"/>
    <w:pPr>
      <w:keepLines/>
      <w:spacing w:after="0" w:line="240" w:lineRule="auto"/>
    </w:pPr>
    <w:rPr>
      <w:rFonts w:eastAsia="Times New Roman" w:cs="Times New Roman"/>
      <w:sz w:val="20"/>
      <w:szCs w:val="20"/>
    </w:rPr>
  </w:style>
  <w:style w:type="character" w:customStyle="1" w:styleId="FootnoteTextChar">
    <w:name w:val="Footnote Text Char"/>
    <w:aliases w:val="F1 Char,*Footnote Text Char"/>
    <w:basedOn w:val="DefaultParagraphFont"/>
    <w:link w:val="FootnoteText"/>
    <w:uiPriority w:val="99"/>
    <w:rsid w:val="003C5B57"/>
    <w:rPr>
      <w:rFonts w:eastAsia="Times New Roman" w:cs="Times New Roman"/>
      <w:sz w:val="20"/>
      <w:szCs w:val="20"/>
    </w:rPr>
  </w:style>
  <w:style w:type="paragraph" w:styleId="Header">
    <w:name w:val="header"/>
    <w:link w:val="HeaderChar"/>
    <w:uiPriority w:val="99"/>
    <w:unhideWhenUsed/>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9C362C"/>
    <w:rPr>
      <w:rFonts w:ascii="Arial" w:eastAsia="Perpetua" w:hAnsi="Arial" w:cs="Times New Roman"/>
      <w:b/>
      <w:color w:val="003462" w:themeColor="text2"/>
      <w:sz w:val="48"/>
      <w:szCs w:val="50"/>
    </w:rPr>
  </w:style>
  <w:style w:type="character" w:customStyle="1" w:styleId="Heading2Char">
    <w:name w:val="Heading 2 Char"/>
    <w:basedOn w:val="DefaultParagraphFont"/>
    <w:link w:val="Heading2"/>
    <w:uiPriority w:val="9"/>
    <w:rsid w:val="00DB6494"/>
    <w:rPr>
      <w:rFonts w:asciiTheme="majorHAnsi" w:eastAsia="Times New Roman" w:hAnsiTheme="majorHAnsi" w:cs="Times New Roman"/>
      <w:b/>
      <w:bCs/>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9"/>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312F3B"/>
    <w:pPr>
      <w:keepNext/>
      <w:spacing w:before="240" w:after="12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312F3B"/>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9"/>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5861B8"/>
    <w:pPr>
      <w:tabs>
        <w:tab w:val="right" w:pos="9360"/>
      </w:tabs>
      <w:spacing w:after="58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5861B8"/>
    <w:rPr>
      <w:rFonts w:asciiTheme="majorHAnsi" w:eastAsia="Calibri" w:hAnsiTheme="majorHAnsi"/>
      <w:sz w:val="16"/>
      <w:szCs w:val="16"/>
    </w:rPr>
  </w:style>
  <w:style w:type="paragraph" w:customStyle="1" w:styleId="Reference">
    <w:name w:val="Reference"/>
    <w:link w:val="ReferenceChar"/>
    <w:uiPriority w:val="29"/>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9"/>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uiPriority w:val="15"/>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7A33AE"/>
    <w:pPr>
      <w:tabs>
        <w:tab w:val="right" w:leader="dot" w:pos="9350"/>
      </w:tabs>
      <w:spacing w:before="240" w:after="100"/>
      <w:ind w:right="720"/>
    </w:pPr>
  </w:style>
  <w:style w:type="paragraph" w:customStyle="1" w:styleId="TableSubheading">
    <w:name w:val="Table Subheading"/>
    <w:basedOn w:val="TableText"/>
    <w:uiPriority w:val="15"/>
    <w:qFormat/>
    <w:rsid w:val="00DB6494"/>
    <w:rPr>
      <w:b/>
      <w:szCs w:val="24"/>
    </w:rPr>
  </w:style>
  <w:style w:type="paragraph" w:customStyle="1" w:styleId="TableTextCentered">
    <w:name w:val="Table Text Centered"/>
    <w:basedOn w:val="TableText"/>
    <w:uiPriority w:val="6"/>
    <w:qFormat/>
    <w:rsid w:val="00DB6494"/>
    <w:pPr>
      <w:jc w:val="center"/>
    </w:pPr>
  </w:style>
  <w:style w:type="paragraph" w:customStyle="1" w:styleId="TableTitle">
    <w:name w:val="Table Title"/>
    <w:basedOn w:val="Caption"/>
    <w:next w:val="BodyText"/>
    <w:qFormat/>
    <w:rsid w:val="00DB6494"/>
  </w:style>
  <w:style w:type="paragraph" w:customStyle="1" w:styleId="TitlePageAddress">
    <w:name w:val="Title Page Address"/>
    <w:link w:val="TitlePageAddressChar"/>
    <w:uiPriority w:val="99"/>
    <w:rsid w:val="00DC7F8E"/>
    <w:pPr>
      <w:spacing w:before="240" w:after="0" w:line="240" w:lineRule="auto"/>
    </w:pPr>
    <w:rPr>
      <w:rFonts w:asciiTheme="majorHAnsi" w:eastAsia="Calibri" w:hAnsiTheme="majorHAnsi" w:cs="Times New Roman"/>
      <w:noProof/>
      <w:sz w:val="20"/>
      <w:szCs w:val="24"/>
    </w:rPr>
  </w:style>
  <w:style w:type="character" w:customStyle="1" w:styleId="TitlePageAddressChar">
    <w:name w:val="Title Page Address Char"/>
    <w:basedOn w:val="DefaultParagraphFont"/>
    <w:link w:val="TitlePageAddress"/>
    <w:uiPriority w:val="99"/>
    <w:rsid w:val="00DC7F8E"/>
    <w:rPr>
      <w:rFonts w:asciiTheme="majorHAnsi" w:eastAsia="Calibri" w:hAnsiTheme="majorHAnsi" w:cs="Times New Roman"/>
      <w:noProof/>
      <w:sz w:val="20"/>
      <w:szCs w:val="24"/>
    </w:rPr>
  </w:style>
  <w:style w:type="paragraph" w:customStyle="1" w:styleId="TitlePageText">
    <w:name w:val="Title Page Text"/>
    <w:link w:val="TitlePageTextChar"/>
    <w:uiPriority w:val="99"/>
    <w:rsid w:val="00D40E3F"/>
    <w:pPr>
      <w:spacing w:before="200" w:after="0" w:line="240" w:lineRule="auto"/>
    </w:pPr>
    <w:rPr>
      <w:rFonts w:ascii="Arial" w:eastAsia="Calibri" w:hAnsi="Arial"/>
      <w:sz w:val="20"/>
    </w:rPr>
  </w:style>
  <w:style w:type="character" w:customStyle="1" w:styleId="TitlePageTextChar">
    <w:name w:val="Title Page Text Char"/>
    <w:basedOn w:val="DefaultParagraphFont"/>
    <w:link w:val="TitlePageText"/>
    <w:uiPriority w:val="99"/>
    <w:rsid w:val="00D40E3F"/>
    <w:rPr>
      <w:rFonts w:ascii="Arial" w:eastAsia="Calibri" w:hAnsi="Arial"/>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CoverBackTagline">
    <w:name w:val="Cover Back Tagline"/>
    <w:uiPriority w:val="1"/>
    <w:rsid w:val="004F3D6F"/>
    <w:pPr>
      <w:spacing w:before="720" w:after="0" w:line="240" w:lineRule="auto"/>
    </w:pPr>
    <w:rPr>
      <w:rFonts w:ascii="Arial" w:eastAsia="Times New Roman" w:hAnsi="Arial" w:cs="Times New Roman"/>
      <w:sz w:val="24"/>
      <w:szCs w:val="24"/>
    </w:rPr>
  </w:style>
  <w:style w:type="paragraph" w:styleId="TOC2">
    <w:name w:val="toc 2"/>
    <w:basedOn w:val="Normal"/>
    <w:next w:val="Normal"/>
    <w:autoRedefine/>
    <w:uiPriority w:val="39"/>
    <w:unhideWhenUsed/>
    <w:rsid w:val="00DB6494"/>
    <w:pPr>
      <w:tabs>
        <w:tab w:val="right" w:leader="dot" w:pos="9350"/>
      </w:tabs>
      <w:spacing w:after="100"/>
      <w:ind w:left="245" w:right="720"/>
    </w:pPr>
  </w:style>
  <w:style w:type="paragraph" w:styleId="TOC3">
    <w:name w:val="toc 3"/>
    <w:basedOn w:val="Normal"/>
    <w:next w:val="Normal"/>
    <w:autoRedefine/>
    <w:uiPriority w:val="39"/>
    <w:unhideWhenUsed/>
    <w:rsid w:val="00DB6494"/>
    <w:pPr>
      <w:spacing w:after="100"/>
      <w:ind w:left="475" w:right="720"/>
    </w:pPr>
  </w:style>
  <w:style w:type="paragraph" w:styleId="TOCHeading">
    <w:name w:val="TOC Heading"/>
    <w:basedOn w:val="Heading2NoTOC"/>
    <w:next w:val="Normal"/>
    <w:uiPriority w:val="39"/>
    <w:unhideWhenUsed/>
    <w:qFormat/>
    <w:rsid w:val="008F5A9F"/>
    <w:pPr>
      <w:spacing w:before="0" w:after="0"/>
    </w:pPr>
    <w:rPr>
      <w:rFonts w:eastAsiaTheme="majorEastAsia" w:cstheme="majorBidi"/>
      <w:szCs w:val="28"/>
    </w:rPr>
  </w:style>
  <w:style w:type="character" w:styleId="CommentReference">
    <w:name w:val="annotation reference"/>
    <w:basedOn w:val="DefaultParagraphFont"/>
    <w:uiPriority w:val="99"/>
    <w:semiHidden/>
    <w:unhideWhenUsed/>
    <w:rsid w:val="00F712CC"/>
    <w:rPr>
      <w:sz w:val="16"/>
      <w:szCs w:val="16"/>
    </w:rPr>
  </w:style>
  <w:style w:type="paragraph" w:styleId="CommentText">
    <w:name w:val="annotation text"/>
    <w:basedOn w:val="Normal"/>
    <w:link w:val="CommentTextChar"/>
    <w:uiPriority w:val="99"/>
    <w:unhideWhenUsed/>
    <w:rsid w:val="00F712CC"/>
    <w:rPr>
      <w:sz w:val="20"/>
      <w:szCs w:val="20"/>
    </w:rPr>
  </w:style>
  <w:style w:type="character" w:customStyle="1" w:styleId="CommentTextChar">
    <w:name w:val="Comment Text Char"/>
    <w:basedOn w:val="DefaultParagraphFont"/>
    <w:link w:val="CommentText"/>
    <w:uiPriority w:val="99"/>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qFormat/>
    <w:rsid w:val="00DD64A0"/>
    <w:rPr>
      <w:color w:val="0000FF" w:themeColor="hyperlink"/>
      <w:u w:val="single"/>
    </w:rPr>
  </w:style>
  <w:style w:type="table" w:styleId="TableGrid">
    <w:name w:val="Table Grid"/>
    <w:basedOn w:val="TableNormal"/>
    <w:uiPriority w:val="59"/>
    <w:rsid w:val="00763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IRLocations">
    <w:name w:val="AIR Locations"/>
    <w:uiPriority w:val="1"/>
    <w:rsid w:val="000C517F"/>
    <w:pPr>
      <w:spacing w:before="60" w:after="0" w:line="360" w:lineRule="auto"/>
    </w:pPr>
    <w:rPr>
      <w:rFonts w:ascii="Arial" w:eastAsia="Calibri" w:hAnsi="Arial" w:cstheme="majorHAnsi"/>
      <w:bCs/>
      <w:color w:val="000000"/>
      <w:sz w:val="18"/>
      <w:szCs w:val="18"/>
    </w:rPr>
  </w:style>
  <w:style w:type="paragraph" w:customStyle="1" w:styleId="CoverBackLogo">
    <w:name w:val="Cover Back Logo"/>
    <w:uiPriority w:val="1"/>
    <w:rsid w:val="004D3F7C"/>
    <w:pPr>
      <w:spacing w:before="4560"/>
    </w:pPr>
    <w:rPr>
      <w:rFonts w:ascii="Arial" w:hAnsi="Arial"/>
      <w:sz w:val="24"/>
      <w:szCs w:val="24"/>
    </w:rPr>
  </w:style>
  <w:style w:type="paragraph" w:customStyle="1" w:styleId="Call-outText">
    <w:name w:val="Call-out Text"/>
    <w:next w:val="BodyText"/>
    <w:uiPriority w:val="1"/>
    <w:rsid w:val="00A1370B"/>
    <w:pPr>
      <w:keepLines/>
      <w:pBdr>
        <w:top w:val="single" w:sz="12" w:space="3" w:color="003462" w:themeColor="text2"/>
        <w:bottom w:val="single" w:sz="12" w:space="3" w:color="003462" w:themeColor="text2"/>
      </w:pBdr>
      <w:spacing w:before="120" w:after="120" w:line="240" w:lineRule="auto"/>
      <w:ind w:left="720" w:right="720"/>
      <w:jc w:val="center"/>
    </w:pPr>
    <w:rPr>
      <w:rFonts w:asciiTheme="majorHAnsi" w:eastAsia="Times New Roman" w:hAnsiTheme="majorHAnsi" w:cstheme="majorHAnsi"/>
      <w:i/>
      <w:color w:val="003462" w:themeColor="text2"/>
    </w:rPr>
  </w:style>
  <w:style w:type="paragraph" w:customStyle="1" w:styleId="CoverSubtitle">
    <w:name w:val="Cover Subtitle"/>
    <w:uiPriority w:val="1"/>
    <w:rsid w:val="00802BF3"/>
    <w:pPr>
      <w:spacing w:before="360" w:after="0" w:line="240" w:lineRule="auto"/>
    </w:pPr>
    <w:rPr>
      <w:rFonts w:ascii="Arial" w:eastAsia="Perpetua" w:hAnsi="Arial" w:cs="Times New Roman"/>
      <w:b/>
      <w:color w:val="003462" w:themeColor="text2"/>
      <w:sz w:val="40"/>
      <w:szCs w:val="50"/>
    </w:rPr>
  </w:style>
  <w:style w:type="paragraph" w:customStyle="1" w:styleId="TitlePageSubtitle">
    <w:name w:val="Title Page Subtitle"/>
    <w:basedOn w:val="TitlePageTitle"/>
    <w:uiPriority w:val="1"/>
    <w:rsid w:val="00727E61"/>
    <w:pPr>
      <w:spacing w:before="120"/>
    </w:pPr>
    <w:rPr>
      <w:rFonts w:cs="Arial"/>
      <w:sz w:val="40"/>
      <w:szCs w:val="40"/>
    </w:rPr>
  </w:style>
  <w:style w:type="character" w:customStyle="1" w:styleId="Heading7Char">
    <w:name w:val="Heading 7 Char"/>
    <w:basedOn w:val="DefaultParagraphFont"/>
    <w:link w:val="Heading7"/>
    <w:uiPriority w:val="9"/>
    <w:rsid w:val="00ED7C5E"/>
    <w:rPr>
      <w:rFonts w:asciiTheme="majorHAnsi" w:eastAsiaTheme="majorEastAsia" w:hAnsiTheme="majorHAnsi" w:cstheme="majorBidi"/>
      <w:i/>
      <w:iCs/>
      <w:color w:val="253A4F" w:themeColor="accent1" w:themeShade="7F"/>
    </w:rPr>
  </w:style>
  <w:style w:type="paragraph" w:styleId="ListParagraph">
    <w:name w:val="List Paragraph"/>
    <w:basedOn w:val="Normal"/>
    <w:uiPriority w:val="34"/>
    <w:qFormat/>
    <w:rsid w:val="00ED7C5E"/>
    <w:pPr>
      <w:ind w:left="720"/>
      <w:contextualSpacing/>
    </w:pPr>
    <w:rPr>
      <w:rFonts w:eastAsiaTheme="minorHAnsi"/>
      <w:sz w:val="22"/>
      <w:szCs w:val="22"/>
    </w:rPr>
  </w:style>
  <w:style w:type="paragraph" w:styleId="Title">
    <w:name w:val="Title"/>
    <w:basedOn w:val="Normal"/>
    <w:next w:val="Normal"/>
    <w:link w:val="TitleChar"/>
    <w:uiPriority w:val="10"/>
    <w:qFormat/>
    <w:rsid w:val="00ED7C5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C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C5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ED7C5E"/>
    <w:rPr>
      <w:color w:val="5A5A5A" w:themeColor="text1" w:themeTint="A5"/>
      <w:spacing w:val="15"/>
    </w:rPr>
  </w:style>
  <w:style w:type="paragraph" w:customStyle="1" w:styleId="TableColHeadingLeft">
    <w:name w:val="Table Col Heading Left"/>
    <w:basedOn w:val="Normal"/>
    <w:uiPriority w:val="6"/>
    <w:qFormat/>
    <w:rsid w:val="00ED7C5E"/>
    <w:pPr>
      <w:autoSpaceDE w:val="0"/>
      <w:autoSpaceDN w:val="0"/>
      <w:adjustRightInd w:val="0"/>
      <w:spacing w:before="40" w:after="40"/>
    </w:pPr>
    <w:rPr>
      <w:rFonts w:asciiTheme="majorHAnsi" w:eastAsiaTheme="minorEastAsia" w:hAnsiTheme="majorHAnsi" w:cs="Times New Roman"/>
      <w:b/>
      <w:sz w:val="22"/>
      <w:szCs w:val="20"/>
    </w:rPr>
  </w:style>
  <w:style w:type="paragraph" w:customStyle="1" w:styleId="TableColHeadingCenter">
    <w:name w:val="Table Col Heading Center"/>
    <w:basedOn w:val="TableColHeadingLeft"/>
    <w:uiPriority w:val="6"/>
    <w:qFormat/>
    <w:rsid w:val="00ED7C5E"/>
    <w:pPr>
      <w:jc w:val="center"/>
    </w:pPr>
  </w:style>
  <w:style w:type="character" w:customStyle="1" w:styleId="CommentTextChar1">
    <w:name w:val="Comment Text Char1"/>
    <w:basedOn w:val="DefaultParagraphFont"/>
    <w:uiPriority w:val="99"/>
    <w:semiHidden/>
    <w:rsid w:val="00ED7C5E"/>
    <w:rPr>
      <w:sz w:val="20"/>
      <w:szCs w:val="20"/>
    </w:rPr>
  </w:style>
  <w:style w:type="paragraph" w:styleId="TOC4">
    <w:name w:val="toc 4"/>
    <w:basedOn w:val="Normal"/>
    <w:next w:val="Normal"/>
    <w:autoRedefine/>
    <w:uiPriority w:val="39"/>
    <w:unhideWhenUsed/>
    <w:rsid w:val="00ED7C5E"/>
    <w:pPr>
      <w:spacing w:after="100" w:line="259" w:lineRule="auto"/>
      <w:ind w:left="660"/>
    </w:pPr>
    <w:rPr>
      <w:rFonts w:eastAsiaTheme="minorEastAsia"/>
      <w:sz w:val="22"/>
      <w:szCs w:val="22"/>
    </w:rPr>
  </w:style>
  <w:style w:type="paragraph" w:styleId="TOC5">
    <w:name w:val="toc 5"/>
    <w:basedOn w:val="Normal"/>
    <w:next w:val="Normal"/>
    <w:autoRedefine/>
    <w:uiPriority w:val="39"/>
    <w:unhideWhenUsed/>
    <w:rsid w:val="00ED7C5E"/>
    <w:pPr>
      <w:spacing w:after="100" w:line="259" w:lineRule="auto"/>
      <w:ind w:left="880"/>
    </w:pPr>
    <w:rPr>
      <w:rFonts w:eastAsiaTheme="minorEastAsia"/>
      <w:sz w:val="22"/>
      <w:szCs w:val="22"/>
    </w:rPr>
  </w:style>
  <w:style w:type="paragraph" w:styleId="TOC6">
    <w:name w:val="toc 6"/>
    <w:basedOn w:val="Normal"/>
    <w:next w:val="Normal"/>
    <w:autoRedefine/>
    <w:uiPriority w:val="39"/>
    <w:unhideWhenUsed/>
    <w:rsid w:val="00ED7C5E"/>
    <w:pPr>
      <w:spacing w:after="100" w:line="259" w:lineRule="auto"/>
      <w:ind w:left="1100"/>
    </w:pPr>
    <w:rPr>
      <w:rFonts w:eastAsiaTheme="minorEastAsia"/>
      <w:sz w:val="22"/>
      <w:szCs w:val="22"/>
    </w:rPr>
  </w:style>
  <w:style w:type="paragraph" w:styleId="TOC7">
    <w:name w:val="toc 7"/>
    <w:basedOn w:val="Normal"/>
    <w:next w:val="Normal"/>
    <w:autoRedefine/>
    <w:uiPriority w:val="39"/>
    <w:unhideWhenUsed/>
    <w:rsid w:val="00ED7C5E"/>
    <w:pPr>
      <w:spacing w:after="100" w:line="259" w:lineRule="auto"/>
      <w:ind w:left="1320"/>
    </w:pPr>
    <w:rPr>
      <w:rFonts w:eastAsiaTheme="minorEastAsia"/>
      <w:sz w:val="22"/>
      <w:szCs w:val="22"/>
    </w:rPr>
  </w:style>
  <w:style w:type="paragraph" w:styleId="TOC8">
    <w:name w:val="toc 8"/>
    <w:basedOn w:val="Normal"/>
    <w:next w:val="Normal"/>
    <w:autoRedefine/>
    <w:uiPriority w:val="39"/>
    <w:unhideWhenUsed/>
    <w:rsid w:val="00ED7C5E"/>
    <w:pPr>
      <w:spacing w:after="100" w:line="259" w:lineRule="auto"/>
      <w:ind w:left="1540"/>
    </w:pPr>
    <w:rPr>
      <w:rFonts w:eastAsiaTheme="minorEastAsia"/>
      <w:sz w:val="22"/>
      <w:szCs w:val="22"/>
    </w:rPr>
  </w:style>
  <w:style w:type="paragraph" w:styleId="TOC9">
    <w:name w:val="toc 9"/>
    <w:basedOn w:val="Normal"/>
    <w:next w:val="Normal"/>
    <w:autoRedefine/>
    <w:uiPriority w:val="39"/>
    <w:unhideWhenUsed/>
    <w:rsid w:val="00ED7C5E"/>
    <w:pPr>
      <w:spacing w:after="100" w:line="259" w:lineRule="auto"/>
      <w:ind w:left="1760"/>
    </w:pPr>
    <w:rPr>
      <w:rFonts w:eastAsiaTheme="minorEastAsia"/>
      <w:sz w:val="22"/>
      <w:szCs w:val="22"/>
    </w:rPr>
  </w:style>
  <w:style w:type="paragraph" w:styleId="NormalWeb">
    <w:name w:val="Normal (Web)"/>
    <w:basedOn w:val="Normal"/>
    <w:uiPriority w:val="99"/>
    <w:semiHidden/>
    <w:unhideWhenUsed/>
    <w:rsid w:val="00ED7C5E"/>
    <w:pPr>
      <w:spacing w:before="100" w:beforeAutospacing="1" w:after="100" w:afterAutospacing="1"/>
    </w:pPr>
    <w:rPr>
      <w:rFonts w:ascii="Times New Roman" w:eastAsiaTheme="minorEastAsia" w:hAnsi="Times New Roman" w:cs="Times New Roman"/>
    </w:rPr>
  </w:style>
  <w:style w:type="character" w:styleId="FollowedHyperlink">
    <w:name w:val="FollowedHyperlink"/>
    <w:basedOn w:val="DefaultParagraphFont"/>
    <w:uiPriority w:val="99"/>
    <w:semiHidden/>
    <w:unhideWhenUsed/>
    <w:rsid w:val="00ED7C5E"/>
    <w:rPr>
      <w:color w:val="800080" w:themeColor="followedHyperlink"/>
      <w:u w:val="single"/>
    </w:rPr>
  </w:style>
  <w:style w:type="paragraph" w:customStyle="1" w:styleId="Style3">
    <w:name w:val="Style3"/>
    <w:basedOn w:val="Heading2"/>
    <w:qFormat/>
    <w:rsid w:val="00ED7C5E"/>
    <w:pPr>
      <w:widowControl w:val="0"/>
      <w:spacing w:before="0" w:after="0"/>
      <w:jc w:val="both"/>
    </w:pPr>
    <w:rPr>
      <w:rFonts w:asciiTheme="minorHAnsi" w:eastAsiaTheme="majorEastAsia" w:hAnsiTheme="minorHAnsi" w:cstheme="majorBidi"/>
      <w:kern w:val="2"/>
      <w:sz w:val="28"/>
      <w:szCs w:val="26"/>
      <w:lang w:val="en-GB" w:eastAsia="zh-CN"/>
    </w:rPr>
  </w:style>
  <w:style w:type="paragraph" w:customStyle="1" w:styleId="Style1">
    <w:name w:val="Style1"/>
    <w:basedOn w:val="Heading3"/>
    <w:autoRedefine/>
    <w:qFormat/>
    <w:rsid w:val="00ED7C5E"/>
    <w:pPr>
      <w:widowControl w:val="0"/>
      <w:spacing w:before="0" w:after="0"/>
      <w:jc w:val="both"/>
    </w:pPr>
    <w:rPr>
      <w:rFonts w:asciiTheme="minorHAnsi" w:eastAsiaTheme="majorEastAsia" w:hAnsiTheme="minorHAnsi" w:cstheme="majorBidi"/>
      <w:kern w:val="2"/>
      <w:sz w:val="22"/>
      <w:szCs w:val="22"/>
      <w:lang w:eastAsia="zh-CN"/>
    </w:rPr>
  </w:style>
  <w:style w:type="paragraph" w:customStyle="1" w:styleId="H1">
    <w:name w:val="H1"/>
    <w:basedOn w:val="Normal"/>
    <w:rsid w:val="00C157EC"/>
    <w:pPr>
      <w:spacing w:before="240" w:after="240"/>
      <w:jc w:val="center"/>
    </w:pPr>
    <w:rPr>
      <w:rFonts w:ascii="Times New Roman" w:eastAsiaTheme="minorHAnsi" w:hAnsi="Times New Roman" w:cs="Times New Roman"/>
      <w:b/>
      <w:sz w:val="32"/>
      <w:szCs w:val="32"/>
    </w:rPr>
  </w:style>
  <w:style w:type="paragraph" w:customStyle="1" w:styleId="CheckboxT1">
    <w:name w:val="Checkbox T1"/>
    <w:basedOn w:val="Normal"/>
    <w:rsid w:val="00C157EC"/>
    <w:pPr>
      <w:autoSpaceDE w:val="0"/>
      <w:autoSpaceDN w:val="0"/>
      <w:adjustRightInd w:val="0"/>
      <w:spacing w:after="120"/>
    </w:pPr>
    <w:rPr>
      <w:rFonts w:ascii="Times New Roman" w:eastAsiaTheme="minorHAnsi" w:hAnsi="Times New Roman" w:cs="Times New Roman"/>
    </w:rPr>
  </w:style>
  <w:style w:type="paragraph" w:customStyle="1" w:styleId="H2">
    <w:name w:val="H2"/>
    <w:basedOn w:val="Normal"/>
    <w:rsid w:val="00C157EC"/>
    <w:pPr>
      <w:spacing w:before="240" w:after="240"/>
    </w:pPr>
    <w:rPr>
      <w:rFonts w:ascii="Times New Roman" w:eastAsiaTheme="minorHAnsi" w:hAnsi="Times New Roman" w:cs="Times New Roman"/>
      <w:sz w:val="28"/>
      <w:szCs w:val="28"/>
    </w:rPr>
  </w:style>
  <w:style w:type="paragraph" w:customStyle="1" w:styleId="H3">
    <w:name w:val="H3"/>
    <w:basedOn w:val="Normal"/>
    <w:rsid w:val="00C157EC"/>
    <w:pPr>
      <w:autoSpaceDE w:val="0"/>
      <w:autoSpaceDN w:val="0"/>
      <w:adjustRightInd w:val="0"/>
    </w:pPr>
    <w:rPr>
      <w:rFonts w:ascii="Times New Roman Bold" w:eastAsiaTheme="minorHAnsi" w:hAnsi="Times New Roman Bold" w:cs="Times New Roman"/>
      <w:b/>
      <w:bCs/>
    </w:rPr>
  </w:style>
  <w:style w:type="paragraph" w:customStyle="1" w:styleId="TitlePageBoxTitle">
    <w:name w:val="Title Page Box Title"/>
    <w:basedOn w:val="Normal"/>
    <w:rsid w:val="00C157EC"/>
    <w:pPr>
      <w:spacing w:before="360"/>
      <w:jc w:val="center"/>
    </w:pPr>
    <w:rPr>
      <w:rFonts w:ascii="Times New Roman" w:eastAsiaTheme="minorHAnsi" w:hAnsi="Times New Roman" w:cs="Times New Roman"/>
      <w:b/>
      <w:sz w:val="48"/>
      <w:szCs w:val="48"/>
    </w:rPr>
  </w:style>
  <w:style w:type="paragraph" w:customStyle="1" w:styleId="TitlePageBoxWOL">
    <w:name w:val="Title Page Box WOL"/>
    <w:basedOn w:val="Normal"/>
    <w:rsid w:val="00C157EC"/>
    <w:pPr>
      <w:tabs>
        <w:tab w:val="right" w:leader="underscore" w:pos="5310"/>
      </w:tabs>
      <w:autoSpaceDE w:val="0"/>
      <w:autoSpaceDN w:val="0"/>
      <w:adjustRightInd w:val="0"/>
      <w:spacing w:before="360" w:after="240"/>
      <w:ind w:left="317"/>
    </w:pPr>
    <w:rPr>
      <w:rFonts w:ascii="Times New Roman" w:eastAsiaTheme="minorHAnsi" w:hAnsi="Times New Roman" w:cs="Times New Roman"/>
      <w:sz w:val="28"/>
      <w:szCs w:val="28"/>
    </w:rPr>
  </w:style>
  <w:style w:type="paragraph" w:customStyle="1" w:styleId="TitlePagePreparedBy">
    <w:name w:val="Title Page Prepared By"/>
    <w:basedOn w:val="Normal"/>
    <w:rsid w:val="00C157EC"/>
    <w:pPr>
      <w:autoSpaceDE w:val="0"/>
      <w:autoSpaceDN w:val="0"/>
      <w:adjustRightInd w:val="0"/>
      <w:jc w:val="center"/>
    </w:pPr>
    <w:rPr>
      <w:rFonts w:ascii="Times New Roman" w:hAnsi="Times New Roman" w:cs="Times New Roman"/>
      <w:b/>
      <w:sz w:val="28"/>
      <w:szCs w:val="28"/>
    </w:rPr>
  </w:style>
  <w:style w:type="paragraph" w:customStyle="1" w:styleId="OpenerPageBoxHead">
    <w:name w:val="Opener Page Box Head"/>
    <w:basedOn w:val="Normal"/>
    <w:rsid w:val="00C157EC"/>
    <w:pPr>
      <w:spacing w:before="120" w:after="120"/>
      <w:jc w:val="center"/>
    </w:pPr>
    <w:rPr>
      <w:rFonts w:ascii="Times New Roman" w:eastAsiaTheme="minorHAnsi" w:hAnsi="Times New Roman" w:cs="Times New Roman"/>
      <w:b/>
      <w:sz w:val="36"/>
      <w:szCs w:val="36"/>
    </w:rPr>
  </w:style>
  <w:style w:type="paragraph" w:customStyle="1" w:styleId="OpenerPageBoxT1">
    <w:name w:val="Opener Page Box T1"/>
    <w:basedOn w:val="Normal"/>
    <w:rsid w:val="00C157EC"/>
    <w:pPr>
      <w:spacing w:before="120" w:after="240"/>
    </w:pPr>
    <w:rPr>
      <w:rFonts w:ascii="Times New Roman" w:eastAsiaTheme="minorHAnsi" w:hAnsi="Times New Roman" w:cs="Times New Roman"/>
      <w:szCs w:val="22"/>
    </w:rPr>
  </w:style>
  <w:style w:type="paragraph" w:customStyle="1" w:styleId="OpenerPageBoxT2">
    <w:name w:val="Opener Page Box T2"/>
    <w:basedOn w:val="Normal"/>
    <w:rsid w:val="00C157EC"/>
    <w:rPr>
      <w:rFonts w:ascii="Times New Roman" w:eastAsiaTheme="minorHAnsi" w:hAnsi="Times New Roman" w:cs="Times New Roman"/>
      <w:sz w:val="22"/>
      <w:szCs w:val="22"/>
    </w:rPr>
  </w:style>
  <w:style w:type="paragraph" w:customStyle="1" w:styleId="OpenerPageBoxRejoinder">
    <w:name w:val="Opener Page Box Rejoinder"/>
    <w:basedOn w:val="Normal"/>
    <w:rsid w:val="00C157EC"/>
    <w:pPr>
      <w:spacing w:before="240" w:after="120"/>
      <w:jc w:val="center"/>
    </w:pPr>
    <w:rPr>
      <w:rFonts w:ascii="Times New Roman" w:eastAsiaTheme="minorHAnsi" w:hAnsi="Times New Roman" w:cs="Times New Roman"/>
      <w:b/>
      <w:bCs/>
      <w:i/>
      <w:iCs/>
      <w:sz w:val="28"/>
      <w:szCs w:val="28"/>
    </w:rPr>
  </w:style>
  <w:style w:type="paragraph" w:customStyle="1" w:styleId="Heading5NoTOC">
    <w:name w:val="Heading 5 No TOC"/>
    <w:basedOn w:val="Heading5"/>
    <w:uiPriority w:val="1"/>
    <w:rsid w:val="00312F3B"/>
  </w:style>
  <w:style w:type="paragraph" w:styleId="DocumentMap">
    <w:name w:val="Document Map"/>
    <w:basedOn w:val="Normal"/>
    <w:link w:val="DocumentMapChar"/>
    <w:uiPriority w:val="99"/>
    <w:semiHidden/>
    <w:unhideWhenUsed/>
    <w:rsid w:val="00F86C51"/>
    <w:rPr>
      <w:rFonts w:ascii="Lucida Grande" w:hAnsi="Lucida Grande" w:cs="Lucida Grande"/>
    </w:rPr>
  </w:style>
  <w:style w:type="character" w:customStyle="1" w:styleId="DocumentMapChar">
    <w:name w:val="Document Map Char"/>
    <w:basedOn w:val="DefaultParagraphFont"/>
    <w:link w:val="DocumentMap"/>
    <w:uiPriority w:val="99"/>
    <w:semiHidden/>
    <w:rsid w:val="00F86C51"/>
    <w:rPr>
      <w:rFonts w:ascii="Lucida Grande" w:eastAsia="Times New Roman" w:hAnsi="Lucida Grande" w:cs="Lucida Grande"/>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image" Target="media/image8.emf"/><Relationship Id="rId39" Type="http://schemas.openxmlformats.org/officeDocument/2006/relationships/image" Target="media/image21.emf"/><Relationship Id="rId21" Type="http://schemas.openxmlformats.org/officeDocument/2006/relationships/image" Target="media/image3.emf"/><Relationship Id="rId34" Type="http://schemas.openxmlformats.org/officeDocument/2006/relationships/image" Target="media/image16.emf"/><Relationship Id="rId42" Type="http://schemas.openxmlformats.org/officeDocument/2006/relationships/hyperlink" Target="http://www.okhighered.org/studies-reports/teach-supply/2015-report.pdf" TargetMode="External"/><Relationship Id="rId47" Type="http://schemas.openxmlformats.org/officeDocument/2006/relationships/hyperlink" Target="http://www.doe.mass.edu/research/StrategicPlan.pdf" TargetMode="External"/><Relationship Id="rId50" Type="http://schemas.openxmlformats.org/officeDocument/2006/relationships/footer" Target="footer5.xml"/><Relationship Id="rId55" Type="http://schemas.openxmlformats.org/officeDocument/2006/relationships/hyperlink" Target="http://profiles.doe.mass.edu/state_report/epppempratebyyear.aspx" TargetMode="External"/><Relationship Id="rId63" Type="http://schemas.openxmlformats.org/officeDocument/2006/relationships/footer" Target="footer6.xml"/><Relationship Id="rId68" Type="http://schemas.openxmlformats.org/officeDocument/2006/relationships/image" Target="media/image28.emf"/><Relationship Id="rId76" Type="http://schemas.openxmlformats.org/officeDocument/2006/relationships/footer" Target="footer7.xml"/><Relationship Id="rId84" Type="http://schemas.openxmlformats.org/officeDocument/2006/relationships/footer" Target="footer9.xml"/><Relationship Id="rId7" Type="http://schemas.openxmlformats.org/officeDocument/2006/relationships/numbering" Target="numbering.xml"/><Relationship Id="rId71" Type="http://schemas.openxmlformats.org/officeDocument/2006/relationships/image" Target="media/image31.emf"/><Relationship Id="rId2" Type="http://schemas.openxmlformats.org/officeDocument/2006/relationships/customXml" Target="../customXml/item1.xml"/><Relationship Id="rId16" Type="http://schemas.openxmlformats.org/officeDocument/2006/relationships/header" Target="header2.xml"/><Relationship Id="rId29" Type="http://schemas.openxmlformats.org/officeDocument/2006/relationships/image" Target="media/image11.emf"/><Relationship Id="rId11" Type="http://schemas.openxmlformats.org/officeDocument/2006/relationships/footnotes" Target="footnotes.xml"/><Relationship Id="rId24" Type="http://schemas.openxmlformats.org/officeDocument/2006/relationships/image" Target="media/image6.emf"/><Relationship Id="rId32" Type="http://schemas.openxmlformats.org/officeDocument/2006/relationships/image" Target="media/image14.emf"/><Relationship Id="rId37" Type="http://schemas.openxmlformats.org/officeDocument/2006/relationships/image" Target="media/image19.emf"/><Relationship Id="rId40" Type="http://schemas.openxmlformats.org/officeDocument/2006/relationships/image" Target="media/image22.emf"/><Relationship Id="rId45" Type="http://schemas.openxmlformats.org/officeDocument/2006/relationships/hyperlink" Target="http://www.doe.mass.edu/research/reports/2013-12EducatorReport.pdf" TargetMode="External"/><Relationship Id="rId53" Type="http://schemas.openxmlformats.org/officeDocument/2006/relationships/hyperlink" Target="http://profiles.doe.mass.edu/state_report/enrollmentbyracegender.aspx" TargetMode="External"/><Relationship Id="rId58" Type="http://schemas.openxmlformats.org/officeDocument/2006/relationships/hyperlink" Target="http://wonder.cdc.gov/" TargetMode="External"/><Relationship Id="rId66" Type="http://schemas.openxmlformats.org/officeDocument/2006/relationships/image" Target="media/image26.emf"/><Relationship Id="rId74" Type="http://schemas.openxmlformats.org/officeDocument/2006/relationships/image" Target="media/image34.emf"/><Relationship Id="rId79" Type="http://schemas.openxmlformats.org/officeDocument/2006/relationships/image" Target="media/image38.emf"/><Relationship Id="rId87" Type="http://schemas.openxmlformats.org/officeDocument/2006/relationships/theme" Target="theme/theme1.xml"/><Relationship Id="rId5" Type="http://schemas.openxmlformats.org/officeDocument/2006/relationships/customXml" Target="../customXml/item4.xml"/><Relationship Id="rId61" Type="http://schemas.openxmlformats.org/officeDocument/2006/relationships/hyperlink" Target="https://nces.ed.gov/pubsearch/pubsinfo.asp?pubid=2006865" TargetMode="External"/><Relationship Id="rId82" Type="http://schemas.openxmlformats.org/officeDocument/2006/relationships/image" Target="media/image40.png"/><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4.emf"/><Relationship Id="rId27" Type="http://schemas.openxmlformats.org/officeDocument/2006/relationships/image" Target="media/image9.emf"/><Relationship Id="rId30" Type="http://schemas.openxmlformats.org/officeDocument/2006/relationships/image" Target="media/image12.emf"/><Relationship Id="rId35" Type="http://schemas.openxmlformats.org/officeDocument/2006/relationships/image" Target="media/image17.emf"/><Relationship Id="rId43" Type="http://schemas.openxmlformats.org/officeDocument/2006/relationships/hyperlink" Target="http://www.caldercenter.org/sites/default/files/Missing%20Elements%20in%20the%20Disucssion%20of%20Teacher%20Shortages%20PDF.pdf" TargetMode="External"/><Relationship Id="rId48" Type="http://schemas.openxmlformats.org/officeDocument/2006/relationships/hyperlink" Target="http://www.nytimes.com/2015/08/10/us/teacher-shortages-spur-a-nationwide-hiring-scramble-credentials-optional.html?_r=0" TargetMode="External"/><Relationship Id="rId56" Type="http://schemas.openxmlformats.org/officeDocument/2006/relationships/hyperlink" Target="http://profiles.doe.mass.edu/state_report/staffingRetentionRates.aspx" TargetMode="External"/><Relationship Id="rId64" Type="http://schemas.openxmlformats.org/officeDocument/2006/relationships/image" Target="media/image24.emf"/><Relationship Id="rId69" Type="http://schemas.openxmlformats.org/officeDocument/2006/relationships/image" Target="media/image29.emf"/><Relationship Id="rId77" Type="http://schemas.openxmlformats.org/officeDocument/2006/relationships/image" Target="media/image36.emf"/><Relationship Id="rId8" Type="http://schemas.openxmlformats.org/officeDocument/2006/relationships/styles" Target="styles.xml"/><Relationship Id="rId51" Type="http://schemas.openxmlformats.org/officeDocument/2006/relationships/hyperlink" Target="http://profiles.doe.mass.edu/state_report/enrollmentbygrade.aspx" TargetMode="External"/><Relationship Id="rId72" Type="http://schemas.openxmlformats.org/officeDocument/2006/relationships/image" Target="media/image32.emf"/><Relationship Id="rId80" Type="http://schemas.openxmlformats.org/officeDocument/2006/relationships/image" Target="media/image39.emf"/><Relationship Id="rId85" Type="http://schemas.openxmlformats.org/officeDocument/2006/relationships/footer" Target="footer10.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7.emf"/><Relationship Id="rId33" Type="http://schemas.openxmlformats.org/officeDocument/2006/relationships/image" Target="media/image15.emf"/><Relationship Id="rId38" Type="http://schemas.openxmlformats.org/officeDocument/2006/relationships/image" Target="media/image20.emf"/><Relationship Id="rId46" Type="http://schemas.openxmlformats.org/officeDocument/2006/relationships/hyperlink" Target="http://www.doe.mass.edu/amazingeducators/DiversityPlan.pdf" TargetMode="External"/><Relationship Id="rId59" Type="http://schemas.openxmlformats.org/officeDocument/2006/relationships/hyperlink" Target="http://www.census.gov/popest/data/counties/asrh/2014/CC-EST2014-ALLDATA.html" TargetMode="External"/><Relationship Id="rId67" Type="http://schemas.openxmlformats.org/officeDocument/2006/relationships/image" Target="media/image27.emf"/><Relationship Id="rId20" Type="http://schemas.openxmlformats.org/officeDocument/2006/relationships/footer" Target="footer4.xml"/><Relationship Id="rId41" Type="http://schemas.openxmlformats.org/officeDocument/2006/relationships/image" Target="media/image23.emf"/><Relationship Id="rId54" Type="http://schemas.openxmlformats.org/officeDocument/2006/relationships/hyperlink" Target="http://profiles.doe.mass.edu/state_report/teacherdata.aspx" TargetMode="External"/><Relationship Id="rId62" Type="http://schemas.openxmlformats.org/officeDocument/2006/relationships/header" Target="header4.xml"/><Relationship Id="rId70" Type="http://schemas.openxmlformats.org/officeDocument/2006/relationships/image" Target="media/image30.emf"/><Relationship Id="rId75" Type="http://schemas.openxmlformats.org/officeDocument/2006/relationships/image" Target="media/image35.emf"/><Relationship Id="rId83" Type="http://schemas.openxmlformats.org/officeDocument/2006/relationships/image" Target="media/image41.png"/><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5.emf"/><Relationship Id="rId28" Type="http://schemas.openxmlformats.org/officeDocument/2006/relationships/image" Target="media/image10.emf"/><Relationship Id="rId36" Type="http://schemas.openxmlformats.org/officeDocument/2006/relationships/image" Target="media/image18.emf"/><Relationship Id="rId49" Type="http://schemas.openxmlformats.org/officeDocument/2006/relationships/hyperlink" Target="http://www.hks.harvard.edu/content/download/68761/1247854/version/1/file/owens_teachers.pdf" TargetMode="External"/><Relationship Id="rId57" Type="http://schemas.openxmlformats.org/officeDocument/2006/relationships/hyperlink" Target="http://www.mass.gov/edu/government/departments-and-boards/ese/programs/accountability/support-for-level-3-4-and-5-districts-and-schools/district-and-school-resource-centers-dsac/overview-and-eligibility-for-dsac.html" TargetMode="External"/><Relationship Id="rId10" Type="http://schemas.openxmlformats.org/officeDocument/2006/relationships/webSettings" Target="webSettings.xml"/><Relationship Id="rId31" Type="http://schemas.openxmlformats.org/officeDocument/2006/relationships/image" Target="media/image13.emf"/><Relationship Id="rId44" Type="http://schemas.openxmlformats.org/officeDocument/2006/relationships/hyperlink" Target="http://ies.ed.gov/ncee/edlabs/regions/midwest/pdf/REL_2009080_sum.pdf" TargetMode="External"/><Relationship Id="rId52" Type="http://schemas.openxmlformats.org/officeDocument/2006/relationships/hyperlink" Target="http://profiles.doe.mass.edu/state_report/selectedpopulations.aspx" TargetMode="External"/><Relationship Id="rId60" Type="http://schemas.openxmlformats.org/officeDocument/2006/relationships/hyperlink" Target="https://nces.ed.gov/ccd/" TargetMode="External"/><Relationship Id="rId65" Type="http://schemas.openxmlformats.org/officeDocument/2006/relationships/image" Target="media/image25.emf"/><Relationship Id="rId73" Type="http://schemas.openxmlformats.org/officeDocument/2006/relationships/image" Target="media/image33.emf"/><Relationship Id="rId78" Type="http://schemas.openxmlformats.org/officeDocument/2006/relationships/image" Target="media/image37.emf"/><Relationship Id="rId81" Type="http://schemas.openxmlformats.org/officeDocument/2006/relationships/footer" Target="footer8.xml"/><Relationship Id="rId86"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nces.ed.gov/surveys/sass/" TargetMode="External"/><Relationship Id="rId2" Type="http://schemas.openxmlformats.org/officeDocument/2006/relationships/hyperlink" Target="http://www.stata-journal.com/article.html?article=dm0083" TargetMode="External"/><Relationship Id="rId1" Type="http://schemas.openxmlformats.org/officeDocument/2006/relationships/hyperlink" Target="https://nces.ed.gov/ccd/aboutCCD.asp" TargetMode="External"/><Relationship Id="rId4" Type="http://schemas.openxmlformats.org/officeDocument/2006/relationships/hyperlink" Target="http://www.stats.gla.ac.uk/steps/glossary/confidence_interval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DESE-231-21578</_dlc_DocId>
    <_dlc_DocIdUrl xmlns="733efe1c-5bbe-4968-87dc-d400e65c879f">
      <Url>https://sharepoint.doemass.org/ese/webteam/cps/_layouts/DocIdRedir.aspx?ID=DESE-231-21578</Url>
      <Description>DESE-231-21578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C53C5-60EC-4781-8CDC-9D15493CEA43}">
  <ds:schemaRefs>
    <ds:schemaRef ds:uri="http://schemas.microsoft.com/sharepoint/events"/>
  </ds:schemaRefs>
</ds:datastoreItem>
</file>

<file path=customXml/itemProps2.xml><?xml version="1.0" encoding="utf-8"?>
<ds:datastoreItem xmlns:ds="http://schemas.openxmlformats.org/officeDocument/2006/customXml" ds:itemID="{78AB9C5C-6BE8-4A40-BA20-2145BD8A0360}">
  <ds:schemaRefs>
    <ds:schemaRef ds:uri="http://schemas.microsoft.com/sharepoint/v3/contenttype/forms"/>
  </ds:schemaRefs>
</ds:datastoreItem>
</file>

<file path=customXml/itemProps3.xml><?xml version="1.0" encoding="utf-8"?>
<ds:datastoreItem xmlns:ds="http://schemas.openxmlformats.org/officeDocument/2006/customXml" ds:itemID="{F8F2CCBB-5B69-4B11-8BB1-CEFF9EE9290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9F2A14DE-E12E-4D0F-A799-7598B67CC1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89FEE8-9B02-4914-82A3-771205765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128</Pages>
  <Words>34792</Words>
  <Characters>198321</Characters>
  <Application>Microsoft Office Word</Application>
  <DocSecurity>0</DocSecurity>
  <Lines>1652</Lines>
  <Paragraphs>465</Paragraphs>
  <ScaleCrop>false</ScaleCrop>
  <HeadingPairs>
    <vt:vector size="2" baseType="variant">
      <vt:variant>
        <vt:lpstr>Title</vt:lpstr>
      </vt:variant>
      <vt:variant>
        <vt:i4>1</vt:i4>
      </vt:variant>
    </vt:vector>
  </HeadingPairs>
  <TitlesOfParts>
    <vt:vector size="1" baseType="lpstr">
      <vt:lpstr>Massachusetts Study of Teacher Supply and Demand (December 2015)</vt:lpstr>
    </vt:vector>
  </TitlesOfParts>
  <Company/>
  <LinksUpToDate>false</LinksUpToDate>
  <CharactersWithSpaces>232648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Study of Teacher Supply and Demand (December 2015)</dc:title>
  <dc:subject/>
  <dc:creator>ESE</dc:creator>
  <cp:lastModifiedBy>dzou</cp:lastModifiedBy>
  <cp:revision>3</cp:revision>
  <cp:lastPrinted>2015-12-08T05:57:00Z</cp:lastPrinted>
  <dcterms:created xsi:type="dcterms:W3CDTF">2016-01-28T22:59:00Z</dcterms:created>
  <dcterms:modified xsi:type="dcterms:W3CDTF">2016-01-29T18:33:00Z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29 2016</vt:lpwstr>
  </property>
</Properties>
</file>