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0B2128" w:rsidRDefault="000B2128" w:rsidP="000B2128">
            <w:pPr>
              <w:pStyle w:val="ESEReportName"/>
            </w:pPr>
            <w:r>
              <w:t xml:space="preserve">Report to the Legislature: </w:t>
            </w:r>
          </w:p>
          <w:p w:rsidR="005F037D" w:rsidRPr="00F66EB7" w:rsidRDefault="000B2128" w:rsidP="00B86AE5">
            <w:pPr>
              <w:pStyle w:val="ESEReportName"/>
            </w:pPr>
            <w:r w:rsidRPr="009B5896">
              <w:t>Annual Report on</w:t>
            </w:r>
            <w:r w:rsidR="0043359A">
              <w:t xml:space="preserve"> Students with Disabilities 2014</w:t>
            </w:r>
            <w:r w:rsidRPr="009B5896">
              <w:t>-201</w:t>
            </w:r>
            <w:r w:rsidR="0043359A">
              <w:t>5</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DF7A20">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0B2128" w:rsidRDefault="000B2128" w:rsidP="000B2128">
            <w:pPr>
              <w:pStyle w:val="arial9"/>
            </w:pPr>
            <w:r>
              <w:t>Chapter 159, Acts of 2000</w:t>
            </w:r>
          </w:p>
          <w:p w:rsidR="000B2128" w:rsidRDefault="0038794F" w:rsidP="000B2128">
            <w:pPr>
              <w:pStyle w:val="arial9"/>
            </w:pPr>
            <w:r>
              <w:t>March</w:t>
            </w:r>
            <w:r w:rsidR="00A06E59">
              <w:t xml:space="preserve"> 2016</w:t>
            </w:r>
          </w:p>
          <w:p w:rsidR="005F037D" w:rsidRDefault="005F037D"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29686C">
            <w:pPr>
              <w:pStyle w:val="AgencyTitle"/>
            </w:pPr>
            <w:r>
              <w:t>Massachusetts Department of Elementary and Secondary Education</w:t>
            </w:r>
          </w:p>
          <w:p w:rsidR="0029686C" w:rsidRDefault="0029686C" w:rsidP="0029686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29686C" w:rsidRPr="0020780F" w:rsidRDefault="0029686C" w:rsidP="0029686C">
            <w:pPr>
              <w:pStyle w:val="arial9"/>
              <w:rPr>
                <w:snapToGrid w:val="0"/>
              </w:rPr>
            </w:pPr>
            <w:r>
              <w:rPr>
                <w:snapToGrid w:val="0"/>
              </w:rPr>
              <w:t xml:space="preserve">Phone 781-338-3000  </w:t>
            </w:r>
            <w:r w:rsidRPr="0020780F">
              <w:rPr>
                <w:snapToGrid w:val="0"/>
              </w:rPr>
              <w:t>TTY: N.E.T. Relay 800-439-2370</w:t>
            </w:r>
          </w:p>
          <w:p w:rsidR="0029686C" w:rsidRDefault="0029686C" w:rsidP="0029686C">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BB75E0" w:rsidRPr="009A5EBB" w:rsidRDefault="00BB75E0" w:rsidP="00BB75E0">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BB75E0" w:rsidRPr="009A5EBB" w:rsidRDefault="00BB75E0" w:rsidP="00BB75E0">
            <w:pPr>
              <w:pStyle w:val="BoardMembers"/>
              <w:rPr>
                <w:rFonts w:ascii="Times New Roman" w:hAnsi="Times New Roman"/>
                <w:sz w:val="20"/>
              </w:rPr>
            </w:pPr>
            <w:r w:rsidRPr="009A5EBB">
              <w:rPr>
                <w:rFonts w:ascii="Times New Roman" w:hAnsi="Times New Roman"/>
                <w:sz w:val="20"/>
              </w:rPr>
              <w:t>Mitchell D. Chester, Ed.D.</w:t>
            </w:r>
          </w:p>
          <w:p w:rsidR="00BB75E0" w:rsidRPr="009A5EBB" w:rsidRDefault="00BB75E0" w:rsidP="00BB75E0">
            <w:pPr>
              <w:pStyle w:val="BoardMembers"/>
              <w:rPr>
                <w:rFonts w:ascii="Times New Roman" w:hAnsi="Times New Roman"/>
                <w:sz w:val="20"/>
              </w:rPr>
            </w:pPr>
            <w:r w:rsidRPr="009A5EBB">
              <w:rPr>
                <w:rFonts w:ascii="Times New Roman" w:hAnsi="Times New Roman"/>
                <w:sz w:val="20"/>
              </w:rPr>
              <w:t xml:space="preserve">Commissioner </w:t>
            </w:r>
          </w:p>
          <w:p w:rsidR="00BB75E0" w:rsidRDefault="00BB75E0" w:rsidP="00BB75E0">
            <w:pPr>
              <w:autoSpaceDE w:val="0"/>
              <w:autoSpaceDN w:val="0"/>
              <w:adjustRightInd w:val="0"/>
              <w:jc w:val="center"/>
              <w:rPr>
                <w:bCs/>
                <w:sz w:val="22"/>
                <w:szCs w:val="22"/>
              </w:rPr>
            </w:pPr>
            <w:r>
              <w:rPr>
                <w:bCs/>
                <w:sz w:val="22"/>
                <w:szCs w:val="22"/>
              </w:rPr>
              <w:t xml:space="preserve"> </w:t>
            </w:r>
          </w:p>
          <w:p w:rsidR="00BB75E0" w:rsidRDefault="00BB75E0" w:rsidP="00BB75E0">
            <w:pPr>
              <w:autoSpaceDE w:val="0"/>
              <w:autoSpaceDN w:val="0"/>
              <w:adjustRightInd w:val="0"/>
              <w:jc w:val="center"/>
              <w:rPr>
                <w:b/>
                <w:bCs/>
                <w:sz w:val="22"/>
                <w:szCs w:val="22"/>
              </w:rPr>
            </w:pPr>
            <w:r w:rsidRPr="00225B2D">
              <w:rPr>
                <w:b/>
                <w:bCs/>
                <w:sz w:val="22"/>
                <w:szCs w:val="22"/>
              </w:rPr>
              <w:t>Board of Elementary and Secondary Education Members</w:t>
            </w:r>
          </w:p>
          <w:p w:rsidR="00297458" w:rsidRPr="00C87B1B" w:rsidRDefault="00297458" w:rsidP="00BB75E0">
            <w:pPr>
              <w:autoSpaceDE w:val="0"/>
              <w:autoSpaceDN w:val="0"/>
              <w:adjustRightInd w:val="0"/>
              <w:jc w:val="center"/>
              <w:rPr>
                <w:b/>
                <w:bCs/>
                <w:sz w:val="22"/>
                <w:szCs w:val="22"/>
              </w:rPr>
            </w:pPr>
          </w:p>
          <w:p w:rsidR="00225B2D" w:rsidRDefault="00225B2D" w:rsidP="00225B2D">
            <w:pPr>
              <w:jc w:val="center"/>
              <w:rPr>
                <w:sz w:val="22"/>
                <w:szCs w:val="22"/>
              </w:rPr>
            </w:pPr>
            <w:r>
              <w:rPr>
                <w:sz w:val="22"/>
                <w:szCs w:val="22"/>
              </w:rPr>
              <w:t>Mr. Paul Sagan, Chair, Cambridge</w:t>
            </w:r>
          </w:p>
          <w:p w:rsidR="00225B2D" w:rsidRDefault="00225B2D" w:rsidP="00225B2D">
            <w:pPr>
              <w:jc w:val="center"/>
              <w:rPr>
                <w:sz w:val="22"/>
                <w:szCs w:val="22"/>
              </w:rPr>
            </w:pPr>
            <w:r>
              <w:rPr>
                <w:sz w:val="22"/>
                <w:szCs w:val="22"/>
              </w:rPr>
              <w:t>Mr. James Morton, Vice Chair, Boston</w:t>
            </w:r>
          </w:p>
          <w:p w:rsidR="00225B2D" w:rsidRDefault="00225B2D" w:rsidP="00225B2D">
            <w:pPr>
              <w:jc w:val="center"/>
              <w:rPr>
                <w:sz w:val="22"/>
                <w:szCs w:val="22"/>
              </w:rPr>
            </w:pPr>
            <w:r>
              <w:rPr>
                <w:sz w:val="22"/>
                <w:szCs w:val="22"/>
              </w:rPr>
              <w:t>Ms. Katherine Craven, Brookline</w:t>
            </w:r>
          </w:p>
          <w:p w:rsidR="00225B2D" w:rsidRDefault="00225B2D" w:rsidP="00225B2D">
            <w:pPr>
              <w:jc w:val="center"/>
              <w:rPr>
                <w:sz w:val="22"/>
                <w:szCs w:val="22"/>
              </w:rPr>
            </w:pPr>
            <w:r>
              <w:rPr>
                <w:sz w:val="22"/>
                <w:szCs w:val="22"/>
              </w:rPr>
              <w:t>Dr. Edward Doherty, Hyde Park</w:t>
            </w:r>
          </w:p>
          <w:p w:rsidR="00225B2D" w:rsidRDefault="00225B2D" w:rsidP="00225B2D">
            <w:pPr>
              <w:jc w:val="center"/>
              <w:rPr>
                <w:sz w:val="22"/>
                <w:szCs w:val="22"/>
              </w:rPr>
            </w:pPr>
            <w:r>
              <w:rPr>
                <w:sz w:val="22"/>
                <w:szCs w:val="22"/>
              </w:rPr>
              <w:t>Dr. Roland Fryer, Concord</w:t>
            </w:r>
          </w:p>
          <w:p w:rsidR="00225B2D" w:rsidRDefault="00225B2D" w:rsidP="00225B2D">
            <w:pPr>
              <w:jc w:val="center"/>
              <w:rPr>
                <w:sz w:val="22"/>
                <w:szCs w:val="22"/>
              </w:rPr>
            </w:pPr>
            <w:r>
              <w:rPr>
                <w:sz w:val="22"/>
                <w:szCs w:val="22"/>
              </w:rPr>
              <w:t>Ms. Margaret McKenna, Boston</w:t>
            </w:r>
          </w:p>
          <w:p w:rsidR="00225B2D" w:rsidRDefault="00225B2D" w:rsidP="00225B2D">
            <w:pPr>
              <w:jc w:val="center"/>
              <w:rPr>
                <w:sz w:val="22"/>
                <w:szCs w:val="22"/>
              </w:rPr>
            </w:pPr>
            <w:r>
              <w:rPr>
                <w:sz w:val="22"/>
                <w:szCs w:val="22"/>
              </w:rPr>
              <w:t>Mr. Michael Moriarty, Holyoke</w:t>
            </w:r>
          </w:p>
          <w:p w:rsidR="00225B2D" w:rsidRDefault="00225B2D" w:rsidP="00225B2D">
            <w:pPr>
              <w:jc w:val="center"/>
              <w:rPr>
                <w:sz w:val="22"/>
                <w:szCs w:val="22"/>
              </w:rPr>
            </w:pPr>
            <w:r>
              <w:rPr>
                <w:sz w:val="22"/>
                <w:szCs w:val="22"/>
              </w:rPr>
              <w:t xml:space="preserve">Dr. </w:t>
            </w:r>
            <w:proofErr w:type="spellStart"/>
            <w:r>
              <w:rPr>
                <w:sz w:val="22"/>
                <w:szCs w:val="22"/>
              </w:rPr>
              <w:t>Pendred</w:t>
            </w:r>
            <w:proofErr w:type="spellEnd"/>
            <w:r>
              <w:rPr>
                <w:sz w:val="22"/>
                <w:szCs w:val="22"/>
              </w:rPr>
              <w:t xml:space="preserve"> </w:t>
            </w:r>
            <w:proofErr w:type="spellStart"/>
            <w:r>
              <w:rPr>
                <w:sz w:val="22"/>
                <w:szCs w:val="22"/>
              </w:rPr>
              <w:t>Noyce</w:t>
            </w:r>
            <w:proofErr w:type="spellEnd"/>
            <w:r>
              <w:rPr>
                <w:sz w:val="22"/>
                <w:szCs w:val="22"/>
              </w:rPr>
              <w:t>, Boston</w:t>
            </w:r>
          </w:p>
          <w:p w:rsidR="00225B2D" w:rsidRDefault="00225B2D" w:rsidP="00225B2D">
            <w:pPr>
              <w:jc w:val="center"/>
              <w:rPr>
                <w:sz w:val="22"/>
                <w:szCs w:val="22"/>
              </w:rPr>
            </w:pPr>
            <w:r>
              <w:rPr>
                <w:sz w:val="22"/>
                <w:szCs w:val="22"/>
              </w:rPr>
              <w:t xml:space="preserve">Mr. James </w:t>
            </w:r>
            <w:proofErr w:type="spellStart"/>
            <w:r>
              <w:rPr>
                <w:sz w:val="22"/>
                <w:szCs w:val="22"/>
              </w:rPr>
              <w:t>Peyser</w:t>
            </w:r>
            <w:proofErr w:type="spellEnd"/>
            <w:r>
              <w:rPr>
                <w:sz w:val="22"/>
                <w:szCs w:val="22"/>
              </w:rPr>
              <w:t>, Secretary of Education, Milton</w:t>
            </w:r>
          </w:p>
          <w:p w:rsidR="00225B2D" w:rsidRDefault="00225B2D" w:rsidP="00225B2D">
            <w:pPr>
              <w:jc w:val="center"/>
              <w:rPr>
                <w:sz w:val="22"/>
                <w:szCs w:val="22"/>
              </w:rPr>
            </w:pPr>
            <w:r>
              <w:rPr>
                <w:sz w:val="22"/>
                <w:szCs w:val="22"/>
              </w:rPr>
              <w:t>Ms. Mary Ann Stewart, Lexington</w:t>
            </w:r>
          </w:p>
          <w:p w:rsidR="00225B2D" w:rsidRDefault="00225B2D" w:rsidP="00225B2D">
            <w:pPr>
              <w:jc w:val="center"/>
              <w:rPr>
                <w:sz w:val="22"/>
                <w:szCs w:val="22"/>
              </w:rPr>
            </w:pPr>
            <w:r>
              <w:rPr>
                <w:sz w:val="22"/>
                <w:szCs w:val="22"/>
              </w:rPr>
              <w:t xml:space="preserve">Mr. Donald </w:t>
            </w:r>
            <w:proofErr w:type="spellStart"/>
            <w:r>
              <w:rPr>
                <w:sz w:val="22"/>
                <w:szCs w:val="22"/>
              </w:rPr>
              <w:t>Willyard</w:t>
            </w:r>
            <w:proofErr w:type="spellEnd"/>
            <w:r>
              <w:rPr>
                <w:sz w:val="22"/>
                <w:szCs w:val="22"/>
              </w:rPr>
              <w:t>, Chair, Student Advisory Council, Revere</w:t>
            </w:r>
          </w:p>
          <w:p w:rsidR="00BB75E0" w:rsidRPr="00C87B1B" w:rsidRDefault="00BB75E0" w:rsidP="00BB75E0">
            <w:pPr>
              <w:autoSpaceDE w:val="0"/>
              <w:autoSpaceDN w:val="0"/>
              <w:adjustRightInd w:val="0"/>
              <w:jc w:val="center"/>
              <w:rPr>
                <w:bCs/>
                <w:sz w:val="22"/>
                <w:szCs w:val="22"/>
              </w:rPr>
            </w:pPr>
          </w:p>
          <w:p w:rsidR="00BB75E0" w:rsidRPr="00C87B1B" w:rsidRDefault="00BB75E0" w:rsidP="00BB75E0">
            <w:pPr>
              <w:autoSpaceDE w:val="0"/>
              <w:autoSpaceDN w:val="0"/>
              <w:adjustRightInd w:val="0"/>
              <w:jc w:val="center"/>
              <w:rPr>
                <w:sz w:val="22"/>
                <w:szCs w:val="22"/>
              </w:rPr>
            </w:pPr>
            <w:r w:rsidRPr="00C87B1B">
              <w:rPr>
                <w:bCs/>
                <w:sz w:val="22"/>
                <w:szCs w:val="22"/>
              </w:rPr>
              <w:t>Mitchell D. Chester, Ed.D., Commissioner and Secretary to the Board</w:t>
            </w:r>
          </w:p>
          <w:p w:rsidR="00BB75E0" w:rsidRPr="00091A5F" w:rsidRDefault="00BB75E0" w:rsidP="00BB75E0">
            <w:pPr>
              <w:autoSpaceDE w:val="0"/>
              <w:autoSpaceDN w:val="0"/>
              <w:adjustRightInd w:val="0"/>
              <w:jc w:val="center"/>
            </w:pPr>
            <w:r w:rsidRPr="00091A5F">
              <w:rPr>
                <w:color w:val="000000"/>
              </w:rPr>
              <w:t>*</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BB75E0" w:rsidRPr="009A5EBB" w:rsidRDefault="00BB75E0" w:rsidP="00BB75E0">
            <w:pPr>
              <w:rPr>
                <w:sz w:val="18"/>
                <w:szCs w:val="18"/>
              </w:rPr>
            </w:pPr>
          </w:p>
          <w:p w:rsidR="00BB75E0" w:rsidRPr="009A5EBB" w:rsidRDefault="00BB75E0" w:rsidP="00BB75E0">
            <w:pPr>
              <w:rPr>
                <w:sz w:val="18"/>
                <w:szCs w:val="18"/>
              </w:rPr>
            </w:pPr>
          </w:p>
          <w:p w:rsidR="00BB75E0" w:rsidRPr="009A5EBB" w:rsidRDefault="00B26D22" w:rsidP="00BB75E0">
            <w:pPr>
              <w:pStyle w:val="BoardMembers"/>
              <w:rPr>
                <w:rFonts w:ascii="Times New Roman" w:hAnsi="Times New Roman"/>
                <w:szCs w:val="18"/>
              </w:rPr>
            </w:pPr>
            <w:r>
              <w:rPr>
                <w:rFonts w:ascii="Times New Roman" w:hAnsi="Times New Roman"/>
                <w:szCs w:val="18"/>
              </w:rPr>
              <w:t>© 201</w:t>
            </w:r>
            <w:r w:rsidR="0071665F">
              <w:rPr>
                <w:rFonts w:ascii="Times New Roman" w:hAnsi="Times New Roman"/>
                <w:szCs w:val="18"/>
              </w:rPr>
              <w:t>6</w:t>
            </w:r>
            <w:r w:rsidR="00BB75E0" w:rsidRPr="009A5EBB">
              <w:rPr>
                <w:rFonts w:ascii="Times New Roman" w:hAnsi="Times New Roman"/>
                <w:szCs w:val="18"/>
              </w:rPr>
              <w:t xml:space="preserve"> Massachusetts Department of Elementary and Secondary Education</w:t>
            </w:r>
          </w:p>
          <w:p w:rsidR="00BB75E0" w:rsidRPr="009A5EBB" w:rsidRDefault="00BB75E0" w:rsidP="00BB75E0">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BB75E0" w:rsidRPr="009A5EBB" w:rsidRDefault="00BB75E0" w:rsidP="00BB75E0">
            <w:pPr>
              <w:rPr>
                <w:sz w:val="18"/>
                <w:szCs w:val="18"/>
              </w:rPr>
            </w:pPr>
          </w:p>
          <w:p w:rsidR="00BB75E0" w:rsidRPr="009A5EBB" w:rsidRDefault="00BB75E0" w:rsidP="00BB75E0">
            <w:pPr>
              <w:pStyle w:val="Permission"/>
              <w:rPr>
                <w:rFonts w:ascii="Times New Roman" w:hAnsi="Times New Roman"/>
                <w:szCs w:val="18"/>
              </w:rPr>
            </w:pPr>
            <w:r w:rsidRPr="009A5EBB">
              <w:rPr>
                <w:rFonts w:ascii="Times New Roman" w:hAnsi="Times New Roman"/>
                <w:szCs w:val="18"/>
              </w:rPr>
              <w:t>This document printed on recycled paper</w:t>
            </w:r>
          </w:p>
          <w:p w:rsidR="00BB75E0" w:rsidRPr="009A5EBB" w:rsidRDefault="00BB75E0" w:rsidP="00BB75E0">
            <w:pPr>
              <w:rPr>
                <w:sz w:val="18"/>
                <w:szCs w:val="18"/>
              </w:rPr>
            </w:pP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BB75E0" w:rsidRPr="009A5EBB" w:rsidRDefault="00BB75E0" w:rsidP="00BB75E0">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Phone 781-338-3000  TTY: N.E.T. Relay 800-439-2370</w:t>
            </w:r>
          </w:p>
          <w:p w:rsidR="00BB75E0" w:rsidRPr="009A5EBB" w:rsidRDefault="00BB75E0" w:rsidP="00BB75E0">
            <w:pPr>
              <w:pStyle w:val="BoardMembers"/>
              <w:rPr>
                <w:rFonts w:ascii="Times New Roman" w:hAnsi="Times New Roman"/>
                <w:szCs w:val="18"/>
              </w:rPr>
            </w:pPr>
            <w:r w:rsidRPr="009A5EBB">
              <w:rPr>
                <w:rFonts w:ascii="Times New Roman" w:hAnsi="Times New Roman"/>
                <w:szCs w:val="18"/>
              </w:rP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297458" w:rsidRPr="003B1D70" w:rsidRDefault="00297458" w:rsidP="00297458">
      <w:pPr>
        <w:ind w:left="540" w:firstLine="720"/>
        <w:rPr>
          <w:rFonts w:ascii="Arial" w:hAnsi="Arial" w:cs="Arial"/>
        </w:rPr>
      </w:pPr>
      <w:r>
        <w:br w:type="page"/>
      </w:r>
      <w:r>
        <w:rPr>
          <w:rFonts w:ascii="Arial" w:hAnsi="Arial" w:cs="Arial"/>
          <w:i/>
          <w:noProof/>
          <w:sz w:val="40"/>
          <w:lang w:eastAsia="zh-CN" w:bidi="km-KH"/>
        </w:rPr>
        <w:lastRenderedPageBreak/>
        <w:drawing>
          <wp:anchor distT="0" distB="0" distL="114300" distR="274320" simplePos="0" relativeHeight="25166336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0"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297458" w:rsidRPr="004C1FFA" w:rsidRDefault="00297458" w:rsidP="00297458">
      <w:pPr>
        <w:ind w:left="1260"/>
        <w:rPr>
          <w:rFonts w:ascii="Century Schoolbook" w:hAnsi="Century Schoolbook"/>
        </w:rPr>
      </w:pPr>
      <w:r w:rsidRPr="003B1D70">
        <w:rPr>
          <w:rFonts w:ascii="Arial" w:hAnsi="Arial" w:cs="Arial"/>
          <w:b/>
          <w:i/>
          <w:sz w:val="40"/>
        </w:rPr>
        <w:t>Elementary &amp; Secondary Education</w:t>
      </w:r>
    </w:p>
    <w:p w:rsidR="00297458" w:rsidRPr="00FA0025" w:rsidRDefault="00DF7A20" w:rsidP="00297458">
      <w:pPr>
        <w:ind w:left="1260"/>
      </w:pPr>
      <w:r>
        <w:rPr>
          <w:noProof/>
        </w:rPr>
        <w:pict>
          <v:line id="_x0000_s1028" alt="Horizontal line" style="position:absolute;left:0;text-align:left;z-index:251662336" from="62.4pt,5.1pt" to="473.35pt,5.1pt" o:allowincell="f" strokeweight="1pt"/>
        </w:pict>
      </w:r>
    </w:p>
    <w:p w:rsidR="00297458" w:rsidRPr="00FA0025" w:rsidRDefault="00297458" w:rsidP="00297458">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297458" w:rsidRPr="00FA0025" w:rsidRDefault="00297458" w:rsidP="00297458">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297458" w:rsidRPr="00C974A6" w:rsidRDefault="00297458" w:rsidP="00297458">
      <w:pPr>
        <w:ind w:left="720"/>
        <w:rPr>
          <w:rFonts w:ascii="Arial" w:hAnsi="Arial"/>
          <w:i/>
          <w:sz w:val="16"/>
          <w:szCs w:val="16"/>
        </w:rPr>
      </w:pPr>
    </w:p>
    <w:p w:rsidR="00297458" w:rsidRDefault="00297458" w:rsidP="00297458">
      <w:pPr>
        <w:ind w:left="720"/>
        <w:rPr>
          <w:rFonts w:ascii="Arial" w:hAnsi="Arial"/>
          <w:i/>
          <w:sz w:val="18"/>
        </w:rPr>
        <w:sectPr w:rsidR="00297458" w:rsidSect="00297458">
          <w:endnotePr>
            <w:numFmt w:val="decimal"/>
          </w:endnotePr>
          <w:type w:val="continuous"/>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297458" w:rsidRPr="00C974A6" w:rsidTr="00297458">
        <w:tc>
          <w:tcPr>
            <w:tcW w:w="2640" w:type="dxa"/>
          </w:tcPr>
          <w:p w:rsidR="00297458" w:rsidRPr="00FA7DF8" w:rsidRDefault="00297458" w:rsidP="00297458">
            <w:pPr>
              <w:jc w:val="center"/>
              <w:rPr>
                <w:rFonts w:ascii="Arial" w:hAnsi="Arial" w:cs="Arial"/>
                <w:sz w:val="14"/>
                <w:szCs w:val="14"/>
              </w:rPr>
            </w:pPr>
          </w:p>
          <w:p w:rsidR="00297458" w:rsidRDefault="00297458" w:rsidP="00297458">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297458" w:rsidRPr="00E90934" w:rsidRDefault="00297458" w:rsidP="00297458">
            <w:pPr>
              <w:jc w:val="center"/>
              <w:rPr>
                <w:rFonts w:ascii="Arial" w:hAnsi="Arial"/>
                <w:i/>
                <w:sz w:val="16"/>
                <w:szCs w:val="16"/>
              </w:rPr>
            </w:pPr>
            <w:r w:rsidRPr="00E90934">
              <w:rPr>
                <w:rFonts w:ascii="Arial" w:hAnsi="Arial"/>
                <w:i/>
                <w:sz w:val="16"/>
                <w:szCs w:val="16"/>
              </w:rPr>
              <w:t>Commissioner</w:t>
            </w:r>
          </w:p>
        </w:tc>
        <w:tc>
          <w:tcPr>
            <w:tcW w:w="6936" w:type="dxa"/>
          </w:tcPr>
          <w:p w:rsidR="00297458" w:rsidRPr="00C974A6" w:rsidRDefault="00297458" w:rsidP="00297458">
            <w:pPr>
              <w:jc w:val="center"/>
              <w:rPr>
                <w:rFonts w:ascii="Arial" w:hAnsi="Arial"/>
                <w:i/>
                <w:sz w:val="16"/>
                <w:szCs w:val="16"/>
              </w:rPr>
            </w:pPr>
          </w:p>
        </w:tc>
      </w:tr>
    </w:tbl>
    <w:p w:rsidR="00297458" w:rsidRPr="00C974A6" w:rsidRDefault="00297458" w:rsidP="00297458">
      <w:pPr>
        <w:ind w:left="720"/>
        <w:jc w:val="center"/>
        <w:rPr>
          <w:rFonts w:ascii="Arial" w:hAnsi="Arial"/>
          <w:i/>
          <w:sz w:val="16"/>
          <w:szCs w:val="16"/>
        </w:rPr>
      </w:pPr>
    </w:p>
    <w:p w:rsidR="00297458" w:rsidRDefault="00297458" w:rsidP="00297458">
      <w:pPr>
        <w:rPr>
          <w:rFonts w:ascii="Arial" w:hAnsi="Arial"/>
          <w:i/>
          <w:sz w:val="18"/>
        </w:rPr>
      </w:pPr>
    </w:p>
    <w:p w:rsidR="00297458" w:rsidRDefault="00297458" w:rsidP="00297458"/>
    <w:p w:rsidR="006A6079" w:rsidRPr="00924C38" w:rsidRDefault="0038794F" w:rsidP="00297458">
      <w:pPr>
        <w:spacing w:before="120" w:after="240"/>
        <w:rPr>
          <w:sz w:val="22"/>
          <w:szCs w:val="22"/>
        </w:rPr>
      </w:pPr>
      <w:r>
        <w:rPr>
          <w:sz w:val="22"/>
          <w:szCs w:val="22"/>
        </w:rPr>
        <w:t>March</w:t>
      </w:r>
      <w:r w:rsidR="00323382">
        <w:rPr>
          <w:sz w:val="22"/>
          <w:szCs w:val="22"/>
        </w:rPr>
        <w:t xml:space="preserve"> </w:t>
      </w:r>
      <w:r w:rsidR="00EF764E">
        <w:rPr>
          <w:sz w:val="22"/>
          <w:szCs w:val="22"/>
        </w:rPr>
        <w:t>2016</w:t>
      </w:r>
    </w:p>
    <w:p w:rsidR="006A6079" w:rsidRPr="00924C38" w:rsidRDefault="006A6079" w:rsidP="009B483B">
      <w:pPr>
        <w:spacing w:before="120" w:after="240"/>
        <w:rPr>
          <w:sz w:val="22"/>
          <w:szCs w:val="22"/>
        </w:rPr>
      </w:pPr>
      <w:r w:rsidRPr="00924C38">
        <w:rPr>
          <w:sz w:val="22"/>
          <w:szCs w:val="22"/>
        </w:rPr>
        <w:t xml:space="preserve">Dear Members of the General Court:         </w:t>
      </w:r>
    </w:p>
    <w:p w:rsidR="00A753FD" w:rsidRPr="00924C38" w:rsidRDefault="006A6079" w:rsidP="009B483B">
      <w:pPr>
        <w:spacing w:before="120" w:after="240"/>
        <w:rPr>
          <w:i/>
          <w:sz w:val="22"/>
          <w:szCs w:val="22"/>
        </w:rPr>
      </w:pPr>
      <w:r w:rsidRPr="00924C38">
        <w:rPr>
          <w:sz w:val="22"/>
          <w:szCs w:val="22"/>
        </w:rPr>
        <w:t xml:space="preserve">I am pleased to submit this </w:t>
      </w:r>
      <w:r w:rsidR="00C52649" w:rsidRPr="00924C38">
        <w:rPr>
          <w:i/>
          <w:sz w:val="22"/>
          <w:szCs w:val="22"/>
        </w:rPr>
        <w:t>Report to the Legislature:</w:t>
      </w:r>
      <w:r w:rsidR="007F4348" w:rsidRPr="00924C38">
        <w:rPr>
          <w:i/>
          <w:sz w:val="22"/>
          <w:szCs w:val="22"/>
        </w:rPr>
        <w:t xml:space="preserve"> </w:t>
      </w:r>
      <w:r w:rsidRPr="00924C38">
        <w:rPr>
          <w:i/>
          <w:sz w:val="22"/>
          <w:szCs w:val="22"/>
        </w:rPr>
        <w:t xml:space="preserve">Annual Report on Students with Disabilities </w:t>
      </w:r>
      <w:r w:rsidR="00AA0A71" w:rsidRPr="00924C38">
        <w:rPr>
          <w:i/>
          <w:sz w:val="22"/>
          <w:szCs w:val="22"/>
        </w:rPr>
        <w:t>2014-2015</w:t>
      </w:r>
      <w:r w:rsidR="00AA0A71" w:rsidRPr="00924C38">
        <w:rPr>
          <w:sz w:val="22"/>
          <w:szCs w:val="22"/>
        </w:rPr>
        <w:t xml:space="preserve">. </w:t>
      </w:r>
      <w:r w:rsidRPr="00924C38">
        <w:rPr>
          <w:sz w:val="22"/>
          <w:szCs w:val="22"/>
        </w:rPr>
        <w:t xml:space="preserve">This report has been provided to the Legislature on an annual basis since </w:t>
      </w:r>
      <w:r w:rsidR="00C92DEF">
        <w:rPr>
          <w:sz w:val="22"/>
          <w:szCs w:val="22"/>
        </w:rPr>
        <w:t xml:space="preserve">the year </w:t>
      </w:r>
      <w:r w:rsidRPr="00924C38">
        <w:rPr>
          <w:sz w:val="22"/>
          <w:szCs w:val="22"/>
        </w:rPr>
        <w:t>2000</w:t>
      </w:r>
      <w:r w:rsidR="00C92DEF">
        <w:rPr>
          <w:sz w:val="22"/>
          <w:szCs w:val="22"/>
        </w:rPr>
        <w:t>.</w:t>
      </w:r>
      <w:r w:rsidRPr="00924C38">
        <w:rPr>
          <w:sz w:val="22"/>
          <w:szCs w:val="22"/>
        </w:rPr>
        <w:t xml:space="preserve"> </w:t>
      </w:r>
    </w:p>
    <w:p w:rsidR="00B4741C" w:rsidRDefault="002162DB" w:rsidP="009B483B">
      <w:pPr>
        <w:spacing w:before="120" w:after="240"/>
        <w:rPr>
          <w:sz w:val="22"/>
          <w:szCs w:val="22"/>
        </w:rPr>
      </w:pPr>
      <w:r>
        <w:rPr>
          <w:sz w:val="22"/>
          <w:szCs w:val="22"/>
        </w:rPr>
        <w:t xml:space="preserve">This report is issued in the context of a change in focus for </w:t>
      </w:r>
      <w:r w:rsidR="00B4741C">
        <w:rPr>
          <w:sz w:val="22"/>
          <w:szCs w:val="22"/>
        </w:rPr>
        <w:t>th</w:t>
      </w:r>
      <w:r w:rsidRPr="002162DB">
        <w:rPr>
          <w:sz w:val="22"/>
          <w:szCs w:val="22"/>
        </w:rPr>
        <w:t xml:space="preserve">e </w:t>
      </w:r>
      <w:r>
        <w:rPr>
          <w:sz w:val="22"/>
          <w:szCs w:val="22"/>
        </w:rPr>
        <w:t xml:space="preserve">U.S. </w:t>
      </w:r>
      <w:r w:rsidRPr="002162DB">
        <w:rPr>
          <w:sz w:val="22"/>
          <w:szCs w:val="22"/>
        </w:rPr>
        <w:t>Office of Special Education Programs (OSEP)</w:t>
      </w:r>
      <w:r w:rsidR="00B4741C">
        <w:rPr>
          <w:sz w:val="22"/>
          <w:szCs w:val="22"/>
        </w:rPr>
        <w:t xml:space="preserve">, the federal agency which oversees </w:t>
      </w:r>
      <w:r w:rsidR="00C92DEF">
        <w:rPr>
          <w:sz w:val="22"/>
          <w:szCs w:val="22"/>
        </w:rPr>
        <w:t>the Individuals with Disabilities Education Act (</w:t>
      </w:r>
      <w:r w:rsidR="00B4741C">
        <w:rPr>
          <w:sz w:val="22"/>
          <w:szCs w:val="22"/>
        </w:rPr>
        <w:t>IDEA</w:t>
      </w:r>
      <w:r w:rsidR="00C92DEF">
        <w:rPr>
          <w:sz w:val="22"/>
          <w:szCs w:val="22"/>
        </w:rPr>
        <w:t>)</w:t>
      </w:r>
      <w:r w:rsidR="00B4741C">
        <w:rPr>
          <w:sz w:val="22"/>
          <w:szCs w:val="22"/>
        </w:rPr>
        <w:t xml:space="preserve"> implementation in each state</w:t>
      </w:r>
      <w:r>
        <w:rPr>
          <w:sz w:val="22"/>
          <w:szCs w:val="22"/>
        </w:rPr>
        <w:t xml:space="preserve">. </w:t>
      </w:r>
      <w:r w:rsidR="00001093">
        <w:rPr>
          <w:sz w:val="22"/>
          <w:szCs w:val="22"/>
        </w:rPr>
        <w:t xml:space="preserve">OSEP’s </w:t>
      </w:r>
      <w:r w:rsidR="00F661A1">
        <w:rPr>
          <w:sz w:val="22"/>
          <w:szCs w:val="22"/>
        </w:rPr>
        <w:t xml:space="preserve">new </w:t>
      </w:r>
      <w:r w:rsidR="00297458">
        <w:rPr>
          <w:sz w:val="22"/>
          <w:szCs w:val="22"/>
        </w:rPr>
        <w:t>accountability framework,</w:t>
      </w:r>
      <w:r w:rsidR="00F661A1">
        <w:rPr>
          <w:sz w:val="22"/>
          <w:szCs w:val="22"/>
        </w:rPr>
        <w:t xml:space="preserve"> Results Driven Accountability (RDA)</w:t>
      </w:r>
      <w:r w:rsidR="00001093">
        <w:rPr>
          <w:sz w:val="22"/>
          <w:szCs w:val="22"/>
        </w:rPr>
        <w:t>, focuses first and foremost</w:t>
      </w:r>
      <w:r w:rsidR="00F661A1">
        <w:rPr>
          <w:sz w:val="22"/>
          <w:szCs w:val="22"/>
        </w:rPr>
        <w:t xml:space="preserve"> on improved educational results and functional outcomes for students with disabilities</w:t>
      </w:r>
      <w:r w:rsidR="00001093">
        <w:rPr>
          <w:sz w:val="22"/>
          <w:szCs w:val="22"/>
        </w:rPr>
        <w:t>, rather than emphasizing procedural requirements</w:t>
      </w:r>
      <w:r w:rsidR="00100605">
        <w:rPr>
          <w:sz w:val="22"/>
          <w:szCs w:val="22"/>
        </w:rPr>
        <w:t xml:space="preserve"> only</w:t>
      </w:r>
      <w:r w:rsidR="00001093">
        <w:rPr>
          <w:sz w:val="22"/>
          <w:szCs w:val="22"/>
        </w:rPr>
        <w:t>.</w:t>
      </w:r>
      <w:r w:rsidR="00B4741C">
        <w:rPr>
          <w:sz w:val="22"/>
          <w:szCs w:val="22"/>
        </w:rPr>
        <w:t xml:space="preserve"> </w:t>
      </w:r>
      <w:r w:rsidR="009A695A">
        <w:rPr>
          <w:sz w:val="22"/>
          <w:szCs w:val="22"/>
        </w:rPr>
        <w:t xml:space="preserve">In June 2015, OSEP notified </w:t>
      </w:r>
      <w:r w:rsidR="00EB5C92" w:rsidRPr="00924C38">
        <w:rPr>
          <w:sz w:val="22"/>
          <w:szCs w:val="22"/>
        </w:rPr>
        <w:t>the Department</w:t>
      </w:r>
      <w:r w:rsidR="00BD452B" w:rsidRPr="00924C38">
        <w:rPr>
          <w:sz w:val="22"/>
          <w:szCs w:val="22"/>
        </w:rPr>
        <w:t xml:space="preserve"> of Elementary and Secondary Education</w:t>
      </w:r>
      <w:r w:rsidR="00B4741C">
        <w:rPr>
          <w:sz w:val="22"/>
          <w:szCs w:val="22"/>
        </w:rPr>
        <w:t xml:space="preserve"> </w:t>
      </w:r>
      <w:r w:rsidR="000B0089">
        <w:rPr>
          <w:sz w:val="22"/>
          <w:szCs w:val="22"/>
        </w:rPr>
        <w:t xml:space="preserve">(“the Department”) </w:t>
      </w:r>
      <w:r w:rsidR="00B4741C">
        <w:rPr>
          <w:sz w:val="22"/>
          <w:szCs w:val="22"/>
        </w:rPr>
        <w:t xml:space="preserve">that, </w:t>
      </w:r>
      <w:r w:rsidR="009A695A">
        <w:rPr>
          <w:sz w:val="22"/>
          <w:szCs w:val="22"/>
        </w:rPr>
        <w:t xml:space="preserve">for the second year in a row, </w:t>
      </w:r>
      <w:r w:rsidR="00AA0A71" w:rsidRPr="00924C38">
        <w:rPr>
          <w:sz w:val="22"/>
          <w:szCs w:val="22"/>
        </w:rPr>
        <w:t xml:space="preserve">Massachusetts meets the </w:t>
      </w:r>
      <w:r w:rsidR="00B4741C">
        <w:rPr>
          <w:sz w:val="22"/>
          <w:szCs w:val="22"/>
        </w:rPr>
        <w:t>requirements</w:t>
      </w:r>
      <w:r w:rsidR="00AA0A71" w:rsidRPr="00924C38">
        <w:rPr>
          <w:sz w:val="22"/>
          <w:szCs w:val="22"/>
        </w:rPr>
        <w:t xml:space="preserve"> of </w:t>
      </w:r>
      <w:r w:rsidR="00EB5C92" w:rsidRPr="00924C38">
        <w:rPr>
          <w:sz w:val="22"/>
          <w:szCs w:val="22"/>
        </w:rPr>
        <w:t>IDEA.</w:t>
      </w:r>
      <w:r w:rsidR="00B4741C">
        <w:rPr>
          <w:sz w:val="22"/>
          <w:szCs w:val="22"/>
        </w:rPr>
        <w:t xml:space="preserve"> </w:t>
      </w:r>
      <w:r w:rsidR="00AA0A71" w:rsidRPr="00924C38">
        <w:rPr>
          <w:sz w:val="22"/>
          <w:szCs w:val="22"/>
        </w:rPr>
        <w:t>This is the highest</w:t>
      </w:r>
      <w:r w:rsidR="004B5492" w:rsidRPr="00924C38">
        <w:rPr>
          <w:sz w:val="22"/>
          <w:szCs w:val="22"/>
        </w:rPr>
        <w:t xml:space="preserve"> </w:t>
      </w:r>
      <w:r w:rsidR="00671B19" w:rsidRPr="00924C38">
        <w:rPr>
          <w:sz w:val="22"/>
          <w:szCs w:val="22"/>
        </w:rPr>
        <w:t>accolade</w:t>
      </w:r>
      <w:r w:rsidR="00AA0A71" w:rsidRPr="00924C38">
        <w:rPr>
          <w:sz w:val="22"/>
          <w:szCs w:val="22"/>
        </w:rPr>
        <w:t xml:space="preserve"> that a state can receive</w:t>
      </w:r>
      <w:r w:rsidR="00AF7346" w:rsidRPr="00924C38">
        <w:rPr>
          <w:sz w:val="22"/>
          <w:szCs w:val="22"/>
        </w:rPr>
        <w:t xml:space="preserve"> from OSEP</w:t>
      </w:r>
      <w:r w:rsidR="00AA0A71" w:rsidRPr="00924C38">
        <w:rPr>
          <w:sz w:val="22"/>
          <w:szCs w:val="22"/>
        </w:rPr>
        <w:t xml:space="preserve">. </w:t>
      </w:r>
      <w:r w:rsidR="000B0089">
        <w:rPr>
          <w:sz w:val="22"/>
          <w:szCs w:val="22"/>
        </w:rPr>
        <w:t xml:space="preserve">Such </w:t>
      </w:r>
      <w:hyperlink r:id="rId15" w:history="1">
        <w:r w:rsidR="000B0089">
          <w:rPr>
            <w:rStyle w:val="Hyperlink"/>
            <w:sz w:val="22"/>
            <w:szCs w:val="22"/>
          </w:rPr>
          <w:t>d</w:t>
        </w:r>
        <w:r w:rsidR="00AA0A71" w:rsidRPr="00924C38">
          <w:rPr>
            <w:rStyle w:val="Hyperlink"/>
            <w:sz w:val="22"/>
            <w:szCs w:val="22"/>
          </w:rPr>
          <w:t>eterminations</w:t>
        </w:r>
      </w:hyperlink>
      <w:r w:rsidR="00AA0A71" w:rsidRPr="00924C38">
        <w:rPr>
          <w:sz w:val="22"/>
          <w:szCs w:val="22"/>
        </w:rPr>
        <w:t xml:space="preserve"> ar</w:t>
      </w:r>
      <w:r w:rsidR="004F34B1" w:rsidRPr="00924C38">
        <w:rPr>
          <w:sz w:val="22"/>
          <w:szCs w:val="22"/>
        </w:rPr>
        <w:t>e based on the totality of the s</w:t>
      </w:r>
      <w:r w:rsidR="00AA0A71" w:rsidRPr="00924C38">
        <w:rPr>
          <w:sz w:val="22"/>
          <w:szCs w:val="22"/>
        </w:rPr>
        <w:t>tate’s data and info</w:t>
      </w:r>
      <w:r w:rsidR="00EB5C92" w:rsidRPr="00924C38">
        <w:rPr>
          <w:sz w:val="22"/>
          <w:szCs w:val="22"/>
        </w:rPr>
        <w:t xml:space="preserve">rmation, including </w:t>
      </w:r>
      <w:r w:rsidR="004B5492" w:rsidRPr="00924C38">
        <w:rPr>
          <w:sz w:val="22"/>
          <w:szCs w:val="22"/>
        </w:rPr>
        <w:t xml:space="preserve">students with </w:t>
      </w:r>
      <w:r w:rsidR="00371358" w:rsidRPr="00924C38">
        <w:rPr>
          <w:sz w:val="22"/>
          <w:szCs w:val="22"/>
        </w:rPr>
        <w:t>IEPs</w:t>
      </w:r>
      <w:r w:rsidR="004B5492" w:rsidRPr="00924C38">
        <w:rPr>
          <w:sz w:val="22"/>
          <w:szCs w:val="22"/>
        </w:rPr>
        <w:t>’ participation and performance on the National Assessment of Educational Progress (NAEP)</w:t>
      </w:r>
      <w:r w:rsidR="003F0266" w:rsidRPr="00924C38">
        <w:rPr>
          <w:sz w:val="22"/>
          <w:szCs w:val="22"/>
        </w:rPr>
        <w:t>,</w:t>
      </w:r>
      <w:r w:rsidR="004B5492" w:rsidRPr="00924C38">
        <w:rPr>
          <w:sz w:val="22"/>
          <w:szCs w:val="22"/>
        </w:rPr>
        <w:t xml:space="preserve"> their participation </w:t>
      </w:r>
      <w:r w:rsidR="001A553C" w:rsidRPr="00924C38">
        <w:rPr>
          <w:sz w:val="22"/>
          <w:szCs w:val="22"/>
        </w:rPr>
        <w:t xml:space="preserve">in the </w:t>
      </w:r>
      <w:r w:rsidR="003F0266" w:rsidRPr="00924C38">
        <w:rPr>
          <w:sz w:val="22"/>
          <w:szCs w:val="22"/>
        </w:rPr>
        <w:t xml:space="preserve">MCAS, </w:t>
      </w:r>
      <w:r w:rsidR="00B86AE5">
        <w:rPr>
          <w:sz w:val="22"/>
          <w:szCs w:val="22"/>
        </w:rPr>
        <w:t xml:space="preserve">data and information provided to the U.S. Department of Education from other sources, and </w:t>
      </w:r>
      <w:r w:rsidR="003F0266" w:rsidRPr="00924C38">
        <w:rPr>
          <w:sz w:val="22"/>
          <w:szCs w:val="22"/>
        </w:rPr>
        <w:t xml:space="preserve">the </w:t>
      </w:r>
      <w:hyperlink r:id="rId16" w:history="1">
        <w:r w:rsidR="003F0266" w:rsidRPr="00A46EB9">
          <w:rPr>
            <w:rStyle w:val="Hyperlink"/>
            <w:sz w:val="22"/>
            <w:szCs w:val="22"/>
          </w:rPr>
          <w:t>Federal Fiscal Year (FFY) 2013 State Performance Plan/Annual Performance Report (SPP/APR)</w:t>
        </w:r>
      </w:hyperlink>
      <w:r w:rsidR="003F0266" w:rsidRPr="00A46EB9">
        <w:rPr>
          <w:sz w:val="22"/>
          <w:szCs w:val="22"/>
        </w:rPr>
        <w:t>.</w:t>
      </w:r>
      <w:r w:rsidR="00823982" w:rsidRPr="00924C38">
        <w:rPr>
          <w:sz w:val="22"/>
          <w:szCs w:val="22"/>
        </w:rPr>
        <w:t xml:space="preserve"> </w:t>
      </w:r>
    </w:p>
    <w:p w:rsidR="00742A9D" w:rsidRDefault="00AF27EF" w:rsidP="00742A9D">
      <w:pPr>
        <w:spacing w:before="120" w:after="240"/>
        <w:ind w:right="-270"/>
        <w:rPr>
          <w:sz w:val="22"/>
          <w:szCs w:val="22"/>
        </w:rPr>
      </w:pPr>
      <w:r>
        <w:rPr>
          <w:sz w:val="22"/>
          <w:szCs w:val="22"/>
        </w:rPr>
        <w:t>The</w:t>
      </w:r>
      <w:r w:rsidR="00146B72">
        <w:rPr>
          <w:sz w:val="22"/>
          <w:szCs w:val="22"/>
        </w:rPr>
        <w:t xml:space="preserve"> Department has also focused on outcomes for students with disabilities in our state initiatives. In our </w:t>
      </w:r>
      <w:hyperlink r:id="rId17" w:history="1">
        <w:r w:rsidR="00146B72" w:rsidRPr="00924C38">
          <w:rPr>
            <w:rStyle w:val="Hyperlink"/>
            <w:sz w:val="22"/>
            <w:szCs w:val="22"/>
          </w:rPr>
          <w:t xml:space="preserve">FY14 </w:t>
        </w:r>
        <w:r w:rsidR="00146B72">
          <w:rPr>
            <w:rStyle w:val="Hyperlink"/>
            <w:sz w:val="22"/>
            <w:szCs w:val="22"/>
          </w:rPr>
          <w:t>Report to the Legislature</w:t>
        </w:r>
      </w:hyperlink>
      <w:r w:rsidR="00146B72">
        <w:t xml:space="preserve"> </w:t>
      </w:r>
      <w:r w:rsidR="00146B72" w:rsidRPr="00146B72">
        <w:rPr>
          <w:sz w:val="22"/>
          <w:szCs w:val="22"/>
        </w:rPr>
        <w:t xml:space="preserve">we examined research by </w:t>
      </w:r>
      <w:r w:rsidR="0083067F" w:rsidRPr="00146B72">
        <w:rPr>
          <w:sz w:val="22"/>
          <w:szCs w:val="22"/>
        </w:rPr>
        <w:t>Dr</w:t>
      </w:r>
      <w:r w:rsidR="00AC60D0" w:rsidRPr="00146B72">
        <w:rPr>
          <w:sz w:val="22"/>
          <w:szCs w:val="22"/>
        </w:rPr>
        <w:t>. Thomas</w:t>
      </w:r>
      <w:r w:rsidR="00AC60D0">
        <w:rPr>
          <w:sz w:val="22"/>
          <w:szCs w:val="22"/>
        </w:rPr>
        <w:t xml:space="preserve"> Hehir and Associates </w:t>
      </w:r>
      <w:r w:rsidR="00146B72">
        <w:rPr>
          <w:sz w:val="22"/>
          <w:szCs w:val="22"/>
        </w:rPr>
        <w:t>regarding</w:t>
      </w:r>
      <w:r w:rsidR="009452CF">
        <w:rPr>
          <w:sz w:val="22"/>
          <w:szCs w:val="22"/>
        </w:rPr>
        <w:t xml:space="preserve"> student placement, services, and outcome</w:t>
      </w:r>
      <w:r w:rsidR="00FD34D7">
        <w:rPr>
          <w:sz w:val="22"/>
          <w:szCs w:val="22"/>
        </w:rPr>
        <w:t>s</w:t>
      </w:r>
      <w:r w:rsidR="009452CF">
        <w:rPr>
          <w:sz w:val="22"/>
          <w:szCs w:val="22"/>
        </w:rPr>
        <w:t xml:space="preserve"> data</w:t>
      </w:r>
      <w:r w:rsidR="00C92DEF">
        <w:rPr>
          <w:sz w:val="22"/>
          <w:szCs w:val="22"/>
        </w:rPr>
        <w:t xml:space="preserve"> for special education</w:t>
      </w:r>
      <w:r w:rsidR="00146B72">
        <w:rPr>
          <w:sz w:val="22"/>
          <w:szCs w:val="22"/>
        </w:rPr>
        <w:t>. Dr. Hehir’s</w:t>
      </w:r>
      <w:r w:rsidR="00C33504">
        <w:rPr>
          <w:sz w:val="22"/>
          <w:szCs w:val="22"/>
        </w:rPr>
        <w:t xml:space="preserve"> research found that </w:t>
      </w:r>
      <w:r w:rsidR="009452CF">
        <w:rPr>
          <w:sz w:val="22"/>
          <w:szCs w:val="22"/>
        </w:rPr>
        <w:t>s</w:t>
      </w:r>
      <w:r w:rsidR="009452CF" w:rsidRPr="00D00E58">
        <w:rPr>
          <w:sz w:val="22"/>
          <w:szCs w:val="22"/>
        </w:rPr>
        <w:t xml:space="preserve">tudents from low income families are </w:t>
      </w:r>
      <w:r w:rsidR="009452CF">
        <w:rPr>
          <w:sz w:val="22"/>
          <w:szCs w:val="22"/>
        </w:rPr>
        <w:t xml:space="preserve">almost twice </w:t>
      </w:r>
      <w:r w:rsidR="00C92DEF">
        <w:rPr>
          <w:sz w:val="22"/>
          <w:szCs w:val="22"/>
        </w:rPr>
        <w:t>as</w:t>
      </w:r>
      <w:r w:rsidR="00C92DEF" w:rsidRPr="00D00E58">
        <w:rPr>
          <w:sz w:val="22"/>
          <w:szCs w:val="22"/>
        </w:rPr>
        <w:t xml:space="preserve"> likely to be eligible for special education services as</w:t>
      </w:r>
      <w:r w:rsidR="009452CF" w:rsidRPr="00D00E58">
        <w:rPr>
          <w:sz w:val="22"/>
          <w:szCs w:val="22"/>
        </w:rPr>
        <w:t xml:space="preserve"> other students. </w:t>
      </w:r>
      <w:r w:rsidR="00146B72">
        <w:rPr>
          <w:sz w:val="22"/>
          <w:szCs w:val="22"/>
        </w:rPr>
        <w:t xml:space="preserve">Additionally, </w:t>
      </w:r>
      <w:r>
        <w:rPr>
          <w:sz w:val="22"/>
          <w:szCs w:val="22"/>
        </w:rPr>
        <w:t>s</w:t>
      </w:r>
      <w:r w:rsidR="00C92DEF">
        <w:rPr>
          <w:sz w:val="22"/>
          <w:szCs w:val="22"/>
        </w:rPr>
        <w:t xml:space="preserve">tudents </w:t>
      </w:r>
      <w:r w:rsidR="0083067F">
        <w:rPr>
          <w:sz w:val="22"/>
          <w:szCs w:val="22"/>
        </w:rPr>
        <w:t xml:space="preserve">with IEPs </w:t>
      </w:r>
      <w:r w:rsidR="00C92DEF">
        <w:rPr>
          <w:sz w:val="22"/>
          <w:szCs w:val="22"/>
        </w:rPr>
        <w:t xml:space="preserve">from low income families </w:t>
      </w:r>
      <w:r w:rsidR="009452CF" w:rsidRPr="00D00E58">
        <w:rPr>
          <w:sz w:val="22"/>
          <w:szCs w:val="22"/>
        </w:rPr>
        <w:t xml:space="preserve">are </w:t>
      </w:r>
      <w:r w:rsidR="009452CF">
        <w:rPr>
          <w:sz w:val="22"/>
          <w:szCs w:val="22"/>
        </w:rPr>
        <w:t>almost twice as</w:t>
      </w:r>
      <w:r w:rsidR="009452CF" w:rsidRPr="00D00E58">
        <w:rPr>
          <w:sz w:val="22"/>
          <w:szCs w:val="22"/>
        </w:rPr>
        <w:t xml:space="preserve"> likely to be educated in separate settings. </w:t>
      </w:r>
      <w:r w:rsidR="0083067F">
        <w:rPr>
          <w:sz w:val="22"/>
          <w:szCs w:val="22"/>
        </w:rPr>
        <w:t>Given the growth of the numbers of students living in poverty in Massachusetts, I am particularly concerned that our response of disproportionately identifying these students for special education services is inappropriate</w:t>
      </w:r>
      <w:r>
        <w:rPr>
          <w:sz w:val="22"/>
          <w:szCs w:val="22"/>
        </w:rPr>
        <w:t>,</w:t>
      </w:r>
      <w:r w:rsidR="0083067F">
        <w:rPr>
          <w:sz w:val="22"/>
          <w:szCs w:val="22"/>
        </w:rPr>
        <w:t xml:space="preserve"> and separating them from the general education environment is resulting in poorer outcomes for these already vu</w:t>
      </w:r>
      <w:r>
        <w:rPr>
          <w:sz w:val="22"/>
          <w:szCs w:val="22"/>
        </w:rPr>
        <w:t xml:space="preserve">lnerable students. </w:t>
      </w:r>
      <w:r w:rsidR="00C33504">
        <w:rPr>
          <w:sz w:val="22"/>
          <w:szCs w:val="22"/>
        </w:rPr>
        <w:t>As a</w:t>
      </w:r>
      <w:r w:rsidR="009452CF">
        <w:rPr>
          <w:sz w:val="22"/>
          <w:szCs w:val="22"/>
        </w:rPr>
        <w:t xml:space="preserve"> direct response</w:t>
      </w:r>
      <w:r w:rsidR="00C33504">
        <w:rPr>
          <w:sz w:val="22"/>
          <w:szCs w:val="22"/>
        </w:rPr>
        <w:t xml:space="preserve">, </w:t>
      </w:r>
      <w:r w:rsidR="00146B72">
        <w:rPr>
          <w:sz w:val="22"/>
          <w:szCs w:val="22"/>
        </w:rPr>
        <w:t xml:space="preserve">this past year </w:t>
      </w:r>
      <w:r w:rsidR="00CC6EB6" w:rsidRPr="00924C38">
        <w:rPr>
          <w:sz w:val="22"/>
          <w:szCs w:val="22"/>
        </w:rPr>
        <w:t xml:space="preserve">the </w:t>
      </w:r>
      <w:r w:rsidR="00DC5F39">
        <w:rPr>
          <w:sz w:val="22"/>
          <w:szCs w:val="22"/>
        </w:rPr>
        <w:t>Department</w:t>
      </w:r>
      <w:r w:rsidR="00C33504">
        <w:rPr>
          <w:sz w:val="22"/>
          <w:szCs w:val="22"/>
        </w:rPr>
        <w:t xml:space="preserve"> initiated the</w:t>
      </w:r>
      <w:r w:rsidR="00CC6EB6" w:rsidRPr="00924C38">
        <w:rPr>
          <w:sz w:val="22"/>
          <w:szCs w:val="22"/>
        </w:rPr>
        <w:t xml:space="preserve"> new </w:t>
      </w:r>
      <w:r w:rsidR="00CC6EB6" w:rsidRPr="0071665F">
        <w:rPr>
          <w:sz w:val="22"/>
          <w:szCs w:val="22"/>
        </w:rPr>
        <w:t>L</w:t>
      </w:r>
      <w:r w:rsidR="00CC6EB6" w:rsidRPr="00924C38">
        <w:rPr>
          <w:sz w:val="22"/>
          <w:szCs w:val="22"/>
        </w:rPr>
        <w:t xml:space="preserve">ow-income </w:t>
      </w:r>
      <w:r w:rsidR="00CC6EB6" w:rsidRPr="0071665F">
        <w:rPr>
          <w:sz w:val="22"/>
          <w:szCs w:val="22"/>
        </w:rPr>
        <w:t>E</w:t>
      </w:r>
      <w:r w:rsidR="00CC6EB6" w:rsidRPr="00924C38">
        <w:rPr>
          <w:sz w:val="22"/>
          <w:szCs w:val="22"/>
        </w:rPr>
        <w:t xml:space="preserve">ducation </w:t>
      </w:r>
      <w:r w:rsidR="00CC6EB6" w:rsidRPr="0071665F">
        <w:rPr>
          <w:sz w:val="22"/>
          <w:szCs w:val="22"/>
        </w:rPr>
        <w:t>A</w:t>
      </w:r>
      <w:r w:rsidR="00CC6EB6" w:rsidRPr="00924C38">
        <w:rPr>
          <w:sz w:val="22"/>
          <w:szCs w:val="22"/>
        </w:rPr>
        <w:t xml:space="preserve">ccess </w:t>
      </w:r>
      <w:r w:rsidR="00CC6EB6" w:rsidRPr="0071665F">
        <w:rPr>
          <w:sz w:val="22"/>
          <w:szCs w:val="22"/>
        </w:rPr>
        <w:t>P</w:t>
      </w:r>
      <w:r w:rsidR="00CC6EB6" w:rsidRPr="00924C38">
        <w:rPr>
          <w:sz w:val="22"/>
          <w:szCs w:val="22"/>
        </w:rPr>
        <w:t>roject (LEAP)</w:t>
      </w:r>
      <w:r w:rsidR="00C33504">
        <w:rPr>
          <w:sz w:val="22"/>
          <w:szCs w:val="22"/>
        </w:rPr>
        <w:t xml:space="preserve"> </w:t>
      </w:r>
      <w:r w:rsidR="00DC5F39">
        <w:rPr>
          <w:sz w:val="22"/>
          <w:szCs w:val="22"/>
        </w:rPr>
        <w:t>to reduce</w:t>
      </w:r>
      <w:r w:rsidR="00CC6EB6" w:rsidRPr="00924C38">
        <w:rPr>
          <w:sz w:val="22"/>
          <w:szCs w:val="22"/>
        </w:rPr>
        <w:t xml:space="preserve"> the </w:t>
      </w:r>
      <w:r w:rsidR="00F55D5E" w:rsidRPr="00924C38">
        <w:rPr>
          <w:sz w:val="22"/>
          <w:szCs w:val="22"/>
        </w:rPr>
        <w:t>disproportionate</w:t>
      </w:r>
      <w:r w:rsidR="00CC6EB6" w:rsidRPr="00924C38">
        <w:rPr>
          <w:sz w:val="22"/>
          <w:szCs w:val="22"/>
        </w:rPr>
        <w:t xml:space="preserve"> special education identification and substantially separate placement of students</w:t>
      </w:r>
      <w:r w:rsidR="00643DB3">
        <w:rPr>
          <w:sz w:val="22"/>
          <w:szCs w:val="22"/>
        </w:rPr>
        <w:t xml:space="preserve"> from low</w:t>
      </w:r>
      <w:r w:rsidR="00613BE0">
        <w:rPr>
          <w:sz w:val="22"/>
          <w:szCs w:val="22"/>
        </w:rPr>
        <w:t xml:space="preserve"> </w:t>
      </w:r>
      <w:r w:rsidR="00C531A9">
        <w:rPr>
          <w:sz w:val="22"/>
          <w:szCs w:val="22"/>
        </w:rPr>
        <w:t>income families</w:t>
      </w:r>
      <w:r w:rsidR="00CC6EB6" w:rsidRPr="00924C38">
        <w:rPr>
          <w:sz w:val="22"/>
          <w:szCs w:val="22"/>
        </w:rPr>
        <w:t>.</w:t>
      </w:r>
      <w:r w:rsidR="002A2314" w:rsidRPr="00924C38">
        <w:rPr>
          <w:sz w:val="22"/>
          <w:szCs w:val="22"/>
        </w:rPr>
        <w:t xml:space="preserve"> </w:t>
      </w:r>
      <w:r w:rsidR="00146B72">
        <w:rPr>
          <w:sz w:val="22"/>
          <w:szCs w:val="22"/>
        </w:rPr>
        <w:t>LEAP is directly ad</w:t>
      </w:r>
      <w:r>
        <w:rPr>
          <w:sz w:val="22"/>
          <w:szCs w:val="22"/>
        </w:rPr>
        <w:t>dre</w:t>
      </w:r>
      <w:r w:rsidR="00397215">
        <w:rPr>
          <w:sz w:val="22"/>
          <w:szCs w:val="22"/>
        </w:rPr>
        <w:t>ssed in this report on page six</w:t>
      </w:r>
      <w:r w:rsidR="00146B72">
        <w:rPr>
          <w:sz w:val="22"/>
          <w:szCs w:val="22"/>
        </w:rPr>
        <w:t xml:space="preserve">, and showcases our commitment to </w:t>
      </w:r>
      <w:r w:rsidR="00C756F5" w:rsidRPr="00924C38">
        <w:rPr>
          <w:sz w:val="22"/>
          <w:szCs w:val="22"/>
        </w:rPr>
        <w:t xml:space="preserve">collaboration with partners both inside and outside of the </w:t>
      </w:r>
      <w:r w:rsidR="00867F65" w:rsidRPr="00924C38">
        <w:rPr>
          <w:sz w:val="22"/>
          <w:szCs w:val="22"/>
        </w:rPr>
        <w:t>Department</w:t>
      </w:r>
      <w:r w:rsidR="00C92DEF">
        <w:rPr>
          <w:sz w:val="22"/>
          <w:szCs w:val="22"/>
        </w:rPr>
        <w:t>, thus</w:t>
      </w:r>
      <w:r w:rsidR="00867F65" w:rsidRPr="00924C38">
        <w:rPr>
          <w:sz w:val="22"/>
          <w:szCs w:val="22"/>
        </w:rPr>
        <w:t xml:space="preserve"> expanding and deepening partnerships</w:t>
      </w:r>
      <w:r w:rsidR="009D697D" w:rsidRPr="00924C38">
        <w:rPr>
          <w:sz w:val="22"/>
          <w:szCs w:val="22"/>
        </w:rPr>
        <w:t xml:space="preserve"> across </w:t>
      </w:r>
      <w:r w:rsidR="00146B72">
        <w:rPr>
          <w:sz w:val="22"/>
          <w:szCs w:val="22"/>
        </w:rPr>
        <w:t>our</w:t>
      </w:r>
      <w:r w:rsidR="009D697D" w:rsidRPr="00924C38">
        <w:rPr>
          <w:sz w:val="22"/>
          <w:szCs w:val="22"/>
        </w:rPr>
        <w:t xml:space="preserve"> offices and </w:t>
      </w:r>
      <w:r w:rsidR="00867F65" w:rsidRPr="00924C38">
        <w:rPr>
          <w:sz w:val="22"/>
          <w:szCs w:val="22"/>
        </w:rPr>
        <w:t xml:space="preserve">with </w:t>
      </w:r>
      <w:r w:rsidR="009D697D" w:rsidRPr="00924C38">
        <w:rPr>
          <w:sz w:val="22"/>
          <w:szCs w:val="22"/>
        </w:rPr>
        <w:t xml:space="preserve">sister agencies, </w:t>
      </w:r>
      <w:r w:rsidR="00867F65" w:rsidRPr="00924C38">
        <w:rPr>
          <w:sz w:val="22"/>
          <w:szCs w:val="22"/>
        </w:rPr>
        <w:t xml:space="preserve">school district personnel, </w:t>
      </w:r>
      <w:r w:rsidR="00EA21FD" w:rsidRPr="00924C38">
        <w:rPr>
          <w:sz w:val="22"/>
          <w:szCs w:val="22"/>
        </w:rPr>
        <w:t xml:space="preserve">and </w:t>
      </w:r>
      <w:r w:rsidR="009D697D" w:rsidRPr="00924C38">
        <w:rPr>
          <w:sz w:val="22"/>
          <w:szCs w:val="22"/>
        </w:rPr>
        <w:t xml:space="preserve">community </w:t>
      </w:r>
      <w:r w:rsidR="00AF7346" w:rsidRPr="00924C38">
        <w:rPr>
          <w:sz w:val="22"/>
          <w:szCs w:val="22"/>
        </w:rPr>
        <w:t>members</w:t>
      </w:r>
      <w:r w:rsidR="009D697D" w:rsidRPr="00924C38">
        <w:rPr>
          <w:sz w:val="22"/>
          <w:szCs w:val="22"/>
        </w:rPr>
        <w:t>.</w:t>
      </w:r>
      <w:r w:rsidR="00C33504">
        <w:rPr>
          <w:sz w:val="22"/>
          <w:szCs w:val="22"/>
        </w:rPr>
        <w:t xml:space="preserve"> </w:t>
      </w:r>
    </w:p>
    <w:p w:rsidR="00FF6A91" w:rsidRPr="00924C38" w:rsidRDefault="005E059D" w:rsidP="009B483B">
      <w:pPr>
        <w:spacing w:before="120" w:after="240"/>
        <w:rPr>
          <w:noProof/>
          <w:sz w:val="22"/>
          <w:szCs w:val="22"/>
        </w:rPr>
      </w:pPr>
      <w:r w:rsidRPr="00924C38">
        <w:rPr>
          <w:noProof/>
          <w:sz w:val="22"/>
          <w:szCs w:val="22"/>
        </w:rPr>
        <w:t>This report highlights our current efforts, achievements, and works in progress.</w:t>
      </w:r>
      <w:r w:rsidR="00AF7346" w:rsidRPr="00924C38">
        <w:rPr>
          <w:noProof/>
          <w:sz w:val="22"/>
          <w:szCs w:val="22"/>
        </w:rPr>
        <w:t xml:space="preserve"> </w:t>
      </w:r>
      <w:r w:rsidR="00FF6A91" w:rsidRPr="00924C38">
        <w:rPr>
          <w:noProof/>
          <w:sz w:val="22"/>
          <w:szCs w:val="22"/>
        </w:rPr>
        <w:t>If you have any questions, please feel free to contact me.</w:t>
      </w:r>
    </w:p>
    <w:p w:rsidR="0083067F" w:rsidRDefault="00FF6A91" w:rsidP="0083067F">
      <w:pPr>
        <w:spacing w:before="120" w:after="600"/>
        <w:rPr>
          <w:noProof/>
          <w:sz w:val="22"/>
          <w:szCs w:val="22"/>
        </w:rPr>
      </w:pPr>
      <w:r w:rsidRPr="00924C38">
        <w:rPr>
          <w:noProof/>
          <w:sz w:val="22"/>
          <w:szCs w:val="22"/>
        </w:rPr>
        <w:t>Sincerely,</w:t>
      </w:r>
    </w:p>
    <w:p w:rsidR="00433190" w:rsidRDefault="00FF6A91" w:rsidP="00433190">
      <w:pPr>
        <w:spacing w:before="120"/>
        <w:rPr>
          <w:noProof/>
          <w:sz w:val="22"/>
          <w:szCs w:val="22"/>
        </w:rPr>
      </w:pPr>
      <w:r w:rsidRPr="00924C38">
        <w:rPr>
          <w:noProof/>
          <w:sz w:val="22"/>
          <w:szCs w:val="22"/>
        </w:rPr>
        <w:t>Mitchell D. Chester, Ed.D.</w:t>
      </w:r>
    </w:p>
    <w:p w:rsidR="002C2113" w:rsidRPr="00924C38" w:rsidRDefault="00FF6A91" w:rsidP="00433190">
      <w:pPr>
        <w:spacing w:after="600"/>
        <w:rPr>
          <w:sz w:val="22"/>
          <w:szCs w:val="22"/>
        </w:rPr>
        <w:sectPr w:rsidR="002C2113" w:rsidRPr="00924C38" w:rsidSect="0083067F">
          <w:endnotePr>
            <w:numFmt w:val="decimal"/>
          </w:endnotePr>
          <w:type w:val="continuous"/>
          <w:pgSz w:w="12240" w:h="15840"/>
          <w:pgMar w:top="1440" w:right="1440" w:bottom="1152" w:left="1440" w:header="1440" w:footer="1440" w:gutter="0"/>
          <w:cols w:space="720"/>
          <w:noEndnote/>
          <w:docGrid w:linePitch="326"/>
        </w:sectPr>
      </w:pPr>
      <w:r w:rsidRPr="00924C38">
        <w:rPr>
          <w:noProof/>
          <w:sz w:val="22"/>
          <w:szCs w:val="22"/>
        </w:rPr>
        <w:t>Commissioner of El</w:t>
      </w:r>
      <w:r w:rsidR="0072384F">
        <w:rPr>
          <w:noProof/>
          <w:sz w:val="22"/>
          <w:szCs w:val="22"/>
        </w:rPr>
        <w:t>ementary and Secondary Educatio</w:t>
      </w:r>
      <w:r w:rsidR="00C93EF8">
        <w:rPr>
          <w:noProof/>
          <w:sz w:val="22"/>
          <w:szCs w:val="22"/>
        </w:rPr>
        <w:t>n</w:t>
      </w:r>
    </w:p>
    <w:p w:rsidR="000B0089" w:rsidRPr="007B7D9F" w:rsidRDefault="000B0089" w:rsidP="000B0089">
      <w:pPr>
        <w:pStyle w:val="ESETOCHeading"/>
        <w:rPr>
          <w:rFonts w:ascii="Times New Roman" w:hAnsi="Times New Roman"/>
          <w:sz w:val="24"/>
          <w:szCs w:val="24"/>
        </w:rPr>
      </w:pPr>
      <w:r w:rsidRPr="007B7D9F">
        <w:rPr>
          <w:rFonts w:ascii="Times New Roman" w:hAnsi="Times New Roman"/>
          <w:sz w:val="24"/>
          <w:szCs w:val="24"/>
        </w:rPr>
        <w:lastRenderedPageBreak/>
        <w:t>Table of Contents</w:t>
      </w:r>
    </w:p>
    <w:p w:rsidR="00CE7905" w:rsidRPr="007B7D9F" w:rsidRDefault="00DF7A20">
      <w:pPr>
        <w:pStyle w:val="TOC1"/>
        <w:tabs>
          <w:tab w:val="left" w:pos="810"/>
        </w:tabs>
        <w:rPr>
          <w:rFonts w:ascii="Times New Roman" w:eastAsiaTheme="minorEastAsia" w:hAnsi="Times New Roman"/>
          <w:b w:val="0"/>
          <w:noProof/>
        </w:rPr>
      </w:pPr>
      <w:r w:rsidRPr="00DF7A20">
        <w:rPr>
          <w:rFonts w:ascii="Times New Roman" w:hAnsi="Times New Roman"/>
        </w:rPr>
        <w:fldChar w:fldCharType="begin"/>
      </w:r>
      <w:r w:rsidR="003F3636" w:rsidRPr="007B7D9F">
        <w:rPr>
          <w:rFonts w:ascii="Times New Roman" w:hAnsi="Times New Roman"/>
        </w:rPr>
        <w:instrText xml:space="preserve"> TOC \o "1-3" \h \z \u </w:instrText>
      </w:r>
      <w:r w:rsidRPr="00DF7A20">
        <w:rPr>
          <w:rFonts w:ascii="Times New Roman" w:hAnsi="Times New Roman"/>
        </w:rPr>
        <w:fldChar w:fldCharType="separate"/>
      </w:r>
      <w:hyperlink w:anchor="_Toc441569621" w:history="1">
        <w:r w:rsidR="00CE7905" w:rsidRPr="007B7D9F">
          <w:rPr>
            <w:rStyle w:val="Hyperlink"/>
            <w:rFonts w:ascii="Times New Roman" w:hAnsi="Times New Roman"/>
            <w:noProof/>
          </w:rPr>
          <w:t>I.</w:t>
        </w:r>
        <w:r w:rsidR="00CE7905" w:rsidRPr="007B7D9F">
          <w:rPr>
            <w:rFonts w:ascii="Times New Roman" w:eastAsiaTheme="minorEastAsia" w:hAnsi="Times New Roman"/>
            <w:b w:val="0"/>
            <w:noProof/>
          </w:rPr>
          <w:tab/>
        </w:r>
        <w:r w:rsidR="00CE7905" w:rsidRPr="007B7D9F">
          <w:rPr>
            <w:rStyle w:val="Hyperlink"/>
            <w:rFonts w:ascii="Times New Roman" w:hAnsi="Times New Roman"/>
            <w:noProof/>
          </w:rPr>
          <w:t>Introduction</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_Toc441569621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1</w:t>
        </w:r>
        <w:r w:rsidRPr="007B7D9F">
          <w:rPr>
            <w:rFonts w:ascii="Times New Roman" w:hAnsi="Times New Roman"/>
            <w:noProof/>
            <w:webHidden/>
          </w:rPr>
          <w:fldChar w:fldCharType="end"/>
        </w:r>
      </w:hyperlink>
    </w:p>
    <w:p w:rsidR="00CE7905" w:rsidRPr="007B7D9F" w:rsidRDefault="00DF7A20">
      <w:pPr>
        <w:pStyle w:val="TOC1"/>
        <w:tabs>
          <w:tab w:val="left" w:pos="810"/>
        </w:tabs>
        <w:rPr>
          <w:rFonts w:ascii="Times New Roman" w:eastAsiaTheme="minorEastAsia" w:hAnsi="Times New Roman"/>
          <w:b w:val="0"/>
          <w:noProof/>
        </w:rPr>
      </w:pPr>
      <w:hyperlink w:anchor="_Toc441569622" w:history="1">
        <w:r w:rsidR="00CE7905" w:rsidRPr="007B7D9F">
          <w:rPr>
            <w:rStyle w:val="Hyperlink"/>
            <w:rFonts w:ascii="Times New Roman" w:hAnsi="Times New Roman"/>
            <w:noProof/>
          </w:rPr>
          <w:t xml:space="preserve">II. </w:t>
        </w:r>
        <w:r w:rsidR="00CE7905" w:rsidRPr="007B7D9F">
          <w:rPr>
            <w:rFonts w:ascii="Times New Roman" w:eastAsiaTheme="minorEastAsia" w:hAnsi="Times New Roman"/>
            <w:b w:val="0"/>
            <w:noProof/>
          </w:rPr>
          <w:tab/>
        </w:r>
        <w:r w:rsidR="00CE7905" w:rsidRPr="007B7D9F">
          <w:rPr>
            <w:rStyle w:val="Hyperlink"/>
            <w:rFonts w:ascii="Times New Roman" w:hAnsi="Times New Roman"/>
            <w:noProof/>
          </w:rPr>
          <w:t>Background: Enrollment and Finances</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_Toc441569622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1</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3" w:history="1">
        <w:r w:rsidR="00CE7905" w:rsidRPr="007B7D9F">
          <w:rPr>
            <w:rStyle w:val="Hyperlink"/>
            <w:rFonts w:ascii="Times New Roman" w:hAnsi="Times New Roman"/>
            <w:noProof/>
          </w:rPr>
          <w:t xml:space="preserve">A. </w:t>
        </w:r>
        <w:r w:rsidR="00CE7905" w:rsidRPr="007B7D9F">
          <w:rPr>
            <w:rFonts w:ascii="Times New Roman" w:eastAsiaTheme="minorEastAsia" w:hAnsi="Times New Roman"/>
            <w:noProof/>
          </w:rPr>
          <w:tab/>
        </w:r>
        <w:r w:rsidR="00CE7905" w:rsidRPr="007B7D9F">
          <w:rPr>
            <w:rStyle w:val="Hyperlink"/>
            <w:rFonts w:ascii="Times New Roman" w:hAnsi="Times New Roman"/>
            <w:noProof/>
          </w:rPr>
          <w:t>Longitudinal Enrollment</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_Toc441569623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1</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4" w:history="1">
        <w:r w:rsidR="00CE7905" w:rsidRPr="007B7D9F">
          <w:rPr>
            <w:rStyle w:val="Hyperlink"/>
            <w:rFonts w:ascii="Times New Roman" w:hAnsi="Times New Roman"/>
            <w:noProof/>
          </w:rPr>
          <w:t xml:space="preserve">B. </w:t>
        </w:r>
        <w:r w:rsidR="00CE7905" w:rsidRPr="007B7D9F">
          <w:rPr>
            <w:rFonts w:ascii="Times New Roman" w:eastAsiaTheme="minorEastAsia" w:hAnsi="Times New Roman"/>
            <w:noProof/>
          </w:rPr>
          <w:tab/>
        </w:r>
        <w:r w:rsidR="00CE7905" w:rsidRPr="007B7D9F">
          <w:rPr>
            <w:rStyle w:val="Hyperlink"/>
            <w:rFonts w:ascii="Times New Roman" w:hAnsi="Times New Roman"/>
            <w:noProof/>
          </w:rPr>
          <w:t>Student Identification by Disability Category</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_Toc441569624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2</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5" w:history="1">
        <w:r w:rsidR="00CE7905" w:rsidRPr="007B7D9F">
          <w:rPr>
            <w:rStyle w:val="Hyperlink"/>
            <w:rFonts w:ascii="Times New Roman" w:hAnsi="Times New Roman"/>
            <w:noProof/>
          </w:rPr>
          <w:t>C.</w:t>
        </w:r>
        <w:r w:rsidR="00CE7905" w:rsidRPr="007B7D9F">
          <w:rPr>
            <w:rFonts w:ascii="Times New Roman" w:eastAsiaTheme="minorEastAsia" w:hAnsi="Times New Roman"/>
            <w:noProof/>
          </w:rPr>
          <w:tab/>
        </w:r>
        <w:r w:rsidR="00CE7905" w:rsidRPr="007B7D9F">
          <w:rPr>
            <w:rStyle w:val="Hyperlink"/>
            <w:rFonts w:ascii="Times New Roman" w:hAnsi="Times New Roman"/>
            <w:noProof/>
          </w:rPr>
          <w:t>Financial Summary</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_Toc441569625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3</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6" w:history="1">
        <w:r w:rsidR="00CE7905" w:rsidRPr="007B7D9F">
          <w:rPr>
            <w:rStyle w:val="Hyperlink"/>
            <w:rFonts w:ascii="Times New Roman" w:hAnsi="Times New Roman"/>
            <w:noProof/>
          </w:rPr>
          <w:t>D.</w:t>
        </w:r>
        <w:r w:rsidR="00CE7905" w:rsidRPr="007B7D9F">
          <w:rPr>
            <w:rFonts w:ascii="Times New Roman" w:eastAsiaTheme="minorEastAsia" w:hAnsi="Times New Roman"/>
            <w:noProof/>
          </w:rPr>
          <w:tab/>
        </w:r>
        <w:r w:rsidR="00CE7905" w:rsidRPr="007B7D9F">
          <w:rPr>
            <w:rStyle w:val="Hyperlink"/>
            <w:rFonts w:ascii="Times New Roman" w:hAnsi="Times New Roman"/>
            <w:noProof/>
          </w:rPr>
          <w:t>School-Based Medicaid</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_Toc441569626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4</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7" w:history="1">
        <w:r w:rsidR="00CE7905" w:rsidRPr="007B7D9F">
          <w:rPr>
            <w:rStyle w:val="Hyperlink"/>
            <w:rFonts w:ascii="Times New Roman" w:hAnsi="Times New Roman"/>
            <w:noProof/>
          </w:rPr>
          <w:t>E.</w:t>
        </w:r>
        <w:r w:rsidR="00CE7905" w:rsidRPr="007B7D9F">
          <w:rPr>
            <w:rFonts w:ascii="Times New Roman" w:eastAsiaTheme="minorEastAsia" w:hAnsi="Times New Roman"/>
            <w:noProof/>
          </w:rPr>
          <w:tab/>
        </w:r>
        <w:r w:rsidR="00CE7905" w:rsidRPr="007B7D9F">
          <w:rPr>
            <w:rStyle w:val="Hyperlink"/>
            <w:rFonts w:ascii="Times New Roman" w:hAnsi="Times New Roman"/>
            <w:noProof/>
          </w:rPr>
          <w:t>Circuit Breaker</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_Toc441569627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5</w:t>
        </w:r>
        <w:r w:rsidRPr="007B7D9F">
          <w:rPr>
            <w:rFonts w:ascii="Times New Roman" w:hAnsi="Times New Roman"/>
            <w:noProof/>
            <w:webHidden/>
          </w:rPr>
          <w:fldChar w:fldCharType="end"/>
        </w:r>
      </w:hyperlink>
    </w:p>
    <w:p w:rsidR="00CE7905" w:rsidRPr="007B7D9F" w:rsidRDefault="00DF7A20">
      <w:pPr>
        <w:pStyle w:val="TOC1"/>
        <w:tabs>
          <w:tab w:val="left" w:pos="810"/>
        </w:tabs>
        <w:rPr>
          <w:rFonts w:ascii="Times New Roman" w:eastAsiaTheme="minorEastAsia" w:hAnsi="Times New Roman"/>
          <w:b w:val="0"/>
          <w:noProof/>
        </w:rPr>
      </w:pPr>
      <w:hyperlink w:anchor="_Toc441569628" w:history="1">
        <w:r w:rsidR="00CE7905" w:rsidRPr="007B7D9F">
          <w:rPr>
            <w:rStyle w:val="Hyperlink"/>
            <w:rFonts w:ascii="Times New Roman" w:hAnsi="Times New Roman"/>
            <w:noProof/>
          </w:rPr>
          <w:t xml:space="preserve">III. </w:t>
        </w:r>
        <w:r w:rsidR="00CE7905" w:rsidRPr="007B7D9F">
          <w:rPr>
            <w:rFonts w:ascii="Times New Roman" w:eastAsiaTheme="minorEastAsia" w:hAnsi="Times New Roman"/>
            <w:b w:val="0"/>
            <w:noProof/>
          </w:rPr>
          <w:tab/>
        </w:r>
        <w:r w:rsidR="00CE7905" w:rsidRPr="007B7D9F">
          <w:rPr>
            <w:rStyle w:val="Hyperlink"/>
            <w:rFonts w:ascii="Times New Roman" w:hAnsi="Times New Roman"/>
            <w:noProof/>
          </w:rPr>
          <w:t>FY15 in Review</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_Toc441569628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5</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29" w:history="1">
        <w:r w:rsidR="00CE7905" w:rsidRPr="007B7D9F">
          <w:rPr>
            <w:rStyle w:val="Hyperlink"/>
            <w:rFonts w:ascii="Times New Roman" w:hAnsi="Times New Roman"/>
            <w:noProof/>
          </w:rPr>
          <w:t xml:space="preserve">A. </w:t>
        </w:r>
        <w:r w:rsidR="00CE7905" w:rsidRPr="007B7D9F">
          <w:rPr>
            <w:rFonts w:ascii="Times New Roman" w:eastAsiaTheme="minorEastAsia" w:hAnsi="Times New Roman"/>
            <w:noProof/>
          </w:rPr>
          <w:tab/>
        </w:r>
        <w:r w:rsidR="00CE7905" w:rsidRPr="007B7D9F">
          <w:rPr>
            <w:rStyle w:val="Hyperlink"/>
            <w:rFonts w:ascii="Times New Roman" w:hAnsi="Times New Roman"/>
            <w:noProof/>
          </w:rPr>
          <w:t>Office of Special Education Planning &amp; Policy Development</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_Toc441569629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5</w:t>
        </w:r>
        <w:r w:rsidRPr="007B7D9F">
          <w:rPr>
            <w:rFonts w:ascii="Times New Roman" w:hAnsi="Times New Roman"/>
            <w:noProof/>
            <w:webHidden/>
          </w:rPr>
          <w:fldChar w:fldCharType="end"/>
        </w:r>
      </w:hyperlink>
    </w:p>
    <w:p w:rsidR="00CE7905" w:rsidRPr="007B7D9F" w:rsidRDefault="00DF7A20">
      <w:pPr>
        <w:pStyle w:val="TOC3"/>
        <w:rPr>
          <w:rFonts w:ascii="Times New Roman" w:eastAsiaTheme="minorEastAsia" w:hAnsi="Times New Roman"/>
          <w:noProof/>
          <w:sz w:val="24"/>
        </w:rPr>
      </w:pPr>
      <w:hyperlink w:anchor="_Toc441569630" w:history="1">
        <w:r w:rsidR="00CE7905" w:rsidRPr="007B7D9F">
          <w:rPr>
            <w:rStyle w:val="Hyperlink"/>
            <w:rFonts w:ascii="Times New Roman" w:hAnsi="Times New Roman"/>
            <w:noProof/>
            <w:sz w:val="24"/>
          </w:rPr>
          <w:t>1. LEAP - Low-income Education Access Project</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_Toc441569630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6</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1" w:history="1">
        <w:r w:rsidR="00CE7905" w:rsidRPr="007B7D9F">
          <w:rPr>
            <w:rStyle w:val="Hyperlink"/>
            <w:rFonts w:ascii="Times New Roman" w:hAnsi="Times New Roman"/>
            <w:noProof/>
            <w:sz w:val="24"/>
          </w:rPr>
          <w:t>2. State Systemic Improvement Plan (SSIP)</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_Toc441569631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7</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2" w:history="1">
        <w:r w:rsidR="007B7D9F" w:rsidRPr="007B7D9F">
          <w:rPr>
            <w:rStyle w:val="Hyperlink"/>
            <w:rFonts w:ascii="Times New Roman" w:hAnsi="Times New Roman"/>
            <w:noProof/>
            <w:sz w:val="24"/>
          </w:rPr>
          <w:t>3</w:t>
        </w:r>
        <w:r w:rsidR="00CE7905" w:rsidRPr="007B7D9F">
          <w:rPr>
            <w:rStyle w:val="Hyperlink"/>
            <w:rFonts w:ascii="Times New Roman" w:hAnsi="Times New Roman"/>
            <w:noProof/>
            <w:sz w:val="24"/>
          </w:rPr>
          <w:t>. The Autism Endorsement</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_Toc441569632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8</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3" w:history="1">
        <w:r w:rsidR="00CE7905" w:rsidRPr="007B7D9F">
          <w:rPr>
            <w:rStyle w:val="Hyperlink"/>
            <w:rFonts w:ascii="Times New Roman" w:hAnsi="Times New Roman"/>
            <w:noProof/>
            <w:sz w:val="24"/>
          </w:rPr>
          <w:t>4. Secondary Transition</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_Toc441569633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8</w:t>
        </w:r>
        <w:r w:rsidRPr="007B7D9F">
          <w:rPr>
            <w:rFonts w:ascii="Times New Roman" w:hAnsi="Times New Roman"/>
            <w:noProof/>
            <w:webHidden/>
            <w:sz w:val="24"/>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34" w:history="1">
        <w:r w:rsidR="00CE7905" w:rsidRPr="007B7D9F">
          <w:rPr>
            <w:rStyle w:val="Hyperlink"/>
            <w:rFonts w:ascii="Times New Roman" w:hAnsi="Times New Roman"/>
            <w:noProof/>
          </w:rPr>
          <w:t xml:space="preserve">B. </w:t>
        </w:r>
        <w:r w:rsidR="00CE7905" w:rsidRPr="007B7D9F">
          <w:rPr>
            <w:rFonts w:ascii="Times New Roman" w:eastAsiaTheme="minorEastAsia" w:hAnsi="Times New Roman"/>
            <w:noProof/>
          </w:rPr>
          <w:tab/>
        </w:r>
        <w:r w:rsidR="00CE7905" w:rsidRPr="007B7D9F">
          <w:rPr>
            <w:rStyle w:val="Hyperlink"/>
            <w:rFonts w:ascii="Times New Roman" w:hAnsi="Times New Roman"/>
            <w:noProof/>
          </w:rPr>
          <w:t>Educational Collaboratives</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_Toc441569634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9</w:t>
        </w:r>
        <w:r w:rsidRPr="007B7D9F">
          <w:rPr>
            <w:rFonts w:ascii="Times New Roman" w:hAnsi="Times New Roman"/>
            <w:noProof/>
            <w:webHidden/>
          </w:rPr>
          <w:fldChar w:fldCharType="end"/>
        </w:r>
      </w:hyperlink>
    </w:p>
    <w:p w:rsidR="00CE7905" w:rsidRPr="007B7D9F" w:rsidRDefault="00DF7A20">
      <w:pPr>
        <w:pStyle w:val="TOC2"/>
        <w:tabs>
          <w:tab w:val="left" w:pos="810"/>
          <w:tab w:val="right" w:leader="dot" w:pos="9350"/>
        </w:tabs>
        <w:rPr>
          <w:rFonts w:ascii="Times New Roman" w:eastAsiaTheme="minorEastAsia" w:hAnsi="Times New Roman"/>
          <w:noProof/>
        </w:rPr>
      </w:pPr>
      <w:hyperlink w:anchor="_Toc441569635" w:history="1">
        <w:r w:rsidR="00CE7905" w:rsidRPr="007B7D9F">
          <w:rPr>
            <w:rStyle w:val="Hyperlink"/>
            <w:rFonts w:ascii="Times New Roman" w:hAnsi="Times New Roman"/>
            <w:noProof/>
          </w:rPr>
          <w:t xml:space="preserve">C. </w:t>
        </w:r>
        <w:r w:rsidR="00CE7905" w:rsidRPr="007B7D9F">
          <w:rPr>
            <w:rFonts w:ascii="Times New Roman" w:eastAsiaTheme="minorEastAsia" w:hAnsi="Times New Roman"/>
            <w:noProof/>
          </w:rPr>
          <w:tab/>
        </w:r>
        <w:r w:rsidR="00CE7905" w:rsidRPr="007B7D9F">
          <w:rPr>
            <w:rStyle w:val="Hyperlink"/>
            <w:rFonts w:ascii="Times New Roman" w:hAnsi="Times New Roman"/>
            <w:noProof/>
          </w:rPr>
          <w:t>Bureau of Special Education Appeals</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_Toc441569635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10</w:t>
        </w:r>
        <w:r w:rsidRPr="007B7D9F">
          <w:rPr>
            <w:rFonts w:ascii="Times New Roman" w:hAnsi="Times New Roman"/>
            <w:noProof/>
            <w:webHidden/>
          </w:rPr>
          <w:fldChar w:fldCharType="end"/>
        </w:r>
      </w:hyperlink>
    </w:p>
    <w:p w:rsidR="00CE7905" w:rsidRPr="007B7D9F" w:rsidRDefault="00DF7A20">
      <w:pPr>
        <w:pStyle w:val="TOC3"/>
        <w:rPr>
          <w:rFonts w:ascii="Times New Roman" w:eastAsiaTheme="minorEastAsia" w:hAnsi="Times New Roman"/>
          <w:noProof/>
          <w:sz w:val="24"/>
        </w:rPr>
      </w:pPr>
      <w:hyperlink w:anchor="_Toc441569636" w:history="1">
        <w:r w:rsidR="00CE7905" w:rsidRPr="007B7D9F">
          <w:rPr>
            <w:rStyle w:val="Hyperlink"/>
            <w:rFonts w:ascii="Times New Roman" w:hAnsi="Times New Roman"/>
            <w:noProof/>
            <w:sz w:val="24"/>
          </w:rPr>
          <w:t>1. Facilitated IEP TEAM Meetings</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_Toc441569636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11</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7" w:history="1">
        <w:r w:rsidR="00CE7905" w:rsidRPr="007B7D9F">
          <w:rPr>
            <w:rStyle w:val="Hyperlink"/>
            <w:rFonts w:ascii="Times New Roman" w:hAnsi="Times New Roman"/>
            <w:noProof/>
            <w:sz w:val="24"/>
          </w:rPr>
          <w:t>2. Mediation</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_Toc441569637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11</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8" w:history="1">
        <w:r w:rsidR="00CE7905" w:rsidRPr="007B7D9F">
          <w:rPr>
            <w:rStyle w:val="Hyperlink"/>
            <w:rFonts w:ascii="Times New Roman" w:hAnsi="Times New Roman"/>
            <w:noProof/>
            <w:sz w:val="24"/>
          </w:rPr>
          <w:t>3. Due Process Hearings</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_Toc441569638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11</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39" w:history="1">
        <w:r w:rsidR="00CE7905" w:rsidRPr="007B7D9F">
          <w:rPr>
            <w:rStyle w:val="Hyperlink"/>
            <w:rFonts w:ascii="Times New Roman" w:hAnsi="Times New Roman"/>
            <w:noProof/>
            <w:sz w:val="24"/>
          </w:rPr>
          <w:t>4. Prevailing Party and Representation</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_Toc441569639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11</w:t>
        </w:r>
        <w:r w:rsidRPr="007B7D9F">
          <w:rPr>
            <w:rFonts w:ascii="Times New Roman" w:hAnsi="Times New Roman"/>
            <w:noProof/>
            <w:webHidden/>
            <w:sz w:val="24"/>
          </w:rPr>
          <w:fldChar w:fldCharType="end"/>
        </w:r>
      </w:hyperlink>
    </w:p>
    <w:p w:rsidR="00CE7905" w:rsidRPr="007B7D9F" w:rsidRDefault="00DF7A20">
      <w:pPr>
        <w:pStyle w:val="TOC3"/>
        <w:rPr>
          <w:rFonts w:ascii="Times New Roman" w:eastAsiaTheme="minorEastAsia" w:hAnsi="Times New Roman"/>
          <w:noProof/>
          <w:sz w:val="24"/>
        </w:rPr>
      </w:pPr>
      <w:hyperlink w:anchor="_Toc441569640" w:history="1">
        <w:r w:rsidR="00CE7905" w:rsidRPr="007B7D9F">
          <w:rPr>
            <w:rStyle w:val="Hyperlink"/>
            <w:rFonts w:ascii="Times New Roman" w:hAnsi="Times New Roman"/>
            <w:noProof/>
            <w:sz w:val="24"/>
          </w:rPr>
          <w:t>5. Settlement Conferences</w:t>
        </w:r>
        <w:r w:rsidR="00CE7905" w:rsidRPr="007B7D9F">
          <w:rPr>
            <w:rFonts w:ascii="Times New Roman" w:hAnsi="Times New Roman"/>
            <w:noProof/>
            <w:webHidden/>
            <w:sz w:val="24"/>
          </w:rPr>
          <w:tab/>
        </w:r>
        <w:r w:rsidRPr="007B7D9F">
          <w:rPr>
            <w:rFonts w:ascii="Times New Roman" w:hAnsi="Times New Roman"/>
            <w:noProof/>
            <w:webHidden/>
            <w:sz w:val="24"/>
          </w:rPr>
          <w:fldChar w:fldCharType="begin"/>
        </w:r>
        <w:r w:rsidR="00CE7905" w:rsidRPr="007B7D9F">
          <w:rPr>
            <w:rFonts w:ascii="Times New Roman" w:hAnsi="Times New Roman"/>
            <w:noProof/>
            <w:webHidden/>
            <w:sz w:val="24"/>
          </w:rPr>
          <w:instrText xml:space="preserve"> PAGEREF _Toc441569640 \h </w:instrText>
        </w:r>
        <w:r w:rsidRPr="007B7D9F">
          <w:rPr>
            <w:rFonts w:ascii="Times New Roman" w:hAnsi="Times New Roman"/>
            <w:noProof/>
            <w:webHidden/>
            <w:sz w:val="24"/>
          </w:rPr>
        </w:r>
        <w:r w:rsidRPr="007B7D9F">
          <w:rPr>
            <w:rFonts w:ascii="Times New Roman" w:hAnsi="Times New Roman"/>
            <w:noProof/>
            <w:webHidden/>
            <w:sz w:val="24"/>
          </w:rPr>
          <w:fldChar w:fldCharType="separate"/>
        </w:r>
        <w:r w:rsidR="00215E7C">
          <w:rPr>
            <w:rFonts w:ascii="Times New Roman" w:hAnsi="Times New Roman"/>
            <w:noProof/>
            <w:webHidden/>
            <w:sz w:val="24"/>
          </w:rPr>
          <w:t>11</w:t>
        </w:r>
        <w:r w:rsidRPr="007B7D9F">
          <w:rPr>
            <w:rFonts w:ascii="Times New Roman" w:hAnsi="Times New Roman"/>
            <w:noProof/>
            <w:webHidden/>
            <w:sz w:val="24"/>
          </w:rPr>
          <w:fldChar w:fldCharType="end"/>
        </w:r>
      </w:hyperlink>
    </w:p>
    <w:p w:rsidR="00CE7905" w:rsidRPr="007B7D9F" w:rsidRDefault="00DF7A20">
      <w:pPr>
        <w:pStyle w:val="TOC1"/>
        <w:tabs>
          <w:tab w:val="left" w:pos="810"/>
        </w:tabs>
        <w:rPr>
          <w:rFonts w:ascii="Times New Roman" w:eastAsiaTheme="minorEastAsia" w:hAnsi="Times New Roman"/>
          <w:b w:val="0"/>
          <w:noProof/>
        </w:rPr>
      </w:pPr>
      <w:hyperlink w:anchor="_Toc441569641" w:history="1">
        <w:r w:rsidR="00CE7905" w:rsidRPr="007B7D9F">
          <w:rPr>
            <w:rStyle w:val="Hyperlink"/>
            <w:rFonts w:ascii="Times New Roman" w:hAnsi="Times New Roman"/>
            <w:noProof/>
          </w:rPr>
          <w:t xml:space="preserve">IV. </w:t>
        </w:r>
        <w:r w:rsidR="00CE7905" w:rsidRPr="007B7D9F">
          <w:rPr>
            <w:rFonts w:ascii="Times New Roman" w:eastAsiaTheme="minorEastAsia" w:hAnsi="Times New Roman"/>
            <w:b w:val="0"/>
            <w:noProof/>
          </w:rPr>
          <w:tab/>
        </w:r>
        <w:r w:rsidR="00CE7905" w:rsidRPr="007B7D9F">
          <w:rPr>
            <w:rStyle w:val="Hyperlink"/>
            <w:rFonts w:ascii="Times New Roman" w:hAnsi="Times New Roman"/>
            <w:noProof/>
          </w:rPr>
          <w:t>For More Information</w:t>
        </w:r>
        <w:r w:rsidR="00CE7905" w:rsidRPr="007B7D9F">
          <w:rPr>
            <w:rFonts w:ascii="Times New Roman" w:hAnsi="Times New Roman"/>
            <w:noProof/>
            <w:webHidden/>
          </w:rPr>
          <w:tab/>
        </w:r>
        <w:r w:rsidRPr="007B7D9F">
          <w:rPr>
            <w:rFonts w:ascii="Times New Roman" w:hAnsi="Times New Roman"/>
            <w:noProof/>
            <w:webHidden/>
          </w:rPr>
          <w:fldChar w:fldCharType="begin"/>
        </w:r>
        <w:r w:rsidR="00CE7905" w:rsidRPr="007B7D9F">
          <w:rPr>
            <w:rFonts w:ascii="Times New Roman" w:hAnsi="Times New Roman"/>
            <w:noProof/>
            <w:webHidden/>
          </w:rPr>
          <w:instrText xml:space="preserve"> PAGEREF _Toc441569641 \h </w:instrText>
        </w:r>
        <w:r w:rsidRPr="007B7D9F">
          <w:rPr>
            <w:rFonts w:ascii="Times New Roman" w:hAnsi="Times New Roman"/>
            <w:noProof/>
            <w:webHidden/>
          </w:rPr>
        </w:r>
        <w:r w:rsidRPr="007B7D9F">
          <w:rPr>
            <w:rFonts w:ascii="Times New Roman" w:hAnsi="Times New Roman"/>
            <w:noProof/>
            <w:webHidden/>
          </w:rPr>
          <w:fldChar w:fldCharType="separate"/>
        </w:r>
        <w:r w:rsidR="00215E7C">
          <w:rPr>
            <w:rFonts w:ascii="Times New Roman" w:hAnsi="Times New Roman"/>
            <w:noProof/>
            <w:webHidden/>
          </w:rPr>
          <w:t>11</w:t>
        </w:r>
        <w:r w:rsidRPr="007B7D9F">
          <w:rPr>
            <w:rFonts w:ascii="Times New Roman" w:hAnsi="Times New Roman"/>
            <w:noProof/>
            <w:webHidden/>
          </w:rPr>
          <w:fldChar w:fldCharType="end"/>
        </w:r>
      </w:hyperlink>
    </w:p>
    <w:p w:rsidR="00FB018C" w:rsidRDefault="00DF7A20" w:rsidP="00FB018C">
      <w:r w:rsidRPr="007B7D9F">
        <w:fldChar w:fldCharType="end"/>
      </w:r>
    </w:p>
    <w:p w:rsidR="00FD2C86" w:rsidRPr="00FB018C" w:rsidRDefault="00FD2C86" w:rsidP="00FB018C">
      <w:pPr>
        <w:sectPr w:rsidR="00FD2C86" w:rsidRPr="00FB018C" w:rsidSect="007102D5">
          <w:pgSz w:w="12240" w:h="15840"/>
          <w:pgMar w:top="1440" w:right="1440" w:bottom="1440" w:left="1440" w:header="720" w:footer="720" w:gutter="0"/>
          <w:cols w:space="720"/>
          <w:docGrid w:linePitch="326"/>
        </w:sectPr>
      </w:pPr>
    </w:p>
    <w:p w:rsidR="00144CB4" w:rsidRDefault="00CB262E" w:rsidP="00185426">
      <w:pPr>
        <w:pStyle w:val="Heading1"/>
        <w:spacing w:before="0"/>
      </w:pPr>
      <w:bookmarkStart w:id="0" w:name="_Toc441569621"/>
      <w:r>
        <w:lastRenderedPageBreak/>
        <w:t>I.</w:t>
      </w:r>
      <w:r>
        <w:tab/>
      </w:r>
      <w:r w:rsidR="00144CB4">
        <w:t>Introduction</w:t>
      </w:r>
      <w:bookmarkEnd w:id="0"/>
    </w:p>
    <w:p w:rsidR="00C349FF" w:rsidRPr="0072770E" w:rsidRDefault="00C349FF" w:rsidP="0050432A">
      <w:pPr>
        <w:spacing w:before="120" w:after="120"/>
        <w:rPr>
          <w:i/>
          <w:iCs/>
        </w:rPr>
      </w:pPr>
      <w:r w:rsidRPr="0072770E">
        <w:t>The Department</w:t>
      </w:r>
      <w:r w:rsidR="00993359">
        <w:t xml:space="preserve"> of Elementary and Secondary Education (“the Department”)</w:t>
      </w:r>
      <w:r w:rsidRPr="0072770E">
        <w:t xml:space="preserve"> respectfully submits this Report to the Legislature pursuant to Chapter 159 of the Acts of 2000, Section 432, which reads in relevant part: </w:t>
      </w:r>
      <w:r w:rsidRPr="0072770E">
        <w:rPr>
          <w:i/>
          <w:iCs/>
        </w:rPr>
        <w:tab/>
      </w:r>
    </w:p>
    <w:p w:rsidR="00FD2C86" w:rsidRDefault="00C349FF" w:rsidP="00872D52">
      <w:pPr>
        <w:spacing w:before="120" w:after="360"/>
        <w:rPr>
          <w:i/>
          <w:iCs/>
        </w:rPr>
      </w:pPr>
      <w:r w:rsidRPr="0072770E">
        <w:rPr>
          <w:i/>
          <w:iCs/>
        </w:rPr>
        <w:tab/>
        <w:t>“The Department …… shall annually . . . report to the General Court on the implementation of [special education law]. Such report shall include … cost increases or savings in cities or towns, . . . the extent of the development</w:t>
      </w:r>
      <w:r w:rsidR="0084450C" w:rsidRPr="0072770E">
        <w:rPr>
          <w:i/>
          <w:iCs/>
        </w:rPr>
        <w:t xml:space="preserve"> of educational collaboratives </w:t>
      </w:r>
      <w:r w:rsidR="0072770E">
        <w:rPr>
          <w:i/>
          <w:iCs/>
        </w:rPr>
        <w:t xml:space="preserve">to provide necessary services, </w:t>
      </w:r>
      <w:r w:rsidRPr="0072770E">
        <w:rPr>
          <w:i/>
          <w:iCs/>
        </w:rPr>
        <w:t>the increase or decrease of the number of children served, federal non-compliance issues and other such matters as said Department deems appropriate. Such report shall be filed with the clerks of the House of Representatives and the Senate who shall forward the same to the Joint Committee on Education, Arts and Humanities and the House and Senate Committees on Ways and Means…”</w:t>
      </w:r>
    </w:p>
    <w:p w:rsidR="006152E4" w:rsidRPr="00CD4510" w:rsidRDefault="006152E4" w:rsidP="00185426">
      <w:pPr>
        <w:pStyle w:val="Heading1"/>
        <w:spacing w:before="0"/>
      </w:pPr>
      <w:bookmarkStart w:id="1" w:name="_Toc378583121"/>
      <w:bookmarkStart w:id="2" w:name="_Toc374012648"/>
      <w:bookmarkStart w:id="3" w:name="_Toc342312302"/>
      <w:bookmarkStart w:id="4" w:name="_Toc309819244"/>
      <w:bookmarkStart w:id="5" w:name="_Toc378598374"/>
      <w:bookmarkStart w:id="6" w:name="_Toc441569622"/>
      <w:r w:rsidRPr="00CD4510">
        <w:t xml:space="preserve">II. </w:t>
      </w:r>
      <w:r w:rsidRPr="00CD4510">
        <w:tab/>
      </w:r>
      <w:bookmarkEnd w:id="1"/>
      <w:bookmarkEnd w:id="2"/>
      <w:bookmarkEnd w:id="3"/>
      <w:bookmarkEnd w:id="4"/>
      <w:bookmarkEnd w:id="5"/>
      <w:r w:rsidR="00CB262E" w:rsidRPr="00CD4510">
        <w:t>Background: Enrollment and Finances</w:t>
      </w:r>
      <w:bookmarkEnd w:id="6"/>
    </w:p>
    <w:p w:rsidR="00CD4510" w:rsidRPr="0072770E" w:rsidRDefault="00973627" w:rsidP="00872D52">
      <w:pPr>
        <w:spacing w:before="120" w:after="360"/>
        <w:rPr>
          <w:i/>
        </w:rPr>
      </w:pPr>
      <w:r w:rsidRPr="0072770E">
        <w:rPr>
          <w:i/>
        </w:rPr>
        <w:t>This</w:t>
      </w:r>
      <w:r w:rsidR="008C1D07" w:rsidRPr="0072770E">
        <w:rPr>
          <w:i/>
        </w:rPr>
        <w:t xml:space="preserve"> section</w:t>
      </w:r>
      <w:r w:rsidRPr="0072770E">
        <w:rPr>
          <w:i/>
        </w:rPr>
        <w:t xml:space="preserve"> on Enrollment and Finances</w:t>
      </w:r>
      <w:r w:rsidR="008C1D07" w:rsidRPr="0072770E">
        <w:rPr>
          <w:i/>
        </w:rPr>
        <w:t xml:space="preserve"> offer</w:t>
      </w:r>
      <w:r w:rsidR="00CD4510" w:rsidRPr="0072770E">
        <w:rPr>
          <w:i/>
        </w:rPr>
        <w:t>s</w:t>
      </w:r>
      <w:r w:rsidR="008C1D07" w:rsidRPr="0072770E">
        <w:rPr>
          <w:i/>
        </w:rPr>
        <w:t xml:space="preserve"> data required by the statute</w:t>
      </w:r>
      <w:r w:rsidR="00EE08E0" w:rsidRPr="0072770E">
        <w:rPr>
          <w:i/>
        </w:rPr>
        <w:t xml:space="preserve"> and provides</w:t>
      </w:r>
      <w:r w:rsidR="008C1D07" w:rsidRPr="0072770E">
        <w:rPr>
          <w:i/>
        </w:rPr>
        <w:t xml:space="preserve"> context for subse</w:t>
      </w:r>
      <w:r w:rsidR="00486B5F" w:rsidRPr="0072770E">
        <w:rPr>
          <w:i/>
        </w:rPr>
        <w:t xml:space="preserve">quent discussion of </w:t>
      </w:r>
      <w:r w:rsidR="005F254E">
        <w:rPr>
          <w:i/>
        </w:rPr>
        <w:t>Department</w:t>
      </w:r>
      <w:r w:rsidR="00E440FF" w:rsidRPr="0072770E">
        <w:rPr>
          <w:i/>
        </w:rPr>
        <w:t xml:space="preserve"> activities. </w:t>
      </w:r>
    </w:p>
    <w:p w:rsidR="006A3D65" w:rsidRPr="006D7C62" w:rsidRDefault="006A3D65" w:rsidP="00185426">
      <w:pPr>
        <w:pStyle w:val="Heading2"/>
        <w:spacing w:before="0" w:after="120"/>
      </w:pPr>
      <w:bookmarkStart w:id="7" w:name="_Toc378583122"/>
      <w:bookmarkStart w:id="8" w:name="_Toc374012649"/>
      <w:bookmarkStart w:id="9" w:name="_Toc342312303"/>
      <w:bookmarkStart w:id="10" w:name="_Toc309819245"/>
      <w:bookmarkStart w:id="11" w:name="_Toc378598375"/>
      <w:bookmarkStart w:id="12" w:name="_Toc441569623"/>
      <w:r w:rsidRPr="006D7C62">
        <w:t xml:space="preserve">A. </w:t>
      </w:r>
      <w:r w:rsidRPr="006D7C62">
        <w:tab/>
        <w:t>Longitudinal Enrollment</w:t>
      </w:r>
      <w:bookmarkEnd w:id="7"/>
      <w:bookmarkEnd w:id="8"/>
      <w:bookmarkEnd w:id="9"/>
      <w:bookmarkEnd w:id="10"/>
      <w:bookmarkEnd w:id="11"/>
      <w:bookmarkEnd w:id="12"/>
    </w:p>
    <w:p w:rsidR="007E03DD" w:rsidRDefault="006A3D65" w:rsidP="0050432A">
      <w:pPr>
        <w:spacing w:before="120" w:after="120"/>
      </w:pPr>
      <w:r w:rsidRPr="0072770E">
        <w:t xml:space="preserve">Both Massachusetts’ total student enrollment and the number of students receiving special education services increased slightly </w:t>
      </w:r>
      <w:r w:rsidR="007D3B9C">
        <w:t>from school year 2013-2014 (FY14</w:t>
      </w:r>
      <w:r w:rsidRPr="0072770E">
        <w:t>)</w:t>
      </w:r>
      <w:r w:rsidR="007D3B9C">
        <w:t xml:space="preserve"> to 2014-15 (FY15</w:t>
      </w:r>
      <w:r w:rsidRPr="0072770E">
        <w:t xml:space="preserve">). </w:t>
      </w:r>
      <w:r w:rsidR="007D3B9C">
        <w:t>After five years at 17 percent, t</w:t>
      </w:r>
      <w:r w:rsidR="00C71F4F" w:rsidRPr="0072770E">
        <w:t xml:space="preserve">he percentage of students </w:t>
      </w:r>
      <w:r w:rsidR="00371358">
        <w:t>with</w:t>
      </w:r>
      <w:r w:rsidR="006410D1">
        <w:t xml:space="preserve"> Individualized Education Programs</w:t>
      </w:r>
      <w:r w:rsidR="00371358">
        <w:t xml:space="preserve"> </w:t>
      </w:r>
      <w:r w:rsidR="006410D1">
        <w:t>(</w:t>
      </w:r>
      <w:r w:rsidR="00371358">
        <w:t>IEP</w:t>
      </w:r>
      <w:r w:rsidR="00ED0E85">
        <w:t>s</w:t>
      </w:r>
      <w:r w:rsidR="006410D1">
        <w:t>)</w:t>
      </w:r>
      <w:r w:rsidR="00C71F4F" w:rsidRPr="0072770E">
        <w:t xml:space="preserve"> enrolled in Massachusetts public schools </w:t>
      </w:r>
      <w:r w:rsidR="007D3B9C">
        <w:t>increased by 0.1 percentage points in FY15</w:t>
      </w:r>
      <w:r w:rsidR="008D4FC3">
        <w:t xml:space="preserve"> </w:t>
      </w:r>
      <w:r w:rsidR="008D4FC3" w:rsidRPr="0072770E">
        <w:t>(Table 1).</w:t>
      </w:r>
      <w:r w:rsidR="00062D11" w:rsidRPr="0072770E">
        <w:t xml:space="preserve"> </w:t>
      </w:r>
    </w:p>
    <w:p w:rsidR="00613BE0" w:rsidRPr="009B2055" w:rsidRDefault="00613BE0" w:rsidP="0050432A">
      <w:pPr>
        <w:spacing w:before="120" w:after="120"/>
        <w:rPr>
          <w:b/>
          <w:color w:val="000000" w:themeColor="text1"/>
          <w:sz w:val="12"/>
          <w:szCs w:val="12"/>
        </w:rPr>
      </w:pPr>
    </w:p>
    <w:p w:rsidR="006A3D65" w:rsidRPr="0072770E" w:rsidRDefault="006A3D65" w:rsidP="007E03DD">
      <w:pPr>
        <w:spacing w:after="240"/>
        <w:ind w:left="180"/>
        <w:rPr>
          <w:b/>
        </w:rPr>
      </w:pPr>
      <w:r w:rsidRPr="0072770E">
        <w:rPr>
          <w:b/>
          <w:color w:val="000000" w:themeColor="text1"/>
        </w:rPr>
        <w:t>Table 1: Number</w:t>
      </w:r>
      <w:r w:rsidRPr="0072770E">
        <w:rPr>
          <w:b/>
        </w:rPr>
        <w:t xml:space="preserve"> and Percentage of Stude</w:t>
      </w:r>
      <w:r w:rsidR="0056793A">
        <w:rPr>
          <w:b/>
        </w:rPr>
        <w:t>nts with Disabilities, FY06</w:t>
      </w:r>
      <w:r w:rsidR="00177955">
        <w:rPr>
          <w:b/>
        </w:rPr>
        <w:t>–FY15</w:t>
      </w:r>
    </w:p>
    <w:tbl>
      <w:tblPr>
        <w:tblW w:w="8820" w:type="dxa"/>
        <w:tblInd w:w="108" w:type="dxa"/>
        <w:tblLook w:val="04A0"/>
      </w:tblPr>
      <w:tblGrid>
        <w:gridCol w:w="2160"/>
        <w:gridCol w:w="2160"/>
        <w:gridCol w:w="2160"/>
        <w:gridCol w:w="2340"/>
      </w:tblGrid>
      <w:tr w:rsidR="00177955" w:rsidRPr="00CC5C56" w:rsidTr="00291612">
        <w:trPr>
          <w:trHeight w:val="796"/>
        </w:trPr>
        <w:tc>
          <w:tcPr>
            <w:tcW w:w="2160" w:type="dxa"/>
            <w:tcBorders>
              <w:top w:val="single" w:sz="12" w:space="0" w:color="auto"/>
              <w:left w:val="nil"/>
              <w:bottom w:val="single" w:sz="12" w:space="0" w:color="auto"/>
              <w:right w:val="nil"/>
            </w:tcBorders>
            <w:vAlign w:val="center"/>
            <w:hideMark/>
          </w:tcPr>
          <w:p w:rsidR="00177955" w:rsidRPr="00CC5C56" w:rsidRDefault="00177955" w:rsidP="00291612">
            <w:pPr>
              <w:jc w:val="center"/>
            </w:pPr>
            <w:r w:rsidRPr="00CC5C56">
              <w:rPr>
                <w:sz w:val="22"/>
                <w:szCs w:val="22"/>
              </w:rPr>
              <w:t>School Year</w:t>
            </w:r>
          </w:p>
        </w:tc>
        <w:tc>
          <w:tcPr>
            <w:tcW w:w="2160" w:type="dxa"/>
            <w:tcBorders>
              <w:top w:val="single" w:sz="12" w:space="0" w:color="auto"/>
              <w:left w:val="nil"/>
              <w:bottom w:val="single" w:sz="12" w:space="0" w:color="auto"/>
              <w:right w:val="nil"/>
            </w:tcBorders>
            <w:vAlign w:val="center"/>
            <w:hideMark/>
          </w:tcPr>
          <w:p w:rsidR="00177955" w:rsidRPr="00CC5C56" w:rsidRDefault="00177955" w:rsidP="00291612">
            <w:pPr>
              <w:jc w:val="center"/>
            </w:pPr>
            <w:r w:rsidRPr="00CC5C56">
              <w:rPr>
                <w:sz w:val="22"/>
                <w:szCs w:val="22"/>
              </w:rPr>
              <w:t>Total Special</w:t>
            </w:r>
          </w:p>
          <w:p w:rsidR="00177955" w:rsidRPr="00CC5C56" w:rsidRDefault="00177955" w:rsidP="00291612">
            <w:pPr>
              <w:jc w:val="center"/>
            </w:pPr>
            <w:r w:rsidRPr="00CC5C56">
              <w:rPr>
                <w:sz w:val="22"/>
                <w:szCs w:val="22"/>
              </w:rPr>
              <w:t>Education Enrollment</w:t>
            </w:r>
          </w:p>
        </w:tc>
        <w:tc>
          <w:tcPr>
            <w:tcW w:w="2160" w:type="dxa"/>
            <w:tcBorders>
              <w:top w:val="single" w:sz="12" w:space="0" w:color="auto"/>
              <w:left w:val="nil"/>
              <w:bottom w:val="single" w:sz="12" w:space="0" w:color="auto"/>
              <w:right w:val="nil"/>
            </w:tcBorders>
            <w:vAlign w:val="center"/>
            <w:hideMark/>
          </w:tcPr>
          <w:p w:rsidR="00177955" w:rsidRPr="00CC5C56" w:rsidRDefault="00177955" w:rsidP="00291612">
            <w:pPr>
              <w:jc w:val="center"/>
            </w:pPr>
            <w:r w:rsidRPr="00CC5C56">
              <w:rPr>
                <w:sz w:val="22"/>
                <w:szCs w:val="22"/>
              </w:rPr>
              <w:t>Total Enrollment</w:t>
            </w:r>
          </w:p>
        </w:tc>
        <w:tc>
          <w:tcPr>
            <w:tcW w:w="2340" w:type="dxa"/>
            <w:tcBorders>
              <w:top w:val="single" w:sz="12" w:space="0" w:color="auto"/>
              <w:left w:val="nil"/>
              <w:bottom w:val="single" w:sz="12" w:space="0" w:color="auto"/>
              <w:right w:val="nil"/>
            </w:tcBorders>
            <w:vAlign w:val="center"/>
            <w:hideMark/>
          </w:tcPr>
          <w:p w:rsidR="00177955" w:rsidRPr="00CC5C56" w:rsidRDefault="00177955" w:rsidP="00291612">
            <w:pPr>
              <w:jc w:val="center"/>
            </w:pPr>
            <w:r w:rsidRPr="00CC5C56">
              <w:rPr>
                <w:sz w:val="22"/>
                <w:szCs w:val="22"/>
              </w:rPr>
              <w:t>Percentage of Students with Disabilities</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2005-06</w:t>
            </w:r>
          </w:p>
        </w:tc>
        <w:tc>
          <w:tcPr>
            <w:tcW w:w="2160" w:type="dxa"/>
            <w:vAlign w:val="center"/>
            <w:hideMark/>
          </w:tcPr>
          <w:p w:rsidR="00177955" w:rsidRPr="002267F3" w:rsidRDefault="00177955" w:rsidP="00291612">
            <w:pPr>
              <w:jc w:val="center"/>
              <w:rPr>
                <w:sz w:val="20"/>
                <w:szCs w:val="20"/>
              </w:rPr>
            </w:pPr>
            <w:r w:rsidRPr="002267F3">
              <w:rPr>
                <w:sz w:val="20"/>
                <w:szCs w:val="20"/>
              </w:rPr>
              <w:t>160,752</w:t>
            </w:r>
          </w:p>
        </w:tc>
        <w:tc>
          <w:tcPr>
            <w:tcW w:w="2160" w:type="dxa"/>
            <w:vAlign w:val="center"/>
            <w:hideMark/>
          </w:tcPr>
          <w:p w:rsidR="00177955" w:rsidRPr="002267F3" w:rsidRDefault="00177955" w:rsidP="00291612">
            <w:pPr>
              <w:jc w:val="center"/>
              <w:rPr>
                <w:sz w:val="20"/>
                <w:szCs w:val="20"/>
              </w:rPr>
            </w:pPr>
            <w:r w:rsidRPr="002267F3">
              <w:rPr>
                <w:sz w:val="20"/>
                <w:szCs w:val="20"/>
              </w:rPr>
              <w:t>983,439</w:t>
            </w:r>
          </w:p>
        </w:tc>
        <w:tc>
          <w:tcPr>
            <w:tcW w:w="2340" w:type="dxa"/>
            <w:vAlign w:val="center"/>
            <w:hideMark/>
          </w:tcPr>
          <w:p w:rsidR="00177955" w:rsidRPr="002267F3" w:rsidRDefault="00177955" w:rsidP="00291612">
            <w:pPr>
              <w:jc w:val="center"/>
              <w:rPr>
                <w:sz w:val="20"/>
                <w:szCs w:val="20"/>
              </w:rPr>
            </w:pPr>
            <w:r w:rsidRPr="002267F3">
              <w:rPr>
                <w:sz w:val="20"/>
                <w:szCs w:val="20"/>
              </w:rPr>
              <w:t>16.4%</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2006-07</w:t>
            </w:r>
          </w:p>
        </w:tc>
        <w:tc>
          <w:tcPr>
            <w:tcW w:w="2160" w:type="dxa"/>
            <w:vAlign w:val="center"/>
            <w:hideMark/>
          </w:tcPr>
          <w:p w:rsidR="00177955" w:rsidRPr="002267F3" w:rsidRDefault="00177955" w:rsidP="00291612">
            <w:pPr>
              <w:jc w:val="center"/>
              <w:rPr>
                <w:sz w:val="20"/>
                <w:szCs w:val="20"/>
              </w:rPr>
            </w:pPr>
            <w:r w:rsidRPr="002267F3">
              <w:rPr>
                <w:sz w:val="20"/>
                <w:szCs w:val="20"/>
              </w:rPr>
              <w:t>163,396</w:t>
            </w:r>
          </w:p>
        </w:tc>
        <w:tc>
          <w:tcPr>
            <w:tcW w:w="2160" w:type="dxa"/>
            <w:vAlign w:val="center"/>
            <w:hideMark/>
          </w:tcPr>
          <w:p w:rsidR="00177955" w:rsidRPr="002267F3" w:rsidRDefault="00177955" w:rsidP="00291612">
            <w:pPr>
              <w:jc w:val="center"/>
              <w:rPr>
                <w:sz w:val="20"/>
                <w:szCs w:val="20"/>
              </w:rPr>
            </w:pPr>
            <w:r w:rsidRPr="002267F3">
              <w:rPr>
                <w:sz w:val="20"/>
                <w:szCs w:val="20"/>
              </w:rPr>
              <w:t>979,851</w:t>
            </w:r>
          </w:p>
        </w:tc>
        <w:tc>
          <w:tcPr>
            <w:tcW w:w="2340" w:type="dxa"/>
            <w:vAlign w:val="center"/>
            <w:hideMark/>
          </w:tcPr>
          <w:p w:rsidR="00177955" w:rsidRPr="002267F3" w:rsidRDefault="00177955" w:rsidP="00291612">
            <w:pPr>
              <w:jc w:val="center"/>
              <w:rPr>
                <w:sz w:val="20"/>
                <w:szCs w:val="20"/>
              </w:rPr>
            </w:pPr>
            <w:r w:rsidRPr="002267F3">
              <w:rPr>
                <w:sz w:val="20"/>
                <w:szCs w:val="20"/>
              </w:rPr>
              <w:t>16.7%</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2007-08</w:t>
            </w:r>
          </w:p>
        </w:tc>
        <w:tc>
          <w:tcPr>
            <w:tcW w:w="2160" w:type="dxa"/>
            <w:vAlign w:val="center"/>
            <w:hideMark/>
          </w:tcPr>
          <w:p w:rsidR="00177955" w:rsidRPr="002267F3" w:rsidRDefault="00177955" w:rsidP="00291612">
            <w:pPr>
              <w:jc w:val="center"/>
              <w:rPr>
                <w:sz w:val="20"/>
                <w:szCs w:val="20"/>
              </w:rPr>
            </w:pPr>
            <w:r w:rsidRPr="002267F3">
              <w:rPr>
                <w:sz w:val="20"/>
                <w:szCs w:val="20"/>
              </w:rPr>
              <w:t>164,298</w:t>
            </w:r>
          </w:p>
        </w:tc>
        <w:tc>
          <w:tcPr>
            <w:tcW w:w="2160" w:type="dxa"/>
            <w:vAlign w:val="center"/>
            <w:hideMark/>
          </w:tcPr>
          <w:p w:rsidR="00177955" w:rsidRPr="002267F3" w:rsidRDefault="00177955" w:rsidP="00291612">
            <w:pPr>
              <w:jc w:val="center"/>
              <w:rPr>
                <w:sz w:val="20"/>
                <w:szCs w:val="20"/>
              </w:rPr>
            </w:pPr>
            <w:r w:rsidRPr="002267F3">
              <w:rPr>
                <w:sz w:val="20"/>
                <w:szCs w:val="20"/>
              </w:rPr>
              <w:t>972,178</w:t>
            </w:r>
          </w:p>
        </w:tc>
        <w:tc>
          <w:tcPr>
            <w:tcW w:w="2340" w:type="dxa"/>
            <w:vAlign w:val="center"/>
            <w:hideMark/>
          </w:tcPr>
          <w:p w:rsidR="00177955" w:rsidRPr="002267F3" w:rsidRDefault="00177955" w:rsidP="00291612">
            <w:pPr>
              <w:jc w:val="center"/>
              <w:rPr>
                <w:sz w:val="20"/>
                <w:szCs w:val="20"/>
              </w:rPr>
            </w:pPr>
            <w:r w:rsidRPr="002267F3">
              <w:rPr>
                <w:sz w:val="20"/>
                <w:szCs w:val="20"/>
              </w:rPr>
              <w:t>16.9%</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2008-09</w:t>
            </w:r>
          </w:p>
        </w:tc>
        <w:tc>
          <w:tcPr>
            <w:tcW w:w="2160" w:type="dxa"/>
            <w:vAlign w:val="center"/>
            <w:hideMark/>
          </w:tcPr>
          <w:p w:rsidR="00177955" w:rsidRPr="002267F3" w:rsidRDefault="00177955" w:rsidP="00291612">
            <w:pPr>
              <w:jc w:val="center"/>
              <w:rPr>
                <w:sz w:val="20"/>
                <w:szCs w:val="20"/>
              </w:rPr>
            </w:pPr>
            <w:r w:rsidRPr="002267F3">
              <w:rPr>
                <w:sz w:val="20"/>
                <w:szCs w:val="20"/>
              </w:rPr>
              <w:t>166,037</w:t>
            </w:r>
          </w:p>
        </w:tc>
        <w:tc>
          <w:tcPr>
            <w:tcW w:w="2160" w:type="dxa"/>
            <w:vAlign w:val="center"/>
            <w:hideMark/>
          </w:tcPr>
          <w:p w:rsidR="00177955" w:rsidRPr="002267F3" w:rsidRDefault="00177955" w:rsidP="00291612">
            <w:pPr>
              <w:jc w:val="center"/>
              <w:rPr>
                <w:sz w:val="20"/>
                <w:szCs w:val="20"/>
              </w:rPr>
            </w:pPr>
            <w:r w:rsidRPr="002267F3">
              <w:rPr>
                <w:sz w:val="20"/>
                <w:szCs w:val="20"/>
              </w:rPr>
              <w:t>970,059</w:t>
            </w:r>
          </w:p>
        </w:tc>
        <w:tc>
          <w:tcPr>
            <w:tcW w:w="2340" w:type="dxa"/>
            <w:vAlign w:val="center"/>
            <w:hideMark/>
          </w:tcPr>
          <w:p w:rsidR="00177955" w:rsidRPr="002267F3" w:rsidRDefault="00177955" w:rsidP="00291612">
            <w:pPr>
              <w:jc w:val="center"/>
              <w:rPr>
                <w:sz w:val="20"/>
                <w:szCs w:val="20"/>
              </w:rPr>
            </w:pPr>
            <w:r w:rsidRPr="002267F3">
              <w:rPr>
                <w:sz w:val="20"/>
                <w:szCs w:val="20"/>
              </w:rPr>
              <w:t>17.1%</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2009-10</w:t>
            </w:r>
          </w:p>
        </w:tc>
        <w:tc>
          <w:tcPr>
            <w:tcW w:w="2160" w:type="dxa"/>
            <w:vAlign w:val="center"/>
            <w:hideMark/>
          </w:tcPr>
          <w:p w:rsidR="00177955" w:rsidRPr="002267F3" w:rsidRDefault="00177955" w:rsidP="00291612">
            <w:pPr>
              <w:jc w:val="center"/>
              <w:rPr>
                <w:sz w:val="20"/>
                <w:szCs w:val="20"/>
              </w:rPr>
            </w:pPr>
            <w:r w:rsidRPr="002267F3">
              <w:rPr>
                <w:sz w:val="20"/>
                <w:szCs w:val="20"/>
              </w:rPr>
              <w:t>164,847</w:t>
            </w:r>
          </w:p>
        </w:tc>
        <w:tc>
          <w:tcPr>
            <w:tcW w:w="2160" w:type="dxa"/>
            <w:vAlign w:val="center"/>
            <w:hideMark/>
          </w:tcPr>
          <w:p w:rsidR="00177955" w:rsidRPr="002267F3" w:rsidRDefault="00177955" w:rsidP="00291612">
            <w:pPr>
              <w:jc w:val="center"/>
              <w:rPr>
                <w:sz w:val="20"/>
                <w:szCs w:val="20"/>
              </w:rPr>
            </w:pPr>
            <w:r w:rsidRPr="002267F3">
              <w:rPr>
                <w:sz w:val="20"/>
                <w:szCs w:val="20"/>
              </w:rPr>
              <w:t>967,951</w:t>
            </w:r>
          </w:p>
        </w:tc>
        <w:tc>
          <w:tcPr>
            <w:tcW w:w="2340" w:type="dxa"/>
            <w:vAlign w:val="center"/>
            <w:hideMark/>
          </w:tcPr>
          <w:p w:rsidR="00177955" w:rsidRPr="002267F3" w:rsidRDefault="00177955" w:rsidP="00291612">
            <w:pPr>
              <w:jc w:val="center"/>
              <w:rPr>
                <w:sz w:val="20"/>
                <w:szCs w:val="20"/>
              </w:rPr>
            </w:pPr>
            <w:r w:rsidRPr="002267F3">
              <w:rPr>
                <w:sz w:val="20"/>
                <w:szCs w:val="20"/>
              </w:rPr>
              <w:t>17.0%</w:t>
            </w:r>
          </w:p>
        </w:tc>
      </w:tr>
      <w:tr w:rsidR="00177955" w:rsidRPr="00CC5C56" w:rsidTr="00291612">
        <w:trPr>
          <w:trHeight w:val="305"/>
        </w:trPr>
        <w:tc>
          <w:tcPr>
            <w:tcW w:w="2160" w:type="dxa"/>
            <w:vAlign w:val="center"/>
            <w:hideMark/>
          </w:tcPr>
          <w:p w:rsidR="00177955" w:rsidRPr="002267F3" w:rsidRDefault="00177955" w:rsidP="00291612">
            <w:pPr>
              <w:jc w:val="center"/>
              <w:rPr>
                <w:sz w:val="20"/>
                <w:szCs w:val="20"/>
              </w:rPr>
            </w:pPr>
            <w:r w:rsidRPr="002267F3">
              <w:rPr>
                <w:sz w:val="20"/>
                <w:szCs w:val="20"/>
              </w:rPr>
              <w:t>2010-11</w:t>
            </w:r>
          </w:p>
        </w:tc>
        <w:tc>
          <w:tcPr>
            <w:tcW w:w="2160" w:type="dxa"/>
            <w:vAlign w:val="center"/>
            <w:hideMark/>
          </w:tcPr>
          <w:p w:rsidR="00177955" w:rsidRPr="002267F3" w:rsidRDefault="00177955" w:rsidP="00291612">
            <w:pPr>
              <w:jc w:val="center"/>
              <w:rPr>
                <w:sz w:val="20"/>
                <w:szCs w:val="20"/>
              </w:rPr>
            </w:pPr>
            <w:r w:rsidRPr="002267F3">
              <w:rPr>
                <w:sz w:val="20"/>
                <w:szCs w:val="20"/>
              </w:rPr>
              <w:t>164,711</w:t>
            </w:r>
          </w:p>
        </w:tc>
        <w:tc>
          <w:tcPr>
            <w:tcW w:w="2160" w:type="dxa"/>
            <w:vAlign w:val="center"/>
            <w:hideMark/>
          </w:tcPr>
          <w:p w:rsidR="00177955" w:rsidRPr="002267F3" w:rsidRDefault="00177955" w:rsidP="00291612">
            <w:pPr>
              <w:jc w:val="center"/>
              <w:rPr>
                <w:sz w:val="20"/>
                <w:szCs w:val="20"/>
              </w:rPr>
            </w:pPr>
            <w:r w:rsidRPr="002267F3">
              <w:rPr>
                <w:sz w:val="20"/>
                <w:szCs w:val="20"/>
              </w:rPr>
              <w:t>966,395</w:t>
            </w:r>
          </w:p>
        </w:tc>
        <w:tc>
          <w:tcPr>
            <w:tcW w:w="2340" w:type="dxa"/>
            <w:vAlign w:val="center"/>
            <w:hideMark/>
          </w:tcPr>
          <w:p w:rsidR="00177955" w:rsidRPr="002267F3" w:rsidRDefault="00177955" w:rsidP="00291612">
            <w:pPr>
              <w:jc w:val="center"/>
              <w:rPr>
                <w:sz w:val="20"/>
                <w:szCs w:val="20"/>
              </w:rPr>
            </w:pPr>
            <w:r w:rsidRPr="002267F3">
              <w:rPr>
                <w:sz w:val="20"/>
                <w:szCs w:val="20"/>
              </w:rPr>
              <w:t>17.0%</w:t>
            </w:r>
          </w:p>
        </w:tc>
      </w:tr>
      <w:tr w:rsidR="00177955" w:rsidRPr="00CC5C56" w:rsidTr="00291612">
        <w:trPr>
          <w:trHeight w:val="321"/>
        </w:trPr>
        <w:tc>
          <w:tcPr>
            <w:tcW w:w="2160" w:type="dxa"/>
            <w:vAlign w:val="center"/>
            <w:hideMark/>
          </w:tcPr>
          <w:p w:rsidR="00177955" w:rsidRPr="002267F3" w:rsidRDefault="00177955" w:rsidP="00291612">
            <w:pPr>
              <w:jc w:val="center"/>
              <w:rPr>
                <w:sz w:val="20"/>
                <w:szCs w:val="20"/>
              </w:rPr>
            </w:pPr>
            <w:r w:rsidRPr="002267F3">
              <w:rPr>
                <w:sz w:val="20"/>
                <w:szCs w:val="20"/>
              </w:rPr>
              <w:t>2011-12</w:t>
            </w:r>
          </w:p>
        </w:tc>
        <w:tc>
          <w:tcPr>
            <w:tcW w:w="2160" w:type="dxa"/>
            <w:vAlign w:val="center"/>
            <w:hideMark/>
          </w:tcPr>
          <w:p w:rsidR="00177955" w:rsidRPr="002267F3" w:rsidRDefault="00177955" w:rsidP="00291612">
            <w:pPr>
              <w:jc w:val="center"/>
              <w:rPr>
                <w:sz w:val="20"/>
                <w:szCs w:val="20"/>
              </w:rPr>
            </w:pPr>
            <w:r w:rsidRPr="002267F3">
              <w:rPr>
                <w:sz w:val="20"/>
                <w:szCs w:val="20"/>
              </w:rPr>
              <w:t>163,679</w:t>
            </w:r>
          </w:p>
        </w:tc>
        <w:tc>
          <w:tcPr>
            <w:tcW w:w="2160" w:type="dxa"/>
            <w:vAlign w:val="center"/>
            <w:hideMark/>
          </w:tcPr>
          <w:p w:rsidR="00177955" w:rsidRPr="002267F3" w:rsidRDefault="00177955" w:rsidP="00291612">
            <w:pPr>
              <w:jc w:val="center"/>
              <w:rPr>
                <w:sz w:val="20"/>
                <w:szCs w:val="20"/>
              </w:rPr>
            </w:pPr>
            <w:r w:rsidRPr="002267F3">
              <w:rPr>
                <w:sz w:val="20"/>
                <w:szCs w:val="20"/>
              </w:rPr>
              <w:t>964,198</w:t>
            </w:r>
          </w:p>
        </w:tc>
        <w:tc>
          <w:tcPr>
            <w:tcW w:w="2340" w:type="dxa"/>
            <w:vAlign w:val="center"/>
            <w:hideMark/>
          </w:tcPr>
          <w:p w:rsidR="00177955" w:rsidRPr="002267F3" w:rsidRDefault="00177955" w:rsidP="00291612">
            <w:pPr>
              <w:jc w:val="center"/>
              <w:rPr>
                <w:sz w:val="20"/>
                <w:szCs w:val="20"/>
              </w:rPr>
            </w:pPr>
            <w:r w:rsidRPr="002267F3">
              <w:rPr>
                <w:sz w:val="20"/>
                <w:szCs w:val="20"/>
              </w:rPr>
              <w:t>17.0%</w:t>
            </w:r>
          </w:p>
        </w:tc>
      </w:tr>
      <w:tr w:rsidR="00177955" w:rsidRPr="00CC5C56" w:rsidTr="00291612">
        <w:trPr>
          <w:trHeight w:val="321"/>
        </w:trPr>
        <w:tc>
          <w:tcPr>
            <w:tcW w:w="216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2012-13</w:t>
            </w:r>
          </w:p>
        </w:tc>
        <w:tc>
          <w:tcPr>
            <w:tcW w:w="216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163,921</w:t>
            </w:r>
          </w:p>
        </w:tc>
        <w:tc>
          <w:tcPr>
            <w:tcW w:w="216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965,602</w:t>
            </w:r>
          </w:p>
        </w:tc>
        <w:tc>
          <w:tcPr>
            <w:tcW w:w="234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17.0%</w:t>
            </w:r>
          </w:p>
        </w:tc>
      </w:tr>
      <w:tr w:rsidR="00177955" w:rsidRPr="00CC5C56" w:rsidTr="00291612">
        <w:trPr>
          <w:trHeight w:val="321"/>
        </w:trPr>
        <w:tc>
          <w:tcPr>
            <w:tcW w:w="216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2013-14</w:t>
            </w:r>
          </w:p>
        </w:tc>
        <w:tc>
          <w:tcPr>
            <w:tcW w:w="2160" w:type="dxa"/>
            <w:tcBorders>
              <w:top w:val="nil"/>
              <w:left w:val="nil"/>
              <w:bottom w:val="nil"/>
              <w:right w:val="nil"/>
            </w:tcBorders>
            <w:vAlign w:val="center"/>
            <w:hideMark/>
          </w:tcPr>
          <w:p w:rsidR="00177955" w:rsidRPr="002267F3" w:rsidRDefault="00177955" w:rsidP="00291612">
            <w:pPr>
              <w:jc w:val="center"/>
              <w:rPr>
                <w:color w:val="000000"/>
                <w:sz w:val="20"/>
                <w:szCs w:val="20"/>
              </w:rPr>
            </w:pPr>
            <w:r w:rsidRPr="002267F3">
              <w:rPr>
                <w:color w:val="000000"/>
                <w:sz w:val="20"/>
                <w:szCs w:val="20"/>
              </w:rPr>
              <w:t>164,336</w:t>
            </w:r>
          </w:p>
        </w:tc>
        <w:tc>
          <w:tcPr>
            <w:tcW w:w="216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966,360</w:t>
            </w:r>
          </w:p>
        </w:tc>
        <w:tc>
          <w:tcPr>
            <w:tcW w:w="2340" w:type="dxa"/>
            <w:tcBorders>
              <w:top w:val="nil"/>
              <w:left w:val="nil"/>
              <w:bottom w:val="nil"/>
              <w:right w:val="nil"/>
            </w:tcBorders>
            <w:vAlign w:val="center"/>
            <w:hideMark/>
          </w:tcPr>
          <w:p w:rsidR="00177955" w:rsidRPr="002267F3" w:rsidRDefault="00177955" w:rsidP="00291612">
            <w:pPr>
              <w:jc w:val="center"/>
              <w:rPr>
                <w:sz w:val="20"/>
                <w:szCs w:val="20"/>
              </w:rPr>
            </w:pPr>
            <w:r w:rsidRPr="002267F3">
              <w:rPr>
                <w:sz w:val="20"/>
                <w:szCs w:val="20"/>
              </w:rPr>
              <w:t>17.0%</w:t>
            </w:r>
          </w:p>
        </w:tc>
      </w:tr>
      <w:tr w:rsidR="00177955" w:rsidRPr="00CC5C56" w:rsidTr="00291612">
        <w:trPr>
          <w:trHeight w:val="321"/>
        </w:trPr>
        <w:tc>
          <w:tcPr>
            <w:tcW w:w="2160" w:type="dxa"/>
            <w:tcBorders>
              <w:top w:val="nil"/>
              <w:left w:val="nil"/>
              <w:bottom w:val="single" w:sz="12" w:space="0" w:color="auto"/>
              <w:right w:val="nil"/>
            </w:tcBorders>
            <w:vAlign w:val="center"/>
            <w:hideMark/>
          </w:tcPr>
          <w:p w:rsidR="00177955" w:rsidRPr="002267F3" w:rsidRDefault="00177955" w:rsidP="00291612">
            <w:pPr>
              <w:jc w:val="center"/>
              <w:rPr>
                <w:sz w:val="20"/>
                <w:szCs w:val="20"/>
              </w:rPr>
            </w:pPr>
            <w:r w:rsidRPr="002267F3">
              <w:rPr>
                <w:sz w:val="20"/>
                <w:szCs w:val="20"/>
              </w:rPr>
              <w:t>2014-15</w:t>
            </w:r>
          </w:p>
        </w:tc>
        <w:tc>
          <w:tcPr>
            <w:tcW w:w="2160" w:type="dxa"/>
            <w:tcBorders>
              <w:top w:val="nil"/>
              <w:left w:val="nil"/>
              <w:bottom w:val="single" w:sz="12" w:space="0" w:color="auto"/>
              <w:right w:val="nil"/>
            </w:tcBorders>
            <w:vAlign w:val="center"/>
            <w:hideMark/>
          </w:tcPr>
          <w:p w:rsidR="00177955" w:rsidRPr="002267F3" w:rsidRDefault="00177955" w:rsidP="00291612">
            <w:pPr>
              <w:jc w:val="center"/>
              <w:rPr>
                <w:color w:val="000000"/>
                <w:sz w:val="20"/>
                <w:szCs w:val="20"/>
              </w:rPr>
            </w:pPr>
            <w:r w:rsidRPr="002267F3">
              <w:rPr>
                <w:color w:val="000000"/>
                <w:sz w:val="20"/>
                <w:szCs w:val="20"/>
              </w:rPr>
              <w:t>165,060</w:t>
            </w:r>
          </w:p>
        </w:tc>
        <w:tc>
          <w:tcPr>
            <w:tcW w:w="2160" w:type="dxa"/>
            <w:tcBorders>
              <w:top w:val="nil"/>
              <w:left w:val="nil"/>
              <w:bottom w:val="single" w:sz="12" w:space="0" w:color="auto"/>
              <w:right w:val="nil"/>
            </w:tcBorders>
            <w:vAlign w:val="center"/>
            <w:hideMark/>
          </w:tcPr>
          <w:p w:rsidR="00177955" w:rsidRPr="002267F3" w:rsidRDefault="00177955" w:rsidP="00291612">
            <w:pPr>
              <w:jc w:val="center"/>
              <w:rPr>
                <w:sz w:val="20"/>
                <w:szCs w:val="20"/>
              </w:rPr>
            </w:pPr>
            <w:r w:rsidRPr="002267F3">
              <w:rPr>
                <w:sz w:val="20"/>
                <w:szCs w:val="20"/>
              </w:rPr>
              <w:t>966,391</w:t>
            </w:r>
          </w:p>
        </w:tc>
        <w:tc>
          <w:tcPr>
            <w:tcW w:w="2340" w:type="dxa"/>
            <w:tcBorders>
              <w:top w:val="nil"/>
              <w:left w:val="nil"/>
              <w:bottom w:val="single" w:sz="12" w:space="0" w:color="auto"/>
              <w:right w:val="nil"/>
            </w:tcBorders>
            <w:vAlign w:val="center"/>
            <w:hideMark/>
          </w:tcPr>
          <w:p w:rsidR="00177955" w:rsidRPr="002267F3" w:rsidRDefault="00177955" w:rsidP="00291612">
            <w:pPr>
              <w:jc w:val="center"/>
              <w:rPr>
                <w:sz w:val="20"/>
                <w:szCs w:val="20"/>
              </w:rPr>
            </w:pPr>
            <w:r w:rsidRPr="002267F3">
              <w:rPr>
                <w:sz w:val="20"/>
                <w:szCs w:val="20"/>
              </w:rPr>
              <w:t>17.1%</w:t>
            </w:r>
          </w:p>
        </w:tc>
      </w:tr>
    </w:tbl>
    <w:p w:rsidR="00872D52" w:rsidRDefault="006A3D65" w:rsidP="0050432A">
      <w:pPr>
        <w:spacing w:after="120"/>
      </w:pPr>
      <w:bookmarkStart w:id="13" w:name="_Toc378583123"/>
      <w:bookmarkStart w:id="14" w:name="_Toc374012650"/>
      <w:bookmarkStart w:id="15" w:name="_Toc342312304"/>
      <w:bookmarkStart w:id="16" w:name="_Toc378585456"/>
      <w:r w:rsidRPr="00CB262E">
        <w:rPr>
          <w:i/>
          <w:sz w:val="18"/>
          <w:szCs w:val="18"/>
        </w:rPr>
        <w:t>Source: Massachusetts Student Information Management System</w:t>
      </w:r>
      <w:bookmarkEnd w:id="13"/>
      <w:bookmarkEnd w:id="14"/>
      <w:bookmarkEnd w:id="15"/>
      <w:bookmarkEnd w:id="16"/>
      <w:r w:rsidRPr="00CB262E">
        <w:rPr>
          <w:i/>
          <w:sz w:val="18"/>
          <w:szCs w:val="18"/>
        </w:rPr>
        <w:t xml:space="preserve"> </w:t>
      </w:r>
      <w:r w:rsidRPr="00CB262E">
        <w:rPr>
          <w:i/>
          <w:sz w:val="18"/>
          <w:szCs w:val="18"/>
        </w:rPr>
        <w:br/>
      </w:r>
      <w:bookmarkStart w:id="17" w:name="_Toc342312307"/>
      <w:bookmarkStart w:id="18" w:name="_Toc374012653"/>
      <w:bookmarkStart w:id="19" w:name="_Toc378583126"/>
      <w:bookmarkStart w:id="20" w:name="_Toc378598378"/>
    </w:p>
    <w:p w:rsidR="00872D52" w:rsidRDefault="00872D52">
      <w:r>
        <w:br w:type="page"/>
      </w:r>
    </w:p>
    <w:p w:rsidR="0047676C" w:rsidRDefault="0047676C" w:rsidP="00C921E3">
      <w:pPr>
        <w:pStyle w:val="Heading2"/>
        <w:spacing w:before="0" w:after="120"/>
      </w:pPr>
      <w:bookmarkStart w:id="21" w:name="_Toc441569624"/>
      <w:r w:rsidRPr="00BC47E6">
        <w:lastRenderedPageBreak/>
        <w:t xml:space="preserve">B. </w:t>
      </w:r>
      <w:bookmarkStart w:id="22" w:name="_Toc309819248"/>
      <w:r w:rsidRPr="00BC47E6">
        <w:tab/>
        <w:t>Student Identification by Disability Category</w:t>
      </w:r>
      <w:bookmarkEnd w:id="17"/>
      <w:bookmarkEnd w:id="18"/>
      <w:bookmarkEnd w:id="19"/>
      <w:bookmarkEnd w:id="20"/>
      <w:bookmarkEnd w:id="21"/>
      <w:bookmarkEnd w:id="22"/>
    </w:p>
    <w:p w:rsidR="00872D52" w:rsidRDefault="0047676C" w:rsidP="00872D52">
      <w:pPr>
        <w:spacing w:before="120" w:after="120"/>
      </w:pPr>
      <w:r w:rsidRPr="0072770E">
        <w:t xml:space="preserve">The following table identifies numbers and percentages of students with </w:t>
      </w:r>
      <w:r w:rsidR="00026488">
        <w:t>IEPs</w:t>
      </w:r>
      <w:r w:rsidR="0015790C">
        <w:t xml:space="preserve"> by disability category. FY11 and FY15</w:t>
      </w:r>
      <w:r w:rsidRPr="0072770E">
        <w:t xml:space="preserve"> data are used to illustrate change over a five-year period within categories. </w:t>
      </w:r>
      <w:r w:rsidR="00AC171C">
        <w:t>(</w:t>
      </w:r>
      <w:r w:rsidR="00AC171C" w:rsidRPr="00AC171C">
        <w:t xml:space="preserve">Values </w:t>
      </w:r>
      <w:r w:rsidR="00AC171C">
        <w:t xml:space="preserve">are </w:t>
      </w:r>
      <w:r w:rsidR="00AC171C" w:rsidRPr="00AC171C">
        <w:t>rounded to the nearest 0.1</w:t>
      </w:r>
      <w:r w:rsidR="00AC171C">
        <w:t>.)</w:t>
      </w:r>
    </w:p>
    <w:p w:rsidR="0047676C" w:rsidRPr="0072770E" w:rsidRDefault="0047676C" w:rsidP="00872D52">
      <w:pPr>
        <w:spacing w:before="120" w:after="120"/>
      </w:pPr>
      <w:r w:rsidRPr="0072770E">
        <w:rPr>
          <w:b/>
        </w:rPr>
        <w:t>Table 2: Number and Percentage of Disab</w:t>
      </w:r>
      <w:r w:rsidR="001C2708">
        <w:rPr>
          <w:b/>
        </w:rPr>
        <w:t>ility Categories Ages 3-21 (FY11 and FY15</w:t>
      </w:r>
      <w:r w:rsidRPr="0072770E">
        <w:rPr>
          <w:b/>
        </w:rPr>
        <w:t>)</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815"/>
        <w:gridCol w:w="1260"/>
        <w:gridCol w:w="1260"/>
        <w:gridCol w:w="1350"/>
        <w:gridCol w:w="1350"/>
        <w:gridCol w:w="1350"/>
      </w:tblGrid>
      <w:tr w:rsidR="009D5757" w:rsidRPr="00A3107E" w:rsidTr="00267A33">
        <w:trPr>
          <w:trHeight w:val="288"/>
        </w:trPr>
        <w:tc>
          <w:tcPr>
            <w:tcW w:w="2815" w:type="dxa"/>
            <w:vMerge w:val="restart"/>
            <w:vAlign w:val="center"/>
            <w:hideMark/>
          </w:tcPr>
          <w:p w:rsidR="009D5757" w:rsidRPr="00A3107E" w:rsidRDefault="009D5757" w:rsidP="00EA21FD">
            <w:pPr>
              <w:rPr>
                <w:b/>
                <w:sz w:val="20"/>
                <w:szCs w:val="20"/>
              </w:rPr>
            </w:pPr>
            <w:r w:rsidRPr="00A3107E">
              <w:rPr>
                <w:b/>
                <w:sz w:val="20"/>
                <w:szCs w:val="20"/>
              </w:rPr>
              <w:t>Primary Disability</w:t>
            </w:r>
          </w:p>
        </w:tc>
        <w:tc>
          <w:tcPr>
            <w:tcW w:w="2520" w:type="dxa"/>
            <w:gridSpan w:val="2"/>
            <w:vAlign w:val="center"/>
            <w:hideMark/>
          </w:tcPr>
          <w:p w:rsidR="009D5757" w:rsidRPr="00A3107E" w:rsidRDefault="009D5757" w:rsidP="00EA21FD">
            <w:pPr>
              <w:rPr>
                <w:b/>
                <w:sz w:val="20"/>
                <w:szCs w:val="20"/>
              </w:rPr>
            </w:pPr>
            <w:r w:rsidRPr="00A3107E">
              <w:rPr>
                <w:b/>
                <w:sz w:val="20"/>
                <w:szCs w:val="20"/>
              </w:rPr>
              <w:t>FY11</w:t>
            </w:r>
          </w:p>
        </w:tc>
        <w:tc>
          <w:tcPr>
            <w:tcW w:w="2700" w:type="dxa"/>
            <w:gridSpan w:val="2"/>
            <w:vAlign w:val="center"/>
            <w:hideMark/>
          </w:tcPr>
          <w:p w:rsidR="009D5757" w:rsidRPr="00A3107E" w:rsidRDefault="009D5757" w:rsidP="00EA21FD">
            <w:pPr>
              <w:rPr>
                <w:b/>
                <w:sz w:val="20"/>
                <w:szCs w:val="20"/>
              </w:rPr>
            </w:pPr>
            <w:r w:rsidRPr="00A3107E">
              <w:rPr>
                <w:b/>
                <w:sz w:val="20"/>
                <w:szCs w:val="20"/>
              </w:rPr>
              <w:t>FY15</w:t>
            </w:r>
          </w:p>
        </w:tc>
        <w:tc>
          <w:tcPr>
            <w:tcW w:w="1350" w:type="dxa"/>
            <w:vAlign w:val="center"/>
          </w:tcPr>
          <w:p w:rsidR="009D5757" w:rsidRPr="00A3107E" w:rsidRDefault="00D86474" w:rsidP="009D5757">
            <w:pPr>
              <w:rPr>
                <w:b/>
                <w:sz w:val="20"/>
                <w:szCs w:val="20"/>
              </w:rPr>
            </w:pPr>
            <w:r w:rsidRPr="00A3107E">
              <w:rPr>
                <w:b/>
                <w:sz w:val="20"/>
                <w:szCs w:val="20"/>
              </w:rPr>
              <w:t>Percentage Change</w:t>
            </w:r>
          </w:p>
        </w:tc>
      </w:tr>
      <w:tr w:rsidR="00267A33" w:rsidRPr="00A3107E" w:rsidTr="00267A33">
        <w:trPr>
          <w:trHeight w:val="258"/>
        </w:trPr>
        <w:tc>
          <w:tcPr>
            <w:tcW w:w="2815" w:type="dxa"/>
            <w:vMerge/>
            <w:vAlign w:val="center"/>
            <w:hideMark/>
          </w:tcPr>
          <w:p w:rsidR="009D5757" w:rsidRPr="00A3107E" w:rsidRDefault="009D5757" w:rsidP="00EA21FD">
            <w:pPr>
              <w:rPr>
                <w:sz w:val="20"/>
                <w:szCs w:val="20"/>
              </w:rPr>
            </w:pPr>
          </w:p>
        </w:tc>
        <w:tc>
          <w:tcPr>
            <w:tcW w:w="1260" w:type="dxa"/>
            <w:vAlign w:val="center"/>
            <w:hideMark/>
          </w:tcPr>
          <w:p w:rsidR="009D5757" w:rsidRPr="00A3107E" w:rsidRDefault="009D5757" w:rsidP="00EA21FD">
            <w:pPr>
              <w:rPr>
                <w:rFonts w:eastAsiaTheme="majorEastAsia"/>
                <w:color w:val="243F60" w:themeColor="accent1" w:themeShade="7F"/>
                <w:sz w:val="20"/>
                <w:szCs w:val="20"/>
              </w:rPr>
            </w:pPr>
            <w:r w:rsidRPr="00A3107E">
              <w:rPr>
                <w:sz w:val="20"/>
                <w:szCs w:val="20"/>
              </w:rPr>
              <w:t>#</w:t>
            </w:r>
          </w:p>
        </w:tc>
        <w:tc>
          <w:tcPr>
            <w:tcW w:w="1260" w:type="dxa"/>
            <w:vAlign w:val="center"/>
            <w:hideMark/>
          </w:tcPr>
          <w:p w:rsidR="009D5757" w:rsidRPr="00A3107E" w:rsidRDefault="009D5757" w:rsidP="00EA21FD">
            <w:pPr>
              <w:rPr>
                <w:rFonts w:eastAsiaTheme="majorEastAsia"/>
                <w:color w:val="243F60" w:themeColor="accent1" w:themeShade="7F"/>
                <w:sz w:val="20"/>
                <w:szCs w:val="20"/>
              </w:rPr>
            </w:pPr>
            <w:r w:rsidRPr="00A3107E">
              <w:rPr>
                <w:sz w:val="20"/>
                <w:szCs w:val="20"/>
              </w:rPr>
              <w:t>%</w:t>
            </w:r>
          </w:p>
        </w:tc>
        <w:tc>
          <w:tcPr>
            <w:tcW w:w="1350" w:type="dxa"/>
            <w:vAlign w:val="center"/>
            <w:hideMark/>
          </w:tcPr>
          <w:p w:rsidR="009D5757" w:rsidRPr="00A3107E" w:rsidRDefault="009D5757" w:rsidP="00EA21FD">
            <w:pPr>
              <w:rPr>
                <w:rFonts w:eastAsiaTheme="majorEastAsia"/>
                <w:color w:val="243F60" w:themeColor="accent1" w:themeShade="7F"/>
                <w:sz w:val="20"/>
                <w:szCs w:val="20"/>
              </w:rPr>
            </w:pPr>
            <w:r w:rsidRPr="00A3107E">
              <w:rPr>
                <w:sz w:val="20"/>
                <w:szCs w:val="20"/>
              </w:rPr>
              <w:t>#</w:t>
            </w:r>
          </w:p>
        </w:tc>
        <w:tc>
          <w:tcPr>
            <w:tcW w:w="1350" w:type="dxa"/>
            <w:vAlign w:val="center"/>
            <w:hideMark/>
          </w:tcPr>
          <w:p w:rsidR="009D5757" w:rsidRPr="00A3107E" w:rsidRDefault="009D5757" w:rsidP="00EA21FD">
            <w:pPr>
              <w:rPr>
                <w:rFonts w:eastAsiaTheme="majorEastAsia"/>
                <w:color w:val="243F60" w:themeColor="accent1" w:themeShade="7F"/>
                <w:sz w:val="20"/>
                <w:szCs w:val="20"/>
              </w:rPr>
            </w:pPr>
            <w:r w:rsidRPr="00A3107E">
              <w:rPr>
                <w:sz w:val="20"/>
                <w:szCs w:val="20"/>
              </w:rPr>
              <w:t>%</w:t>
            </w:r>
          </w:p>
        </w:tc>
        <w:tc>
          <w:tcPr>
            <w:tcW w:w="1350" w:type="dxa"/>
            <w:vAlign w:val="center"/>
          </w:tcPr>
          <w:p w:rsidR="009D5757" w:rsidRPr="00C4016D" w:rsidRDefault="00D86474" w:rsidP="009D5757">
            <w:pPr>
              <w:rPr>
                <w:rFonts w:eastAsiaTheme="majorEastAsia"/>
                <w:sz w:val="20"/>
                <w:szCs w:val="20"/>
              </w:rPr>
            </w:pPr>
            <w:r w:rsidRPr="00C4016D">
              <w:rPr>
                <w:rFonts w:eastAsiaTheme="majorEastAsia"/>
                <w:sz w:val="20"/>
                <w:szCs w:val="20"/>
              </w:rPr>
              <w:t>%</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Specific Learning Disability</w:t>
            </w:r>
          </w:p>
        </w:tc>
        <w:tc>
          <w:tcPr>
            <w:tcW w:w="1260" w:type="dxa"/>
            <w:vAlign w:val="bottom"/>
            <w:hideMark/>
          </w:tcPr>
          <w:p w:rsidR="00D86474" w:rsidRPr="00A3107E" w:rsidRDefault="00D86474" w:rsidP="00EA21FD">
            <w:pPr>
              <w:rPr>
                <w:sz w:val="20"/>
                <w:szCs w:val="20"/>
              </w:rPr>
            </w:pPr>
            <w:r w:rsidRPr="00A3107E">
              <w:rPr>
                <w:color w:val="000000"/>
                <w:sz w:val="20"/>
                <w:szCs w:val="20"/>
              </w:rPr>
              <w:t>51,900</w:t>
            </w:r>
          </w:p>
        </w:tc>
        <w:tc>
          <w:tcPr>
            <w:tcW w:w="1260" w:type="dxa"/>
            <w:vAlign w:val="bottom"/>
            <w:hideMark/>
          </w:tcPr>
          <w:p w:rsidR="00D86474" w:rsidRPr="00A3107E" w:rsidRDefault="00D86474" w:rsidP="00EA21FD">
            <w:pPr>
              <w:rPr>
                <w:sz w:val="20"/>
                <w:szCs w:val="20"/>
              </w:rPr>
            </w:pPr>
            <w:r w:rsidRPr="00A3107E">
              <w:rPr>
                <w:sz w:val="20"/>
                <w:szCs w:val="20"/>
              </w:rPr>
              <w:t>31.5</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42,339</w:t>
            </w:r>
          </w:p>
        </w:tc>
        <w:tc>
          <w:tcPr>
            <w:tcW w:w="1350" w:type="dxa"/>
            <w:vAlign w:val="bottom"/>
            <w:hideMark/>
          </w:tcPr>
          <w:p w:rsidR="00D86474" w:rsidRPr="00A3107E" w:rsidRDefault="00D86474" w:rsidP="00EA21FD">
            <w:pPr>
              <w:rPr>
                <w:sz w:val="20"/>
                <w:szCs w:val="20"/>
              </w:rPr>
            </w:pPr>
            <w:r w:rsidRPr="00A3107E">
              <w:rPr>
                <w:sz w:val="20"/>
                <w:szCs w:val="20"/>
              </w:rPr>
              <w:t>25.7</w:t>
            </w:r>
          </w:p>
        </w:tc>
        <w:tc>
          <w:tcPr>
            <w:tcW w:w="1350" w:type="dxa"/>
            <w:vAlign w:val="bottom"/>
          </w:tcPr>
          <w:p w:rsidR="00D86474" w:rsidRPr="00A3107E" w:rsidRDefault="00D86474" w:rsidP="009D5757">
            <w:pPr>
              <w:rPr>
                <w:sz w:val="20"/>
                <w:szCs w:val="20"/>
              </w:rPr>
            </w:pPr>
            <w:r w:rsidRPr="00A3107E">
              <w:rPr>
                <w:sz w:val="20"/>
                <w:szCs w:val="20"/>
              </w:rPr>
              <w:t>- 5.8</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Communication</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29,173</w:t>
            </w:r>
          </w:p>
        </w:tc>
        <w:tc>
          <w:tcPr>
            <w:tcW w:w="1260" w:type="dxa"/>
            <w:vAlign w:val="bottom"/>
            <w:hideMark/>
          </w:tcPr>
          <w:p w:rsidR="00D86474" w:rsidRPr="00A3107E" w:rsidRDefault="00D86474" w:rsidP="00EA21FD">
            <w:pPr>
              <w:rPr>
                <w:sz w:val="20"/>
                <w:szCs w:val="20"/>
              </w:rPr>
            </w:pPr>
            <w:r w:rsidRPr="00A3107E">
              <w:rPr>
                <w:sz w:val="20"/>
                <w:szCs w:val="20"/>
              </w:rPr>
              <w:t>17.7</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27,486</w:t>
            </w:r>
          </w:p>
        </w:tc>
        <w:tc>
          <w:tcPr>
            <w:tcW w:w="1350" w:type="dxa"/>
            <w:vAlign w:val="bottom"/>
            <w:hideMark/>
          </w:tcPr>
          <w:p w:rsidR="00D86474" w:rsidRPr="00A3107E" w:rsidRDefault="00D86474" w:rsidP="00EA21FD">
            <w:pPr>
              <w:rPr>
                <w:sz w:val="20"/>
                <w:szCs w:val="20"/>
              </w:rPr>
            </w:pPr>
            <w:r w:rsidRPr="00A3107E">
              <w:rPr>
                <w:sz w:val="20"/>
                <w:szCs w:val="20"/>
              </w:rPr>
              <w:t>16.7</w:t>
            </w:r>
          </w:p>
        </w:tc>
        <w:tc>
          <w:tcPr>
            <w:tcW w:w="1350" w:type="dxa"/>
            <w:vAlign w:val="bottom"/>
          </w:tcPr>
          <w:p w:rsidR="00D86474" w:rsidRPr="00A3107E" w:rsidRDefault="00D86474" w:rsidP="009D5757">
            <w:pPr>
              <w:rPr>
                <w:sz w:val="20"/>
                <w:szCs w:val="20"/>
              </w:rPr>
            </w:pPr>
            <w:r w:rsidRPr="00A3107E">
              <w:rPr>
                <w:sz w:val="20"/>
                <w:szCs w:val="20"/>
              </w:rPr>
              <w:t>- 1.0</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Health</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13,966</w:t>
            </w:r>
          </w:p>
        </w:tc>
        <w:tc>
          <w:tcPr>
            <w:tcW w:w="1260" w:type="dxa"/>
            <w:vAlign w:val="bottom"/>
            <w:hideMark/>
          </w:tcPr>
          <w:p w:rsidR="00D86474" w:rsidRPr="00A3107E" w:rsidRDefault="00D86474" w:rsidP="00EA21FD">
            <w:pPr>
              <w:rPr>
                <w:sz w:val="20"/>
                <w:szCs w:val="20"/>
              </w:rPr>
            </w:pPr>
            <w:r w:rsidRPr="00A3107E">
              <w:rPr>
                <w:sz w:val="20"/>
                <w:szCs w:val="20"/>
              </w:rPr>
              <w:t>8.5</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19,559</w:t>
            </w:r>
          </w:p>
        </w:tc>
        <w:tc>
          <w:tcPr>
            <w:tcW w:w="1350" w:type="dxa"/>
            <w:vAlign w:val="bottom"/>
            <w:hideMark/>
          </w:tcPr>
          <w:p w:rsidR="00D86474" w:rsidRPr="00A3107E" w:rsidRDefault="00D86474" w:rsidP="00EA21FD">
            <w:pPr>
              <w:rPr>
                <w:sz w:val="20"/>
                <w:szCs w:val="20"/>
              </w:rPr>
            </w:pPr>
            <w:r w:rsidRPr="00A3107E">
              <w:rPr>
                <w:sz w:val="20"/>
                <w:szCs w:val="20"/>
              </w:rPr>
              <w:t>11.9</w:t>
            </w:r>
          </w:p>
        </w:tc>
        <w:tc>
          <w:tcPr>
            <w:tcW w:w="1350" w:type="dxa"/>
            <w:vAlign w:val="bottom"/>
          </w:tcPr>
          <w:p w:rsidR="00D86474" w:rsidRPr="00A3107E" w:rsidRDefault="00D86474" w:rsidP="009D5757">
            <w:pPr>
              <w:rPr>
                <w:sz w:val="20"/>
                <w:szCs w:val="20"/>
              </w:rPr>
            </w:pPr>
            <w:r w:rsidRPr="00A3107E">
              <w:rPr>
                <w:sz w:val="20"/>
                <w:szCs w:val="20"/>
              </w:rPr>
              <w:t>+ 3.4</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Developmental Delay</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17,635</w:t>
            </w:r>
          </w:p>
        </w:tc>
        <w:tc>
          <w:tcPr>
            <w:tcW w:w="1260" w:type="dxa"/>
            <w:vAlign w:val="bottom"/>
            <w:hideMark/>
          </w:tcPr>
          <w:p w:rsidR="00D86474" w:rsidRPr="00A3107E" w:rsidRDefault="00D86474" w:rsidP="00EA21FD">
            <w:pPr>
              <w:rPr>
                <w:sz w:val="20"/>
                <w:szCs w:val="20"/>
              </w:rPr>
            </w:pPr>
            <w:r w:rsidRPr="00A3107E">
              <w:rPr>
                <w:sz w:val="20"/>
                <w:szCs w:val="20"/>
              </w:rPr>
              <w:t>10.7</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17,896</w:t>
            </w:r>
          </w:p>
        </w:tc>
        <w:tc>
          <w:tcPr>
            <w:tcW w:w="1350" w:type="dxa"/>
            <w:vAlign w:val="bottom"/>
            <w:hideMark/>
          </w:tcPr>
          <w:p w:rsidR="00D86474" w:rsidRPr="00A3107E" w:rsidRDefault="00D86474" w:rsidP="00EA21FD">
            <w:pPr>
              <w:rPr>
                <w:sz w:val="20"/>
                <w:szCs w:val="20"/>
              </w:rPr>
            </w:pPr>
            <w:r w:rsidRPr="00A3107E">
              <w:rPr>
                <w:sz w:val="20"/>
                <w:szCs w:val="20"/>
              </w:rPr>
              <w:t>10.8</w:t>
            </w:r>
          </w:p>
        </w:tc>
        <w:tc>
          <w:tcPr>
            <w:tcW w:w="1350" w:type="dxa"/>
            <w:vAlign w:val="bottom"/>
          </w:tcPr>
          <w:p w:rsidR="00D86474" w:rsidRPr="00A3107E" w:rsidRDefault="00D86474" w:rsidP="009D5757">
            <w:pPr>
              <w:rPr>
                <w:sz w:val="20"/>
                <w:szCs w:val="20"/>
              </w:rPr>
            </w:pPr>
            <w:r w:rsidRPr="00A3107E">
              <w:rPr>
                <w:sz w:val="20"/>
                <w:szCs w:val="20"/>
              </w:rPr>
              <w:t>+ 0.1</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Autism</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12,058</w:t>
            </w:r>
          </w:p>
        </w:tc>
        <w:tc>
          <w:tcPr>
            <w:tcW w:w="1260" w:type="dxa"/>
            <w:vAlign w:val="bottom"/>
            <w:hideMark/>
          </w:tcPr>
          <w:p w:rsidR="00D86474" w:rsidRPr="00A3107E" w:rsidRDefault="00D86474" w:rsidP="00EA21FD">
            <w:pPr>
              <w:rPr>
                <w:sz w:val="20"/>
                <w:szCs w:val="20"/>
              </w:rPr>
            </w:pPr>
            <w:r w:rsidRPr="00A3107E">
              <w:rPr>
                <w:sz w:val="20"/>
                <w:szCs w:val="20"/>
              </w:rPr>
              <w:t>7.3</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17,365</w:t>
            </w:r>
          </w:p>
        </w:tc>
        <w:tc>
          <w:tcPr>
            <w:tcW w:w="1350" w:type="dxa"/>
            <w:vAlign w:val="bottom"/>
            <w:hideMark/>
          </w:tcPr>
          <w:p w:rsidR="00D86474" w:rsidRPr="00A3107E" w:rsidRDefault="00D86474" w:rsidP="00EA21FD">
            <w:pPr>
              <w:rPr>
                <w:sz w:val="20"/>
                <w:szCs w:val="20"/>
              </w:rPr>
            </w:pPr>
            <w:r w:rsidRPr="00A3107E">
              <w:rPr>
                <w:sz w:val="20"/>
                <w:szCs w:val="20"/>
              </w:rPr>
              <w:t>10.5</w:t>
            </w:r>
          </w:p>
        </w:tc>
        <w:tc>
          <w:tcPr>
            <w:tcW w:w="1350" w:type="dxa"/>
            <w:vAlign w:val="bottom"/>
          </w:tcPr>
          <w:p w:rsidR="00D86474" w:rsidRPr="00A3107E" w:rsidRDefault="00D86474" w:rsidP="009D5757">
            <w:pPr>
              <w:rPr>
                <w:sz w:val="20"/>
                <w:szCs w:val="20"/>
              </w:rPr>
            </w:pPr>
            <w:r w:rsidRPr="00A3107E">
              <w:rPr>
                <w:sz w:val="20"/>
                <w:szCs w:val="20"/>
              </w:rPr>
              <w:t>+ 3.2</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Emotional</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13,964</w:t>
            </w:r>
          </w:p>
        </w:tc>
        <w:tc>
          <w:tcPr>
            <w:tcW w:w="1260" w:type="dxa"/>
            <w:vAlign w:val="bottom"/>
            <w:hideMark/>
          </w:tcPr>
          <w:p w:rsidR="00D86474" w:rsidRPr="00A3107E" w:rsidRDefault="00D86474" w:rsidP="00EA21FD">
            <w:pPr>
              <w:rPr>
                <w:sz w:val="20"/>
                <w:szCs w:val="20"/>
              </w:rPr>
            </w:pPr>
            <w:r w:rsidRPr="00A3107E">
              <w:rPr>
                <w:sz w:val="20"/>
                <w:szCs w:val="20"/>
              </w:rPr>
              <w:t>8.5</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14,761</w:t>
            </w:r>
          </w:p>
        </w:tc>
        <w:tc>
          <w:tcPr>
            <w:tcW w:w="1350" w:type="dxa"/>
            <w:vAlign w:val="bottom"/>
            <w:hideMark/>
          </w:tcPr>
          <w:p w:rsidR="00D86474" w:rsidRPr="00A3107E" w:rsidRDefault="00D86474" w:rsidP="00EA21FD">
            <w:pPr>
              <w:rPr>
                <w:sz w:val="20"/>
                <w:szCs w:val="20"/>
              </w:rPr>
            </w:pPr>
            <w:r w:rsidRPr="00A3107E">
              <w:rPr>
                <w:sz w:val="20"/>
                <w:szCs w:val="20"/>
              </w:rPr>
              <w:t>8.9</w:t>
            </w:r>
          </w:p>
        </w:tc>
        <w:tc>
          <w:tcPr>
            <w:tcW w:w="1350" w:type="dxa"/>
            <w:vAlign w:val="bottom"/>
          </w:tcPr>
          <w:p w:rsidR="00D86474" w:rsidRPr="00A3107E" w:rsidRDefault="00D86474" w:rsidP="009D5757">
            <w:pPr>
              <w:rPr>
                <w:sz w:val="20"/>
                <w:szCs w:val="20"/>
              </w:rPr>
            </w:pPr>
            <w:r w:rsidRPr="00A3107E">
              <w:rPr>
                <w:sz w:val="20"/>
                <w:szCs w:val="20"/>
              </w:rPr>
              <w:t>+ 0.4</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Neurological</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7,436</w:t>
            </w:r>
          </w:p>
        </w:tc>
        <w:tc>
          <w:tcPr>
            <w:tcW w:w="1260" w:type="dxa"/>
            <w:vAlign w:val="bottom"/>
            <w:hideMark/>
          </w:tcPr>
          <w:p w:rsidR="00D86474" w:rsidRPr="00A3107E" w:rsidRDefault="00D86474" w:rsidP="00EA21FD">
            <w:pPr>
              <w:rPr>
                <w:sz w:val="20"/>
                <w:szCs w:val="20"/>
              </w:rPr>
            </w:pPr>
            <w:r w:rsidRPr="00A3107E">
              <w:rPr>
                <w:sz w:val="20"/>
                <w:szCs w:val="20"/>
              </w:rPr>
              <w:t>4.5</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9,077</w:t>
            </w:r>
          </w:p>
        </w:tc>
        <w:tc>
          <w:tcPr>
            <w:tcW w:w="1350" w:type="dxa"/>
            <w:vAlign w:val="bottom"/>
            <w:hideMark/>
          </w:tcPr>
          <w:p w:rsidR="00D86474" w:rsidRPr="00A3107E" w:rsidRDefault="00D86474" w:rsidP="00EA21FD">
            <w:pPr>
              <w:rPr>
                <w:sz w:val="20"/>
                <w:szCs w:val="20"/>
              </w:rPr>
            </w:pPr>
            <w:r w:rsidRPr="00A3107E">
              <w:rPr>
                <w:sz w:val="20"/>
                <w:szCs w:val="20"/>
              </w:rPr>
              <w:t>5.5</w:t>
            </w:r>
          </w:p>
        </w:tc>
        <w:tc>
          <w:tcPr>
            <w:tcW w:w="1350" w:type="dxa"/>
            <w:vAlign w:val="bottom"/>
          </w:tcPr>
          <w:p w:rsidR="00D86474" w:rsidRPr="00A3107E" w:rsidRDefault="00D86474" w:rsidP="009D5757">
            <w:pPr>
              <w:rPr>
                <w:sz w:val="20"/>
                <w:szCs w:val="20"/>
              </w:rPr>
            </w:pPr>
            <w:r w:rsidRPr="00A3107E">
              <w:rPr>
                <w:sz w:val="20"/>
                <w:szCs w:val="20"/>
              </w:rPr>
              <w:t>+ 1.0</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Intellectual</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10,374</w:t>
            </w:r>
          </w:p>
        </w:tc>
        <w:tc>
          <w:tcPr>
            <w:tcW w:w="1260" w:type="dxa"/>
            <w:vAlign w:val="bottom"/>
            <w:hideMark/>
          </w:tcPr>
          <w:p w:rsidR="00D86474" w:rsidRPr="00A3107E" w:rsidRDefault="00D86474" w:rsidP="00EA21FD">
            <w:pPr>
              <w:rPr>
                <w:sz w:val="20"/>
                <w:szCs w:val="20"/>
              </w:rPr>
            </w:pPr>
            <w:r w:rsidRPr="00A3107E">
              <w:rPr>
                <w:sz w:val="20"/>
                <w:szCs w:val="20"/>
              </w:rPr>
              <w:t>6.3</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8,995</w:t>
            </w:r>
          </w:p>
        </w:tc>
        <w:tc>
          <w:tcPr>
            <w:tcW w:w="1350" w:type="dxa"/>
            <w:vAlign w:val="bottom"/>
            <w:hideMark/>
          </w:tcPr>
          <w:p w:rsidR="00D86474" w:rsidRPr="00A3107E" w:rsidRDefault="00D86474" w:rsidP="00EA21FD">
            <w:pPr>
              <w:rPr>
                <w:sz w:val="20"/>
                <w:szCs w:val="20"/>
              </w:rPr>
            </w:pPr>
            <w:r w:rsidRPr="00A3107E">
              <w:rPr>
                <w:sz w:val="20"/>
                <w:szCs w:val="20"/>
              </w:rPr>
              <w:t>5.5</w:t>
            </w:r>
          </w:p>
        </w:tc>
        <w:tc>
          <w:tcPr>
            <w:tcW w:w="1350" w:type="dxa"/>
            <w:vAlign w:val="bottom"/>
          </w:tcPr>
          <w:p w:rsidR="00D86474" w:rsidRPr="00A3107E" w:rsidRDefault="00D86474" w:rsidP="009D5757">
            <w:pPr>
              <w:rPr>
                <w:sz w:val="20"/>
                <w:szCs w:val="20"/>
              </w:rPr>
            </w:pPr>
            <w:r w:rsidRPr="00A3107E">
              <w:rPr>
                <w:sz w:val="20"/>
                <w:szCs w:val="20"/>
              </w:rPr>
              <w:t>- 0.8</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Multiple Disabilities</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4,726</w:t>
            </w:r>
          </w:p>
        </w:tc>
        <w:tc>
          <w:tcPr>
            <w:tcW w:w="1260" w:type="dxa"/>
            <w:vAlign w:val="bottom"/>
            <w:hideMark/>
          </w:tcPr>
          <w:p w:rsidR="00D86474" w:rsidRPr="00A3107E" w:rsidRDefault="00D86474" w:rsidP="00EA21FD">
            <w:pPr>
              <w:rPr>
                <w:sz w:val="20"/>
                <w:szCs w:val="20"/>
              </w:rPr>
            </w:pPr>
            <w:r w:rsidRPr="00A3107E">
              <w:rPr>
                <w:sz w:val="20"/>
                <w:szCs w:val="20"/>
              </w:rPr>
              <w:t>2.9</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4,357</w:t>
            </w:r>
          </w:p>
        </w:tc>
        <w:tc>
          <w:tcPr>
            <w:tcW w:w="1350" w:type="dxa"/>
            <w:vAlign w:val="bottom"/>
            <w:hideMark/>
          </w:tcPr>
          <w:p w:rsidR="00D86474" w:rsidRPr="00A3107E" w:rsidRDefault="00D86474" w:rsidP="00EA21FD">
            <w:pPr>
              <w:rPr>
                <w:sz w:val="20"/>
                <w:szCs w:val="20"/>
              </w:rPr>
            </w:pPr>
            <w:r w:rsidRPr="00A3107E">
              <w:rPr>
                <w:sz w:val="20"/>
                <w:szCs w:val="20"/>
              </w:rPr>
              <w:t>2.6</w:t>
            </w:r>
          </w:p>
        </w:tc>
        <w:tc>
          <w:tcPr>
            <w:tcW w:w="1350" w:type="dxa"/>
            <w:vAlign w:val="bottom"/>
          </w:tcPr>
          <w:p w:rsidR="00D86474" w:rsidRPr="00A3107E" w:rsidRDefault="00D86474" w:rsidP="009D5757">
            <w:pPr>
              <w:rPr>
                <w:sz w:val="20"/>
                <w:szCs w:val="20"/>
              </w:rPr>
            </w:pPr>
            <w:r w:rsidRPr="00A3107E">
              <w:rPr>
                <w:sz w:val="20"/>
                <w:szCs w:val="20"/>
              </w:rPr>
              <w:t>- 0.3</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Physical</w:t>
            </w:r>
          </w:p>
        </w:tc>
        <w:tc>
          <w:tcPr>
            <w:tcW w:w="1260" w:type="dxa"/>
            <w:vAlign w:val="bottom"/>
            <w:hideMark/>
          </w:tcPr>
          <w:p w:rsidR="00D86474" w:rsidRPr="00A3107E" w:rsidRDefault="00D86474" w:rsidP="00EA21FD">
            <w:pPr>
              <w:rPr>
                <w:rFonts w:eastAsiaTheme="majorEastAsia"/>
                <w:sz w:val="20"/>
                <w:szCs w:val="20"/>
              </w:rPr>
            </w:pPr>
            <w:r w:rsidRPr="00A3107E">
              <w:rPr>
                <w:color w:val="000000"/>
                <w:sz w:val="20"/>
                <w:szCs w:val="20"/>
              </w:rPr>
              <w:t>1,460</w:t>
            </w:r>
          </w:p>
        </w:tc>
        <w:tc>
          <w:tcPr>
            <w:tcW w:w="1260" w:type="dxa"/>
            <w:vAlign w:val="bottom"/>
            <w:hideMark/>
          </w:tcPr>
          <w:p w:rsidR="00D86474" w:rsidRPr="00A3107E" w:rsidRDefault="00D86474" w:rsidP="00EA21FD">
            <w:pPr>
              <w:rPr>
                <w:sz w:val="20"/>
                <w:szCs w:val="20"/>
              </w:rPr>
            </w:pPr>
            <w:r w:rsidRPr="00A3107E">
              <w:rPr>
                <w:sz w:val="20"/>
                <w:szCs w:val="20"/>
              </w:rPr>
              <w:t>0.9</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1,232</w:t>
            </w:r>
          </w:p>
        </w:tc>
        <w:tc>
          <w:tcPr>
            <w:tcW w:w="1350" w:type="dxa"/>
            <w:vAlign w:val="bottom"/>
            <w:hideMark/>
          </w:tcPr>
          <w:p w:rsidR="00D86474" w:rsidRPr="00A3107E" w:rsidRDefault="00D86474" w:rsidP="00EA21FD">
            <w:pPr>
              <w:rPr>
                <w:sz w:val="20"/>
                <w:szCs w:val="20"/>
              </w:rPr>
            </w:pPr>
            <w:r w:rsidRPr="00A3107E">
              <w:rPr>
                <w:sz w:val="20"/>
                <w:szCs w:val="20"/>
              </w:rPr>
              <w:t>0.8</w:t>
            </w:r>
          </w:p>
        </w:tc>
        <w:tc>
          <w:tcPr>
            <w:tcW w:w="1350" w:type="dxa"/>
            <w:vAlign w:val="bottom"/>
          </w:tcPr>
          <w:p w:rsidR="00D86474" w:rsidRPr="00A3107E" w:rsidRDefault="00D86474" w:rsidP="009D5757">
            <w:pPr>
              <w:rPr>
                <w:sz w:val="20"/>
                <w:szCs w:val="20"/>
              </w:rPr>
            </w:pPr>
            <w:r w:rsidRPr="00A3107E">
              <w:rPr>
                <w:sz w:val="20"/>
                <w:szCs w:val="20"/>
              </w:rPr>
              <w:t>- 0.1</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Sensory/Hard of Hearing</w:t>
            </w:r>
          </w:p>
        </w:tc>
        <w:tc>
          <w:tcPr>
            <w:tcW w:w="1260" w:type="dxa"/>
            <w:vAlign w:val="bottom"/>
            <w:hideMark/>
          </w:tcPr>
          <w:p w:rsidR="00D86474" w:rsidRPr="00A3107E" w:rsidRDefault="00D86474" w:rsidP="00EA21FD">
            <w:pPr>
              <w:rPr>
                <w:sz w:val="20"/>
                <w:szCs w:val="20"/>
              </w:rPr>
            </w:pPr>
            <w:r w:rsidRPr="00A3107E">
              <w:rPr>
                <w:color w:val="000000"/>
                <w:sz w:val="20"/>
                <w:szCs w:val="20"/>
              </w:rPr>
              <w:t>1,226</w:t>
            </w:r>
          </w:p>
        </w:tc>
        <w:tc>
          <w:tcPr>
            <w:tcW w:w="1260" w:type="dxa"/>
            <w:vAlign w:val="bottom"/>
            <w:hideMark/>
          </w:tcPr>
          <w:p w:rsidR="00D86474" w:rsidRPr="00A3107E" w:rsidRDefault="00D86474" w:rsidP="00EA21FD">
            <w:pPr>
              <w:rPr>
                <w:sz w:val="20"/>
                <w:szCs w:val="20"/>
              </w:rPr>
            </w:pPr>
            <w:r w:rsidRPr="00A3107E">
              <w:rPr>
                <w:sz w:val="20"/>
                <w:szCs w:val="20"/>
              </w:rPr>
              <w:t>0.7</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1,221</w:t>
            </w:r>
          </w:p>
        </w:tc>
        <w:tc>
          <w:tcPr>
            <w:tcW w:w="1350" w:type="dxa"/>
            <w:vAlign w:val="bottom"/>
            <w:hideMark/>
          </w:tcPr>
          <w:p w:rsidR="00D86474" w:rsidRPr="00A3107E" w:rsidRDefault="00D86474" w:rsidP="00EA21FD">
            <w:pPr>
              <w:rPr>
                <w:sz w:val="20"/>
                <w:szCs w:val="20"/>
              </w:rPr>
            </w:pPr>
            <w:r w:rsidRPr="00A3107E">
              <w:rPr>
                <w:sz w:val="20"/>
                <w:szCs w:val="20"/>
              </w:rPr>
              <w:t>0.7</w:t>
            </w:r>
          </w:p>
        </w:tc>
        <w:tc>
          <w:tcPr>
            <w:tcW w:w="1350" w:type="dxa"/>
            <w:vAlign w:val="bottom"/>
          </w:tcPr>
          <w:p w:rsidR="00D86474" w:rsidRPr="00A3107E" w:rsidRDefault="00D86474" w:rsidP="009D5757">
            <w:pPr>
              <w:rPr>
                <w:sz w:val="20"/>
                <w:szCs w:val="20"/>
              </w:rPr>
            </w:pPr>
            <w:r w:rsidRPr="00A3107E">
              <w:rPr>
                <w:sz w:val="20"/>
                <w:szCs w:val="20"/>
              </w:rPr>
              <w:t xml:space="preserve">  ---</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Sensory/Vision Impairment</w:t>
            </w:r>
          </w:p>
        </w:tc>
        <w:tc>
          <w:tcPr>
            <w:tcW w:w="1260" w:type="dxa"/>
            <w:vAlign w:val="bottom"/>
            <w:hideMark/>
          </w:tcPr>
          <w:p w:rsidR="00D86474" w:rsidRPr="00A3107E" w:rsidRDefault="00D86474" w:rsidP="00EA21FD">
            <w:pPr>
              <w:rPr>
                <w:sz w:val="20"/>
                <w:szCs w:val="20"/>
              </w:rPr>
            </w:pPr>
            <w:r w:rsidRPr="00A3107E">
              <w:rPr>
                <w:color w:val="000000"/>
                <w:sz w:val="20"/>
                <w:szCs w:val="20"/>
              </w:rPr>
              <w:t>592</w:t>
            </w:r>
          </w:p>
        </w:tc>
        <w:tc>
          <w:tcPr>
            <w:tcW w:w="1260" w:type="dxa"/>
            <w:vAlign w:val="bottom"/>
            <w:hideMark/>
          </w:tcPr>
          <w:p w:rsidR="00D86474" w:rsidRPr="00A3107E" w:rsidRDefault="00D86474" w:rsidP="00EA21FD">
            <w:pPr>
              <w:rPr>
                <w:sz w:val="20"/>
                <w:szCs w:val="20"/>
              </w:rPr>
            </w:pPr>
            <w:r w:rsidRPr="00A3107E">
              <w:rPr>
                <w:sz w:val="20"/>
                <w:szCs w:val="20"/>
              </w:rPr>
              <w:t>0.4</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616</w:t>
            </w:r>
          </w:p>
        </w:tc>
        <w:tc>
          <w:tcPr>
            <w:tcW w:w="1350" w:type="dxa"/>
            <w:vAlign w:val="bottom"/>
            <w:hideMark/>
          </w:tcPr>
          <w:p w:rsidR="00D86474" w:rsidRPr="00A3107E" w:rsidRDefault="00D86474" w:rsidP="00EA21FD">
            <w:pPr>
              <w:rPr>
                <w:sz w:val="20"/>
                <w:szCs w:val="20"/>
              </w:rPr>
            </w:pPr>
            <w:r w:rsidRPr="00A3107E">
              <w:rPr>
                <w:sz w:val="20"/>
                <w:szCs w:val="20"/>
              </w:rPr>
              <w:t>0.4</w:t>
            </w:r>
          </w:p>
        </w:tc>
        <w:tc>
          <w:tcPr>
            <w:tcW w:w="1350" w:type="dxa"/>
            <w:vAlign w:val="bottom"/>
          </w:tcPr>
          <w:p w:rsidR="00D86474" w:rsidRPr="00A3107E" w:rsidRDefault="00D86474" w:rsidP="009D5757">
            <w:pPr>
              <w:rPr>
                <w:sz w:val="20"/>
                <w:szCs w:val="20"/>
              </w:rPr>
            </w:pPr>
            <w:r w:rsidRPr="00A3107E">
              <w:rPr>
                <w:sz w:val="20"/>
                <w:szCs w:val="20"/>
              </w:rPr>
              <w:t xml:space="preserve">  ---</w:t>
            </w:r>
          </w:p>
        </w:tc>
      </w:tr>
      <w:tr w:rsidR="00267A33" w:rsidRPr="00A3107E" w:rsidTr="00267A33">
        <w:trPr>
          <w:trHeight w:val="258"/>
        </w:trPr>
        <w:tc>
          <w:tcPr>
            <w:tcW w:w="2815" w:type="dxa"/>
            <w:vAlign w:val="center"/>
            <w:hideMark/>
          </w:tcPr>
          <w:p w:rsidR="00D86474" w:rsidRPr="00A3107E" w:rsidRDefault="00D86474" w:rsidP="00EA21FD">
            <w:pPr>
              <w:rPr>
                <w:sz w:val="20"/>
                <w:szCs w:val="20"/>
              </w:rPr>
            </w:pPr>
            <w:r w:rsidRPr="00A3107E">
              <w:rPr>
                <w:sz w:val="20"/>
                <w:szCs w:val="20"/>
              </w:rPr>
              <w:t>Sensory/Deaf/Blind</w:t>
            </w:r>
          </w:p>
        </w:tc>
        <w:tc>
          <w:tcPr>
            <w:tcW w:w="1260" w:type="dxa"/>
            <w:vAlign w:val="bottom"/>
            <w:hideMark/>
          </w:tcPr>
          <w:p w:rsidR="00D86474" w:rsidRPr="00A3107E" w:rsidRDefault="00D86474" w:rsidP="00EA21FD">
            <w:pPr>
              <w:rPr>
                <w:sz w:val="20"/>
                <w:szCs w:val="20"/>
              </w:rPr>
            </w:pPr>
            <w:r w:rsidRPr="00A3107E">
              <w:rPr>
                <w:color w:val="000000"/>
                <w:sz w:val="20"/>
                <w:szCs w:val="20"/>
              </w:rPr>
              <w:t>201</w:t>
            </w:r>
          </w:p>
        </w:tc>
        <w:tc>
          <w:tcPr>
            <w:tcW w:w="1260" w:type="dxa"/>
            <w:vAlign w:val="bottom"/>
            <w:hideMark/>
          </w:tcPr>
          <w:p w:rsidR="00D86474" w:rsidRPr="00A3107E" w:rsidRDefault="00D86474" w:rsidP="00EA21FD">
            <w:pPr>
              <w:rPr>
                <w:sz w:val="20"/>
                <w:szCs w:val="20"/>
              </w:rPr>
            </w:pPr>
            <w:r w:rsidRPr="00A3107E">
              <w:rPr>
                <w:sz w:val="20"/>
                <w:szCs w:val="20"/>
              </w:rPr>
              <w:t>0.1</w:t>
            </w:r>
          </w:p>
        </w:tc>
        <w:tc>
          <w:tcPr>
            <w:tcW w:w="1350" w:type="dxa"/>
            <w:vAlign w:val="bottom"/>
            <w:hideMark/>
          </w:tcPr>
          <w:p w:rsidR="00D86474" w:rsidRPr="00A3107E" w:rsidRDefault="00D86474" w:rsidP="00EA21FD">
            <w:pPr>
              <w:rPr>
                <w:color w:val="000000"/>
                <w:sz w:val="20"/>
                <w:szCs w:val="20"/>
              </w:rPr>
            </w:pPr>
            <w:r w:rsidRPr="00A3107E">
              <w:rPr>
                <w:color w:val="000000"/>
                <w:sz w:val="20"/>
                <w:szCs w:val="20"/>
              </w:rPr>
              <w:t>156</w:t>
            </w:r>
          </w:p>
        </w:tc>
        <w:tc>
          <w:tcPr>
            <w:tcW w:w="1350" w:type="dxa"/>
            <w:vAlign w:val="bottom"/>
            <w:hideMark/>
          </w:tcPr>
          <w:p w:rsidR="00D86474" w:rsidRPr="00A3107E" w:rsidRDefault="00D86474" w:rsidP="00EA21FD">
            <w:pPr>
              <w:rPr>
                <w:sz w:val="20"/>
                <w:szCs w:val="20"/>
              </w:rPr>
            </w:pPr>
            <w:r w:rsidRPr="00A3107E">
              <w:rPr>
                <w:sz w:val="20"/>
                <w:szCs w:val="20"/>
              </w:rPr>
              <w:t>0.1</w:t>
            </w:r>
          </w:p>
        </w:tc>
        <w:tc>
          <w:tcPr>
            <w:tcW w:w="1350" w:type="dxa"/>
            <w:vAlign w:val="bottom"/>
          </w:tcPr>
          <w:p w:rsidR="00D86474" w:rsidRPr="00A3107E" w:rsidRDefault="00D86474" w:rsidP="009D5757">
            <w:pPr>
              <w:rPr>
                <w:sz w:val="20"/>
                <w:szCs w:val="20"/>
              </w:rPr>
            </w:pPr>
            <w:r w:rsidRPr="00A3107E">
              <w:rPr>
                <w:sz w:val="20"/>
                <w:szCs w:val="20"/>
              </w:rPr>
              <w:t xml:space="preserve">  ---</w:t>
            </w:r>
          </w:p>
        </w:tc>
      </w:tr>
      <w:tr w:rsidR="00267A33" w:rsidRPr="00A3107E" w:rsidTr="007D2CDB">
        <w:trPr>
          <w:trHeight w:val="273"/>
        </w:trPr>
        <w:tc>
          <w:tcPr>
            <w:tcW w:w="2815" w:type="dxa"/>
            <w:vAlign w:val="center"/>
            <w:hideMark/>
          </w:tcPr>
          <w:p w:rsidR="00D86474" w:rsidRPr="00A3107E" w:rsidRDefault="001D0F2B" w:rsidP="00EA21FD">
            <w:pPr>
              <w:rPr>
                <w:b/>
                <w:sz w:val="20"/>
                <w:szCs w:val="20"/>
              </w:rPr>
            </w:pPr>
            <w:r w:rsidRPr="00A3107E">
              <w:rPr>
                <w:b/>
                <w:sz w:val="20"/>
                <w:szCs w:val="20"/>
              </w:rPr>
              <w:t>SWD Total</w:t>
            </w:r>
          </w:p>
        </w:tc>
        <w:tc>
          <w:tcPr>
            <w:tcW w:w="1260" w:type="dxa"/>
            <w:vAlign w:val="bottom"/>
            <w:hideMark/>
          </w:tcPr>
          <w:p w:rsidR="00D86474" w:rsidRPr="00A3107E" w:rsidRDefault="001D0F2B" w:rsidP="00EA21FD">
            <w:pPr>
              <w:rPr>
                <w:b/>
                <w:sz w:val="20"/>
                <w:szCs w:val="20"/>
              </w:rPr>
            </w:pPr>
            <w:r w:rsidRPr="00A3107E">
              <w:rPr>
                <w:b/>
                <w:color w:val="000000"/>
                <w:sz w:val="20"/>
                <w:szCs w:val="20"/>
              </w:rPr>
              <w:t>164,711</w:t>
            </w:r>
          </w:p>
        </w:tc>
        <w:tc>
          <w:tcPr>
            <w:tcW w:w="1260" w:type="dxa"/>
            <w:vAlign w:val="bottom"/>
            <w:hideMark/>
          </w:tcPr>
          <w:p w:rsidR="00D86474" w:rsidRPr="00A3107E" w:rsidRDefault="001D0F2B" w:rsidP="00EA21FD">
            <w:pPr>
              <w:rPr>
                <w:b/>
                <w:bCs/>
                <w:sz w:val="20"/>
                <w:szCs w:val="20"/>
              </w:rPr>
            </w:pPr>
            <w:r w:rsidRPr="00A3107E">
              <w:rPr>
                <w:b/>
                <w:bCs/>
                <w:sz w:val="20"/>
                <w:szCs w:val="20"/>
              </w:rPr>
              <w:t>100</w:t>
            </w:r>
          </w:p>
        </w:tc>
        <w:tc>
          <w:tcPr>
            <w:tcW w:w="1350" w:type="dxa"/>
            <w:vAlign w:val="bottom"/>
            <w:hideMark/>
          </w:tcPr>
          <w:p w:rsidR="00D86474" w:rsidRPr="00A3107E" w:rsidRDefault="001D0F2B" w:rsidP="00EA21FD">
            <w:pPr>
              <w:rPr>
                <w:b/>
                <w:bCs/>
                <w:sz w:val="20"/>
                <w:szCs w:val="20"/>
              </w:rPr>
            </w:pPr>
            <w:r w:rsidRPr="00A3107E">
              <w:rPr>
                <w:b/>
                <w:color w:val="000000"/>
                <w:sz w:val="20"/>
                <w:szCs w:val="20"/>
              </w:rPr>
              <w:t>165,060</w:t>
            </w:r>
          </w:p>
        </w:tc>
        <w:tc>
          <w:tcPr>
            <w:tcW w:w="1350" w:type="dxa"/>
            <w:vAlign w:val="bottom"/>
            <w:hideMark/>
          </w:tcPr>
          <w:p w:rsidR="00D86474" w:rsidRPr="00A3107E" w:rsidRDefault="001D0F2B" w:rsidP="00EA21FD">
            <w:pPr>
              <w:rPr>
                <w:b/>
                <w:bCs/>
                <w:sz w:val="20"/>
                <w:szCs w:val="20"/>
              </w:rPr>
            </w:pPr>
            <w:r w:rsidRPr="00A3107E">
              <w:rPr>
                <w:b/>
                <w:bCs/>
                <w:sz w:val="20"/>
                <w:szCs w:val="20"/>
              </w:rPr>
              <w:t>100</w:t>
            </w:r>
          </w:p>
        </w:tc>
        <w:tc>
          <w:tcPr>
            <w:tcW w:w="1350" w:type="dxa"/>
            <w:tcBorders>
              <w:bottom w:val="nil"/>
              <w:right w:val="nil"/>
            </w:tcBorders>
            <w:vAlign w:val="bottom"/>
          </w:tcPr>
          <w:p w:rsidR="00D86474" w:rsidRPr="00A3107E" w:rsidRDefault="00D86474" w:rsidP="009D5757">
            <w:pPr>
              <w:rPr>
                <w:bCs/>
                <w:sz w:val="20"/>
                <w:szCs w:val="20"/>
              </w:rPr>
            </w:pPr>
          </w:p>
        </w:tc>
      </w:tr>
    </w:tbl>
    <w:p w:rsidR="0047676C" w:rsidRPr="00CB262E" w:rsidRDefault="0047676C" w:rsidP="00123285">
      <w:pPr>
        <w:spacing w:after="240"/>
        <w:rPr>
          <w:i/>
          <w:sz w:val="18"/>
          <w:szCs w:val="18"/>
        </w:rPr>
      </w:pPr>
      <w:r w:rsidRPr="00CB262E">
        <w:rPr>
          <w:i/>
          <w:sz w:val="18"/>
          <w:szCs w:val="18"/>
        </w:rPr>
        <w:t>Source: Massachusetts Student Information Management System</w:t>
      </w:r>
    </w:p>
    <w:p w:rsidR="00F3413C" w:rsidRPr="00096F2A" w:rsidRDefault="0034424D" w:rsidP="004E18AF">
      <w:pPr>
        <w:spacing w:after="120"/>
      </w:pPr>
      <w:r w:rsidRPr="00096F2A">
        <w:t xml:space="preserve">Collectively, </w:t>
      </w:r>
      <w:r w:rsidR="000037CE">
        <w:t xml:space="preserve">Specific Learning Disability, </w:t>
      </w:r>
      <w:r w:rsidR="000037CE" w:rsidRPr="00096F2A">
        <w:t xml:space="preserve">Communication Impairment, and Health Impairment </w:t>
      </w:r>
      <w:r w:rsidRPr="00096F2A">
        <w:t>are often referred to as “high incidence disabilities”</w:t>
      </w:r>
      <w:r w:rsidR="00F3413C" w:rsidRPr="00096F2A">
        <w:t xml:space="preserve"> </w:t>
      </w:r>
      <w:r w:rsidR="007F3A66" w:rsidRPr="00096F2A">
        <w:t xml:space="preserve">and </w:t>
      </w:r>
      <w:r w:rsidR="00F3413C" w:rsidRPr="00096F2A">
        <w:t xml:space="preserve">are </w:t>
      </w:r>
      <w:r w:rsidRPr="00096F2A">
        <w:t xml:space="preserve">the disabilities most commonly found in the general population. </w:t>
      </w:r>
      <w:r w:rsidR="008862BB" w:rsidRPr="008862BB">
        <w:t xml:space="preserve">Dr. Thomas Hehir and Associates, in their 2012 </w:t>
      </w:r>
      <w:hyperlink r:id="rId18" w:history="1">
        <w:r w:rsidR="008862BB" w:rsidRPr="00CA55A7">
          <w:rPr>
            <w:rStyle w:val="Hyperlink"/>
          </w:rPr>
          <w:t>Review of Special Education in the Commonwealth of Massachusetts</w:t>
        </w:r>
      </w:hyperlink>
      <w:r w:rsidR="008862BB" w:rsidRPr="008862BB">
        <w:t>, observed, “Nearly two out of every three Massachusetts students with a disability are identified as belonging in one of these three categories and due to the potentially subjective nature of their diagnosis, rates of identification for these categories may be more sensitive to policy decisions than rates for the more strictly defined categories. Further, we see evidence throughout the commonwealth that indicates that children with similar profiles may fall differentially into one of these three categories, depending on the designation conventions of different school districts.”</w:t>
      </w:r>
      <w:r w:rsidR="00221543">
        <w:rPr>
          <w:rStyle w:val="FootnoteReference"/>
        </w:rPr>
        <w:footnoteReference w:id="1"/>
      </w:r>
      <w:r w:rsidR="004740E8">
        <w:t xml:space="preserve"> </w:t>
      </w:r>
      <w:r w:rsidR="00487D53">
        <w:t>Thus,</w:t>
      </w:r>
      <w:r w:rsidR="00DE7E32">
        <w:t xml:space="preserve"> </w:t>
      </w:r>
      <w:r w:rsidR="00FA1636">
        <w:t>the percentage of students</w:t>
      </w:r>
      <w:r w:rsidR="00DE7E32">
        <w:t xml:space="preserve"> </w:t>
      </w:r>
      <w:r w:rsidR="000037CE">
        <w:t xml:space="preserve">in </w:t>
      </w:r>
      <w:r w:rsidR="007D0BF6">
        <w:t>each</w:t>
      </w:r>
      <w:r w:rsidR="000037CE">
        <w:t xml:space="preserve"> of these three categories may rise and fall relative to each other</w:t>
      </w:r>
      <w:r w:rsidR="00487D53">
        <w:t xml:space="preserve"> in a</w:t>
      </w:r>
      <w:r w:rsidR="007D0BF6">
        <w:t>ny</w:t>
      </w:r>
      <w:r w:rsidR="00FF5019">
        <w:t xml:space="preserve"> given year</w:t>
      </w:r>
      <w:r w:rsidR="00FA1636">
        <w:t xml:space="preserve">. </w:t>
      </w:r>
      <w:r w:rsidR="007D0BF6">
        <w:t xml:space="preserve">For FY15, </w:t>
      </w:r>
      <w:r w:rsidR="00FA1636" w:rsidRPr="00FA1636">
        <w:t>Specific Learning Disability</w:t>
      </w:r>
      <w:r w:rsidR="00FA1636">
        <w:t xml:space="preserve"> has decreased by 5.8 percent</w:t>
      </w:r>
      <w:r w:rsidR="007D0BF6">
        <w:t xml:space="preserve"> and Communication by 1.0 percent</w:t>
      </w:r>
      <w:r w:rsidR="00FA1636">
        <w:t xml:space="preserve"> </w:t>
      </w:r>
      <w:r w:rsidR="00487D53">
        <w:t>when compared with the FY11 rate</w:t>
      </w:r>
      <w:r w:rsidR="00FA1636">
        <w:t xml:space="preserve">, whereas Health has risen by 3.4 percent. </w:t>
      </w:r>
      <w:r w:rsidR="00487D53">
        <w:t>However, when combined</w:t>
      </w:r>
      <w:r w:rsidR="000037CE">
        <w:t>, s</w:t>
      </w:r>
      <w:r w:rsidR="000037CE" w:rsidRPr="00096F2A">
        <w:t>tudents with</w:t>
      </w:r>
      <w:r w:rsidR="000037CE">
        <w:t xml:space="preserve"> IEPs </w:t>
      </w:r>
      <w:r w:rsidR="000037CE" w:rsidRPr="00096F2A">
        <w:t>in the categories o</w:t>
      </w:r>
      <w:r w:rsidR="000037CE">
        <w:t xml:space="preserve">f Specific Learning Disability, </w:t>
      </w:r>
      <w:r w:rsidR="000037CE" w:rsidRPr="00096F2A">
        <w:t xml:space="preserve">Communication Impairment, and Health Impairment represent approximately </w:t>
      </w:r>
      <w:r w:rsidR="000037CE">
        <w:t>54.3</w:t>
      </w:r>
      <w:r w:rsidR="000037CE" w:rsidRPr="00096F2A">
        <w:t xml:space="preserve"> percent of all students receiving special education services in Massachusetts. </w:t>
      </w:r>
      <w:r w:rsidR="000037CE">
        <w:t xml:space="preserve">This </w:t>
      </w:r>
      <w:r w:rsidR="00487D53">
        <w:t xml:space="preserve">overall </w:t>
      </w:r>
      <w:r w:rsidR="000037CE">
        <w:t xml:space="preserve">number is 3.4 percentage points lower than it was in 2011. </w:t>
      </w:r>
    </w:p>
    <w:p w:rsidR="000D1C7A" w:rsidRDefault="00A21C89" w:rsidP="007E03DD">
      <w:pPr>
        <w:spacing w:after="120"/>
      </w:pPr>
      <w:r w:rsidRPr="00096F2A">
        <w:lastRenderedPageBreak/>
        <w:t>Consistent</w:t>
      </w:r>
      <w:r w:rsidR="00F3413C" w:rsidRPr="00096F2A">
        <w:t xml:space="preserve"> with national trends</w:t>
      </w:r>
      <w:r w:rsidR="00885124">
        <w:rPr>
          <w:rStyle w:val="FootnoteReference"/>
        </w:rPr>
        <w:footnoteReference w:id="2"/>
      </w:r>
      <w:r w:rsidR="00F3413C" w:rsidRPr="00096F2A">
        <w:t xml:space="preserve">, </w:t>
      </w:r>
      <w:r w:rsidR="00690C97">
        <w:t>A</w:t>
      </w:r>
      <w:r w:rsidR="0047676C" w:rsidRPr="00096F2A">
        <w:t>utism</w:t>
      </w:r>
      <w:r w:rsidRPr="00096F2A">
        <w:t xml:space="preserve"> </w:t>
      </w:r>
      <w:r w:rsidR="003E069E">
        <w:t>has increased by 3.2</w:t>
      </w:r>
      <w:r w:rsidR="0047676C" w:rsidRPr="00096F2A">
        <w:t xml:space="preserve"> per</w:t>
      </w:r>
      <w:r w:rsidRPr="00096F2A">
        <w:t xml:space="preserve">centage points over five years and is currently at </w:t>
      </w:r>
      <w:r w:rsidR="003E069E">
        <w:t>10.5</w:t>
      </w:r>
      <w:r w:rsidRPr="00096F2A">
        <w:t xml:space="preserve"> percent</w:t>
      </w:r>
      <w:r w:rsidR="00D0680B">
        <w:t xml:space="preserve"> of all students with a disability</w:t>
      </w:r>
      <w:r w:rsidRPr="00096F2A">
        <w:t>.</w:t>
      </w:r>
      <w:r w:rsidR="00320438">
        <w:t xml:space="preserve"> </w:t>
      </w:r>
    </w:p>
    <w:p w:rsidR="00E17560" w:rsidRDefault="00320438" w:rsidP="007E03DD">
      <w:pPr>
        <w:spacing w:after="120"/>
      </w:pPr>
      <w:r>
        <w:t xml:space="preserve">For most other disability categories, the </w:t>
      </w:r>
      <w:r w:rsidR="006410D1">
        <w:t xml:space="preserve">percentages </w:t>
      </w:r>
      <w:r>
        <w:t xml:space="preserve">have stayed </w:t>
      </w:r>
      <w:r w:rsidR="006410D1">
        <w:t xml:space="preserve">mostly </w:t>
      </w:r>
      <w:r>
        <w:t>constant over the last five years.</w:t>
      </w:r>
    </w:p>
    <w:p w:rsidR="00A3107E" w:rsidRDefault="00A3107E" w:rsidP="00A3107E"/>
    <w:p w:rsidR="002E361B" w:rsidRPr="00AE0ACF" w:rsidRDefault="000144C3" w:rsidP="00AE0ACF">
      <w:pPr>
        <w:pStyle w:val="Heading2"/>
        <w:spacing w:before="0" w:after="120"/>
      </w:pPr>
      <w:bookmarkStart w:id="23" w:name="_Toc441569625"/>
      <w:r w:rsidRPr="00A3107E">
        <w:t>C</w:t>
      </w:r>
      <w:r w:rsidR="002E361B" w:rsidRPr="00A3107E">
        <w:t>.</w:t>
      </w:r>
      <w:r w:rsidR="002E361B" w:rsidRPr="00A3107E">
        <w:tab/>
        <w:t>Financial Summary</w:t>
      </w:r>
      <w:bookmarkEnd w:id="23"/>
    </w:p>
    <w:p w:rsidR="00D06F70" w:rsidRPr="0072770E" w:rsidRDefault="00D06F70" w:rsidP="007E03DD">
      <w:pPr>
        <w:spacing w:after="120"/>
      </w:pPr>
      <w:bookmarkStart w:id="24" w:name="_Toc400367497"/>
      <w:r w:rsidRPr="0072770E">
        <w:t>Special education expenditures are reported by public school districts at the end of the year</w:t>
      </w:r>
      <w:r w:rsidR="00AC10B8" w:rsidRPr="0072770E">
        <w:t xml:space="preserve"> </w:t>
      </w:r>
      <w:r w:rsidRPr="0072770E">
        <w:t>to the</w:t>
      </w:r>
      <w:r w:rsidR="00AC10B8" w:rsidRPr="0072770E">
        <w:t xml:space="preserve"> </w:t>
      </w:r>
      <w:r w:rsidRPr="0072770E">
        <w:t xml:space="preserve">Department. Table </w:t>
      </w:r>
      <w:r w:rsidR="00AC10B8" w:rsidRPr="0072770E">
        <w:t>3</w:t>
      </w:r>
      <w:r w:rsidRPr="0072770E">
        <w:t xml:space="preserve"> below</w:t>
      </w:r>
      <w:r w:rsidR="005C44C8">
        <w:t xml:space="preserve"> shows the most recent available data</w:t>
      </w:r>
      <w:r w:rsidR="00251290">
        <w:t xml:space="preserve"> (FY15 data were</w:t>
      </w:r>
      <w:r w:rsidR="009E32A1">
        <w:t xml:space="preserve"> not available at the time of this writing)</w:t>
      </w:r>
      <w:r w:rsidR="005C44C8">
        <w:t xml:space="preserve"> and indicates that</w:t>
      </w:r>
      <w:r w:rsidRPr="0072770E">
        <w:t xml:space="preserve"> </w:t>
      </w:r>
      <w:r w:rsidRPr="00D70131">
        <w:t xml:space="preserve">both total school operating budgets and combined special education expenditures have increased over the past </w:t>
      </w:r>
      <w:r w:rsidR="00D70131" w:rsidRPr="00D70131">
        <w:t>ten</w:t>
      </w:r>
      <w:r w:rsidRPr="00D70131">
        <w:t xml:space="preserve"> years. </w:t>
      </w:r>
      <w:r w:rsidR="002A2238" w:rsidRPr="002A2238">
        <w:t>Expenditures from</w:t>
      </w:r>
      <w:r w:rsidR="00D0680B">
        <w:t xml:space="preserve"> the</w:t>
      </w:r>
      <w:r w:rsidR="002A2238" w:rsidRPr="002A2238">
        <w:t xml:space="preserve"> district </w:t>
      </w:r>
      <w:hyperlink r:id="rId19" w:history="1">
        <w:r w:rsidR="002A2238" w:rsidRPr="002A2238">
          <w:rPr>
            <w:rStyle w:val="Hyperlink"/>
          </w:rPr>
          <w:t>Special Education Reimbursement (“Circuit Breaker”) Program</w:t>
        </w:r>
      </w:hyperlink>
      <w:r w:rsidR="002A2238" w:rsidRPr="002A2238">
        <w:t xml:space="preserve"> revolving accounts are included.</w:t>
      </w:r>
      <w:r w:rsidR="004C680E">
        <w:t xml:space="preserve"> The o</w:t>
      </w:r>
      <w:r w:rsidR="009E32A1" w:rsidRPr="009E32A1">
        <w:t>perating budget includes municipal indirect spending for schools but excludes capital expenditures and transportation. Other than circuit</w:t>
      </w:r>
      <w:r w:rsidR="004C680E">
        <w:t xml:space="preserve"> </w:t>
      </w:r>
      <w:r w:rsidR="009E32A1" w:rsidRPr="009E32A1">
        <w:t xml:space="preserve">breaker spending, </w:t>
      </w:r>
      <w:r w:rsidR="004C680E">
        <w:t xml:space="preserve">the </w:t>
      </w:r>
      <w:r w:rsidR="009E32A1" w:rsidRPr="009E32A1">
        <w:t>operating budget does not include expenditures from grants, revolving funds, or other non-appropriated revenue sources.</w:t>
      </w:r>
      <w:bookmarkEnd w:id="24"/>
      <w:r w:rsidR="0088234E">
        <w:t xml:space="preserve"> </w:t>
      </w:r>
      <w:r w:rsidR="00AC171C">
        <w:t>(</w:t>
      </w:r>
      <w:r w:rsidR="00AC171C" w:rsidRPr="00AC171C">
        <w:t xml:space="preserve">Values </w:t>
      </w:r>
      <w:r w:rsidR="00AC171C">
        <w:t xml:space="preserve">are </w:t>
      </w:r>
      <w:r w:rsidR="00AC171C" w:rsidRPr="00AC171C">
        <w:t xml:space="preserve">rounded to the nearest </w:t>
      </w:r>
      <w:r w:rsidR="00D0680B">
        <w:t>$</w:t>
      </w:r>
      <w:r w:rsidR="00AC171C" w:rsidRPr="00AC171C">
        <w:t>100,000.</w:t>
      </w:r>
      <w:r w:rsidR="00AC171C">
        <w:t>)</w:t>
      </w:r>
    </w:p>
    <w:p w:rsidR="00D06F70" w:rsidRPr="0072770E" w:rsidRDefault="00D06F70" w:rsidP="007E03DD">
      <w:pPr>
        <w:pStyle w:val="BodyText"/>
        <w:spacing w:after="120"/>
        <w:rPr>
          <w:sz w:val="24"/>
          <w:szCs w:val="24"/>
        </w:rPr>
      </w:pPr>
      <w:r w:rsidRPr="0072770E">
        <w:rPr>
          <w:sz w:val="24"/>
          <w:szCs w:val="24"/>
        </w:rPr>
        <w:t xml:space="preserve">Definitions and </w:t>
      </w:r>
      <w:r w:rsidR="006410D1">
        <w:rPr>
          <w:sz w:val="24"/>
          <w:szCs w:val="24"/>
        </w:rPr>
        <w:t>n</w:t>
      </w:r>
      <w:r w:rsidR="006410D1" w:rsidRPr="0072770E">
        <w:rPr>
          <w:sz w:val="24"/>
          <w:szCs w:val="24"/>
        </w:rPr>
        <w:t>otes</w:t>
      </w:r>
      <w:r w:rsidRPr="0072770E">
        <w:rPr>
          <w:sz w:val="24"/>
          <w:szCs w:val="24"/>
        </w:rPr>
        <w:t>:</w:t>
      </w:r>
    </w:p>
    <w:p w:rsidR="00D06F70" w:rsidRPr="0072770E" w:rsidRDefault="00D06F70" w:rsidP="00BC234D">
      <w:pPr>
        <w:pStyle w:val="BodyText"/>
        <w:numPr>
          <w:ilvl w:val="0"/>
          <w:numId w:val="7"/>
        </w:numPr>
        <w:spacing w:after="120"/>
        <w:rPr>
          <w:sz w:val="24"/>
          <w:szCs w:val="24"/>
        </w:rPr>
      </w:pPr>
      <w:r w:rsidRPr="0072770E">
        <w:rPr>
          <w:i/>
          <w:sz w:val="24"/>
          <w:szCs w:val="24"/>
        </w:rPr>
        <w:t>Direct special education expenditures</w:t>
      </w:r>
      <w:r w:rsidRPr="0072770E">
        <w:rPr>
          <w:sz w:val="24"/>
          <w:szCs w:val="24"/>
        </w:rPr>
        <w:t xml:space="preserve"> include only those that can be related specifically to </w:t>
      </w:r>
      <w:r w:rsidR="00026488">
        <w:rPr>
          <w:sz w:val="24"/>
          <w:szCs w:val="24"/>
        </w:rPr>
        <w:t>pupils receiving special education services</w:t>
      </w:r>
      <w:r w:rsidRPr="0072770E">
        <w:rPr>
          <w:sz w:val="24"/>
          <w:szCs w:val="24"/>
        </w:rPr>
        <w:t>.</w:t>
      </w:r>
    </w:p>
    <w:p w:rsidR="00D06F70" w:rsidRPr="0072770E" w:rsidRDefault="00D06F70" w:rsidP="00BC234D">
      <w:pPr>
        <w:pStyle w:val="BodyText"/>
        <w:numPr>
          <w:ilvl w:val="0"/>
          <w:numId w:val="7"/>
        </w:numPr>
        <w:spacing w:after="120"/>
        <w:rPr>
          <w:sz w:val="24"/>
          <w:szCs w:val="24"/>
        </w:rPr>
      </w:pPr>
      <w:r w:rsidRPr="0072770E">
        <w:rPr>
          <w:i/>
          <w:sz w:val="24"/>
          <w:szCs w:val="24"/>
        </w:rPr>
        <w:t>Other instructional</w:t>
      </w:r>
      <w:r w:rsidRPr="0072770E">
        <w:rPr>
          <w:sz w:val="24"/>
          <w:szCs w:val="24"/>
        </w:rPr>
        <w:t xml:space="preserve"> includes supervisory, textbooks and instructional equipment, guidance, and psychological services. </w:t>
      </w:r>
    </w:p>
    <w:p w:rsidR="00B6395B" w:rsidRDefault="00D06F70" w:rsidP="009B2055">
      <w:pPr>
        <w:pStyle w:val="BodyText"/>
        <w:numPr>
          <w:ilvl w:val="0"/>
          <w:numId w:val="7"/>
        </w:numPr>
        <w:rPr>
          <w:sz w:val="24"/>
          <w:szCs w:val="24"/>
        </w:rPr>
      </w:pPr>
      <w:r w:rsidRPr="0072770E">
        <w:rPr>
          <w:i/>
          <w:sz w:val="24"/>
          <w:szCs w:val="24"/>
        </w:rPr>
        <w:t>MA Public Schools and Collaboratives</w:t>
      </w:r>
      <w:r w:rsidRPr="0072770E">
        <w:rPr>
          <w:sz w:val="24"/>
          <w:szCs w:val="24"/>
        </w:rPr>
        <w:t xml:space="preserve"> includes other public school districts, educational collaboratives, and charter schools. </w:t>
      </w:r>
    </w:p>
    <w:p w:rsidR="009B2055" w:rsidRPr="009B2055" w:rsidRDefault="009B2055" w:rsidP="009B2055">
      <w:pPr>
        <w:pStyle w:val="BodyText"/>
        <w:ind w:left="720"/>
        <w:rPr>
          <w:sz w:val="12"/>
          <w:szCs w:val="12"/>
        </w:rPr>
      </w:pPr>
    </w:p>
    <w:p w:rsidR="006B7340" w:rsidRPr="00D818B6" w:rsidRDefault="006B7340" w:rsidP="000F0E6D">
      <w:pPr>
        <w:pStyle w:val="BodyText"/>
        <w:spacing w:after="240"/>
        <w:rPr>
          <w:sz w:val="24"/>
          <w:szCs w:val="24"/>
        </w:rPr>
      </w:pPr>
      <w:r w:rsidRPr="00D818B6">
        <w:rPr>
          <w:b/>
          <w:sz w:val="24"/>
          <w:szCs w:val="24"/>
        </w:rPr>
        <w:t>Table 3: Direct Spec</w:t>
      </w:r>
      <w:r w:rsidR="00026488" w:rsidRPr="00D818B6">
        <w:rPr>
          <w:b/>
          <w:sz w:val="24"/>
          <w:szCs w:val="24"/>
        </w:rPr>
        <w:t>ial Education Expenditures, FY0</w:t>
      </w:r>
      <w:r w:rsidR="007A5258">
        <w:rPr>
          <w:b/>
          <w:sz w:val="24"/>
          <w:szCs w:val="24"/>
        </w:rPr>
        <w:t>8</w:t>
      </w:r>
      <w:r w:rsidRPr="00D818B6">
        <w:rPr>
          <w:b/>
          <w:sz w:val="24"/>
          <w:szCs w:val="24"/>
        </w:rPr>
        <w:t>–FY1</w:t>
      </w:r>
      <w:r w:rsidR="00026488" w:rsidRPr="00D818B6">
        <w:rPr>
          <w:b/>
          <w:sz w:val="24"/>
          <w:szCs w:val="24"/>
        </w:rPr>
        <w:t>4</w:t>
      </w:r>
      <w:r w:rsidR="00D0680B">
        <w:rPr>
          <w:b/>
          <w:sz w:val="24"/>
          <w:szCs w:val="24"/>
        </w:rPr>
        <w:t>, In Dollars</w:t>
      </w:r>
    </w:p>
    <w:tbl>
      <w:tblPr>
        <w:tblStyle w:val="ESETablesGridStyle"/>
        <w:tblW w:w="10015" w:type="dxa"/>
        <w:tblLook w:val="04A0"/>
      </w:tblPr>
      <w:tblGrid>
        <w:gridCol w:w="708"/>
        <w:gridCol w:w="1380"/>
        <w:gridCol w:w="1342"/>
        <w:gridCol w:w="1475"/>
        <w:gridCol w:w="1288"/>
        <w:gridCol w:w="1385"/>
        <w:gridCol w:w="1480"/>
        <w:gridCol w:w="1295"/>
      </w:tblGrid>
      <w:tr w:rsidR="00DE0F34" w:rsidRPr="00613BE0" w:rsidTr="009B2055">
        <w:trPr>
          <w:cnfStyle w:val="100000000000"/>
          <w:trHeight w:val="233"/>
        </w:trPr>
        <w:tc>
          <w:tcPr>
            <w:cnfStyle w:val="001000000000"/>
            <w:tcW w:w="708" w:type="dxa"/>
            <w:vMerge w:val="restart"/>
            <w:noWrap/>
            <w:hideMark/>
          </w:tcPr>
          <w:p w:rsidR="00DE0F34" w:rsidRPr="00613BE0" w:rsidRDefault="00DE0F34" w:rsidP="009F4E0A">
            <w:pPr>
              <w:rPr>
                <w:rFonts w:ascii="Times New Roman" w:hAnsi="Times New Roman"/>
                <w:color w:val="000000"/>
                <w:sz w:val="20"/>
                <w:szCs w:val="20"/>
              </w:rPr>
            </w:pPr>
            <w:r w:rsidRPr="00613BE0">
              <w:rPr>
                <w:rFonts w:ascii="Times New Roman" w:hAnsi="Times New Roman"/>
                <w:b w:val="0"/>
                <w:bCs/>
                <w:sz w:val="20"/>
                <w:szCs w:val="20"/>
              </w:rPr>
              <w:t>Fiscal</w:t>
            </w:r>
          </w:p>
          <w:p w:rsidR="00DE0F34" w:rsidRPr="00613BE0" w:rsidRDefault="00DE0F34" w:rsidP="009F4E0A">
            <w:pPr>
              <w:rPr>
                <w:rFonts w:ascii="Times New Roman" w:hAnsi="Times New Roman"/>
                <w:color w:val="000000"/>
                <w:sz w:val="20"/>
                <w:szCs w:val="20"/>
              </w:rPr>
            </w:pPr>
            <w:r w:rsidRPr="00613BE0">
              <w:rPr>
                <w:rFonts w:ascii="Times New Roman" w:hAnsi="Times New Roman"/>
                <w:b w:val="0"/>
                <w:bCs/>
                <w:sz w:val="20"/>
                <w:szCs w:val="20"/>
              </w:rPr>
              <w:t>Year</w:t>
            </w:r>
          </w:p>
        </w:tc>
        <w:tc>
          <w:tcPr>
            <w:tcW w:w="2722" w:type="dxa"/>
            <w:gridSpan w:val="2"/>
            <w:tcBorders>
              <w:bottom w:val="nil"/>
            </w:tcBorders>
            <w:noWrap/>
            <w:vAlign w:val="top"/>
            <w:hideMark/>
          </w:tcPr>
          <w:p w:rsidR="00DE0F34" w:rsidRPr="00613BE0" w:rsidRDefault="00DE0F34" w:rsidP="00845F2A">
            <w:pPr>
              <w:cnfStyle w:val="100000000000"/>
              <w:rPr>
                <w:rFonts w:asciiTheme="minorHAnsi" w:hAnsiTheme="minorHAnsi"/>
                <w:bCs/>
                <w:sz w:val="20"/>
                <w:szCs w:val="20"/>
              </w:rPr>
            </w:pPr>
            <w:r w:rsidRPr="00613BE0">
              <w:rPr>
                <w:rFonts w:asciiTheme="minorHAnsi" w:hAnsiTheme="minorHAnsi"/>
                <w:bCs/>
                <w:i/>
                <w:sz w:val="20"/>
                <w:szCs w:val="20"/>
              </w:rPr>
              <w:t>In-District Instruction</w:t>
            </w:r>
          </w:p>
        </w:tc>
        <w:tc>
          <w:tcPr>
            <w:tcW w:w="2763" w:type="dxa"/>
            <w:gridSpan w:val="2"/>
            <w:tcBorders>
              <w:bottom w:val="nil"/>
            </w:tcBorders>
            <w:noWrap/>
            <w:vAlign w:val="top"/>
            <w:hideMark/>
          </w:tcPr>
          <w:p w:rsidR="00DE0F34" w:rsidRPr="00613BE0" w:rsidRDefault="00DE0F34" w:rsidP="00845F2A">
            <w:pPr>
              <w:cnfStyle w:val="100000000000"/>
              <w:rPr>
                <w:rFonts w:asciiTheme="minorHAnsi" w:hAnsiTheme="minorHAnsi"/>
                <w:bCs/>
                <w:sz w:val="20"/>
                <w:szCs w:val="20"/>
              </w:rPr>
            </w:pPr>
            <w:r w:rsidRPr="00613BE0">
              <w:rPr>
                <w:rFonts w:asciiTheme="minorHAnsi" w:hAnsiTheme="minorHAnsi"/>
                <w:bCs/>
                <w:i/>
                <w:sz w:val="20"/>
                <w:szCs w:val="20"/>
              </w:rPr>
              <w:t>Out-of-District Tuition</w:t>
            </w:r>
          </w:p>
        </w:tc>
        <w:tc>
          <w:tcPr>
            <w:tcW w:w="1385" w:type="dxa"/>
            <w:vMerge w:val="restart"/>
            <w:tcBorders>
              <w:right w:val="nil"/>
            </w:tcBorders>
            <w:noWrap/>
            <w:hideMark/>
          </w:tcPr>
          <w:p w:rsidR="00DE0F34" w:rsidRPr="00613BE0" w:rsidRDefault="00382544" w:rsidP="002F397B">
            <w:pPr>
              <w:keepNext/>
              <w:spacing w:before="240" w:after="60"/>
              <w:jc w:val="left"/>
              <w:outlineLvl w:val="3"/>
              <w:cnfStyle w:val="100000000000"/>
              <w:rPr>
                <w:rFonts w:asciiTheme="minorHAnsi" w:hAnsiTheme="minorHAnsi"/>
                <w:bCs/>
                <w:sz w:val="20"/>
                <w:szCs w:val="20"/>
              </w:rPr>
            </w:pPr>
            <w:r w:rsidRPr="00613BE0">
              <w:rPr>
                <w:rFonts w:asciiTheme="minorHAnsi" w:hAnsiTheme="minorHAnsi"/>
                <w:bCs/>
                <w:sz w:val="20"/>
                <w:szCs w:val="20"/>
              </w:rPr>
              <w:t>E</w:t>
            </w:r>
          </w:p>
        </w:tc>
        <w:tc>
          <w:tcPr>
            <w:tcW w:w="1480" w:type="dxa"/>
            <w:vMerge w:val="restart"/>
            <w:tcBorders>
              <w:left w:val="nil"/>
              <w:right w:val="nil"/>
            </w:tcBorders>
          </w:tcPr>
          <w:p w:rsidR="00DE0F34" w:rsidRPr="00613BE0" w:rsidRDefault="00DE0F34" w:rsidP="00DE0F34">
            <w:pPr>
              <w:keepNext/>
              <w:spacing w:before="240" w:after="60"/>
              <w:jc w:val="left"/>
              <w:outlineLvl w:val="3"/>
              <w:cnfStyle w:val="100000000000"/>
              <w:rPr>
                <w:rFonts w:asciiTheme="minorHAnsi" w:hAnsiTheme="minorHAnsi"/>
                <w:bCs/>
                <w:sz w:val="20"/>
                <w:szCs w:val="20"/>
              </w:rPr>
            </w:pPr>
            <w:r w:rsidRPr="00613BE0">
              <w:rPr>
                <w:rFonts w:asciiTheme="minorHAnsi" w:hAnsiTheme="minorHAnsi"/>
                <w:bCs/>
                <w:sz w:val="20"/>
                <w:szCs w:val="20"/>
              </w:rPr>
              <w:t>F</w:t>
            </w:r>
          </w:p>
        </w:tc>
        <w:tc>
          <w:tcPr>
            <w:tcW w:w="957" w:type="dxa"/>
            <w:vMerge w:val="restart"/>
            <w:tcBorders>
              <w:left w:val="nil"/>
            </w:tcBorders>
          </w:tcPr>
          <w:p w:rsidR="00A14C94" w:rsidRPr="00613BE0" w:rsidRDefault="00A14C94" w:rsidP="002F397B">
            <w:pPr>
              <w:cnfStyle w:val="100000000000"/>
              <w:rPr>
                <w:rFonts w:asciiTheme="minorHAnsi" w:hAnsiTheme="minorHAnsi"/>
                <w:bCs/>
                <w:sz w:val="20"/>
                <w:szCs w:val="20"/>
              </w:rPr>
            </w:pPr>
          </w:p>
          <w:p w:rsidR="00DE0F34" w:rsidRPr="00613BE0" w:rsidRDefault="00DE0F34" w:rsidP="002F397B">
            <w:pPr>
              <w:cnfStyle w:val="100000000000"/>
              <w:rPr>
                <w:rFonts w:asciiTheme="minorHAnsi" w:hAnsiTheme="minorHAnsi"/>
                <w:bCs/>
                <w:sz w:val="20"/>
                <w:szCs w:val="20"/>
              </w:rPr>
            </w:pPr>
            <w:r w:rsidRPr="00613BE0">
              <w:rPr>
                <w:rFonts w:asciiTheme="minorHAnsi" w:hAnsiTheme="minorHAnsi"/>
                <w:bCs/>
                <w:sz w:val="20"/>
                <w:szCs w:val="20"/>
              </w:rPr>
              <w:t>G</w:t>
            </w:r>
          </w:p>
        </w:tc>
      </w:tr>
      <w:tr w:rsidR="00B515C4" w:rsidRPr="00613BE0" w:rsidTr="009B2055">
        <w:trPr>
          <w:trHeight w:val="232"/>
        </w:trPr>
        <w:tc>
          <w:tcPr>
            <w:cnfStyle w:val="001000000000"/>
            <w:tcW w:w="708" w:type="dxa"/>
            <w:vMerge/>
            <w:noWrap/>
            <w:hideMark/>
          </w:tcPr>
          <w:p w:rsidR="00DE0F34" w:rsidRPr="00613BE0" w:rsidRDefault="00DE0F34" w:rsidP="009F4E0A">
            <w:pPr>
              <w:rPr>
                <w:bCs/>
                <w:sz w:val="20"/>
                <w:szCs w:val="20"/>
              </w:rPr>
            </w:pPr>
          </w:p>
        </w:tc>
        <w:tc>
          <w:tcPr>
            <w:tcW w:w="1380" w:type="dxa"/>
            <w:tcBorders>
              <w:top w:val="nil"/>
              <w:bottom w:val="single" w:sz="12" w:space="0" w:color="auto"/>
              <w:right w:val="nil"/>
              <w:tl2br w:val="nil"/>
              <w:tr2bl w:val="nil"/>
            </w:tcBorders>
            <w:noWrap/>
            <w:vAlign w:val="top"/>
            <w:hideMark/>
          </w:tcPr>
          <w:p w:rsidR="00DE0F34" w:rsidRPr="00613BE0" w:rsidRDefault="00382544" w:rsidP="002F397B">
            <w:pPr>
              <w:jc w:val="left"/>
              <w:cnfStyle w:val="000000000000"/>
              <w:rPr>
                <w:rFonts w:asciiTheme="minorHAnsi" w:hAnsiTheme="minorHAnsi"/>
                <w:b/>
                <w:bCs/>
                <w:sz w:val="20"/>
                <w:szCs w:val="20"/>
              </w:rPr>
            </w:pPr>
            <w:r w:rsidRPr="00613BE0">
              <w:rPr>
                <w:rFonts w:asciiTheme="minorHAnsi" w:hAnsiTheme="minorHAnsi"/>
                <w:b/>
                <w:bCs/>
                <w:sz w:val="20"/>
                <w:szCs w:val="20"/>
              </w:rPr>
              <w:t>A</w:t>
            </w:r>
          </w:p>
        </w:tc>
        <w:tc>
          <w:tcPr>
            <w:tcW w:w="1342" w:type="dxa"/>
            <w:tcBorders>
              <w:top w:val="nil"/>
              <w:left w:val="nil"/>
              <w:bottom w:val="single" w:sz="12" w:space="0" w:color="auto"/>
              <w:tl2br w:val="nil"/>
              <w:tr2bl w:val="nil"/>
            </w:tcBorders>
          </w:tcPr>
          <w:p w:rsidR="00DE0F34" w:rsidRPr="00613BE0" w:rsidRDefault="00382544" w:rsidP="002F397B">
            <w:pPr>
              <w:jc w:val="left"/>
              <w:cnfStyle w:val="000000000000"/>
              <w:rPr>
                <w:rFonts w:asciiTheme="minorHAnsi" w:hAnsiTheme="minorHAnsi"/>
                <w:b/>
                <w:bCs/>
                <w:sz w:val="20"/>
                <w:szCs w:val="20"/>
              </w:rPr>
            </w:pPr>
            <w:r w:rsidRPr="00613BE0">
              <w:rPr>
                <w:rFonts w:asciiTheme="minorHAnsi" w:hAnsiTheme="minorHAnsi"/>
                <w:b/>
                <w:bCs/>
                <w:sz w:val="20"/>
                <w:szCs w:val="20"/>
              </w:rPr>
              <w:t>B</w:t>
            </w:r>
          </w:p>
        </w:tc>
        <w:tc>
          <w:tcPr>
            <w:tcW w:w="1475" w:type="dxa"/>
            <w:tcBorders>
              <w:top w:val="nil"/>
              <w:bottom w:val="single" w:sz="12" w:space="0" w:color="auto"/>
              <w:right w:val="nil"/>
            </w:tcBorders>
            <w:noWrap/>
            <w:vAlign w:val="top"/>
            <w:hideMark/>
          </w:tcPr>
          <w:p w:rsidR="00DE0F34" w:rsidRPr="00613BE0" w:rsidRDefault="00382544" w:rsidP="002F397B">
            <w:pPr>
              <w:jc w:val="left"/>
              <w:cnfStyle w:val="000000000000"/>
              <w:rPr>
                <w:rFonts w:asciiTheme="minorHAnsi" w:hAnsiTheme="minorHAnsi"/>
                <w:b/>
                <w:bCs/>
                <w:sz w:val="20"/>
                <w:szCs w:val="20"/>
              </w:rPr>
            </w:pPr>
            <w:r w:rsidRPr="00613BE0">
              <w:rPr>
                <w:rFonts w:asciiTheme="minorHAnsi" w:hAnsiTheme="minorHAnsi"/>
                <w:b/>
                <w:bCs/>
                <w:sz w:val="20"/>
                <w:szCs w:val="20"/>
              </w:rPr>
              <w:t>C</w:t>
            </w:r>
          </w:p>
        </w:tc>
        <w:tc>
          <w:tcPr>
            <w:tcW w:w="1288" w:type="dxa"/>
            <w:tcBorders>
              <w:top w:val="nil"/>
              <w:left w:val="nil"/>
              <w:bottom w:val="single" w:sz="12" w:space="0" w:color="auto"/>
            </w:tcBorders>
          </w:tcPr>
          <w:p w:rsidR="00DE0F34" w:rsidRPr="00613BE0" w:rsidRDefault="00DE0F34" w:rsidP="002F397B">
            <w:pPr>
              <w:jc w:val="left"/>
              <w:cnfStyle w:val="000000000000"/>
              <w:rPr>
                <w:rFonts w:asciiTheme="minorHAnsi" w:hAnsiTheme="minorHAnsi"/>
                <w:b/>
                <w:bCs/>
                <w:sz w:val="20"/>
                <w:szCs w:val="20"/>
              </w:rPr>
            </w:pPr>
            <w:r w:rsidRPr="00613BE0">
              <w:rPr>
                <w:rFonts w:asciiTheme="minorHAnsi" w:hAnsiTheme="minorHAnsi"/>
                <w:b/>
                <w:bCs/>
                <w:sz w:val="20"/>
                <w:szCs w:val="20"/>
              </w:rPr>
              <w:t>D</w:t>
            </w:r>
          </w:p>
        </w:tc>
        <w:tc>
          <w:tcPr>
            <w:tcW w:w="1385" w:type="dxa"/>
            <w:vMerge/>
            <w:tcBorders>
              <w:bottom w:val="single" w:sz="12" w:space="0" w:color="auto"/>
              <w:right w:val="nil"/>
            </w:tcBorders>
            <w:noWrap/>
            <w:hideMark/>
          </w:tcPr>
          <w:p w:rsidR="00DE0F34" w:rsidRPr="00613BE0" w:rsidRDefault="00DE0F34" w:rsidP="002F397B">
            <w:pPr>
              <w:cnfStyle w:val="000000000000"/>
              <w:rPr>
                <w:rFonts w:asciiTheme="minorHAnsi" w:hAnsiTheme="minorHAnsi"/>
                <w:b/>
                <w:bCs/>
                <w:sz w:val="20"/>
                <w:szCs w:val="20"/>
              </w:rPr>
            </w:pPr>
          </w:p>
        </w:tc>
        <w:tc>
          <w:tcPr>
            <w:tcW w:w="1480" w:type="dxa"/>
            <w:vMerge/>
            <w:tcBorders>
              <w:left w:val="nil"/>
              <w:bottom w:val="single" w:sz="12" w:space="0" w:color="auto"/>
              <w:right w:val="nil"/>
            </w:tcBorders>
          </w:tcPr>
          <w:p w:rsidR="00DE0F34" w:rsidRPr="00613BE0" w:rsidRDefault="00DE0F34" w:rsidP="002F397B">
            <w:pPr>
              <w:cnfStyle w:val="000000000000"/>
              <w:rPr>
                <w:rFonts w:asciiTheme="minorHAnsi" w:hAnsiTheme="minorHAnsi"/>
                <w:b/>
                <w:bCs/>
                <w:sz w:val="20"/>
                <w:szCs w:val="20"/>
              </w:rPr>
            </w:pPr>
          </w:p>
        </w:tc>
        <w:tc>
          <w:tcPr>
            <w:tcW w:w="957" w:type="dxa"/>
            <w:vMerge/>
            <w:tcBorders>
              <w:left w:val="nil"/>
              <w:bottom w:val="single" w:sz="12" w:space="0" w:color="auto"/>
            </w:tcBorders>
          </w:tcPr>
          <w:p w:rsidR="00DE0F34" w:rsidRPr="00613BE0" w:rsidRDefault="00DE0F34" w:rsidP="002F397B">
            <w:pPr>
              <w:cnfStyle w:val="000000000000"/>
              <w:rPr>
                <w:rFonts w:asciiTheme="minorHAnsi" w:hAnsiTheme="minorHAnsi"/>
                <w:b/>
                <w:bCs/>
                <w:sz w:val="20"/>
                <w:szCs w:val="20"/>
              </w:rPr>
            </w:pPr>
          </w:p>
        </w:tc>
      </w:tr>
      <w:tr w:rsidR="00EC0F71" w:rsidRPr="00613BE0" w:rsidTr="009B2055">
        <w:trPr>
          <w:trHeight w:val="258"/>
        </w:trPr>
        <w:tc>
          <w:tcPr>
            <w:cnfStyle w:val="001000000000"/>
            <w:tcW w:w="708" w:type="dxa"/>
            <w:vMerge/>
            <w:noWrap/>
            <w:hideMark/>
          </w:tcPr>
          <w:p w:rsidR="00EC0F71" w:rsidRPr="00613BE0" w:rsidRDefault="00EC0F71" w:rsidP="009F4E0A">
            <w:pPr>
              <w:rPr>
                <w:rFonts w:ascii="Times New Roman" w:hAnsi="Times New Roman"/>
                <w:b/>
                <w:bCs/>
                <w:sz w:val="20"/>
                <w:szCs w:val="20"/>
              </w:rPr>
            </w:pPr>
          </w:p>
        </w:tc>
        <w:tc>
          <w:tcPr>
            <w:tcW w:w="1380"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Teaching</w:t>
            </w:r>
          </w:p>
        </w:tc>
        <w:tc>
          <w:tcPr>
            <w:tcW w:w="1342"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Other Instructional</w:t>
            </w:r>
          </w:p>
        </w:tc>
        <w:tc>
          <w:tcPr>
            <w:tcW w:w="1475"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MA Public Schools and Collaboratives</w:t>
            </w:r>
          </w:p>
        </w:tc>
        <w:tc>
          <w:tcPr>
            <w:tcW w:w="1288"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MA Private and Out-of-State Schools</w:t>
            </w:r>
          </w:p>
        </w:tc>
        <w:tc>
          <w:tcPr>
            <w:tcW w:w="1385"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Combined Special Ed Expenditures</w:t>
            </w:r>
          </w:p>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(A+B+C+D)</w:t>
            </w:r>
          </w:p>
        </w:tc>
        <w:tc>
          <w:tcPr>
            <w:tcW w:w="1480" w:type="dxa"/>
            <w:noWrap/>
            <w:hideMark/>
          </w:tcPr>
          <w:p w:rsidR="00EC0F71" w:rsidRPr="00613BE0" w:rsidRDefault="00EC0F71" w:rsidP="009F4E0A">
            <w:pPr>
              <w:jc w:val="left"/>
              <w:cnfStyle w:val="000000000000"/>
              <w:rPr>
                <w:rFonts w:ascii="Times New Roman" w:hAnsi="Times New Roman"/>
                <w:b/>
                <w:bCs/>
                <w:sz w:val="20"/>
                <w:szCs w:val="20"/>
              </w:rPr>
            </w:pPr>
            <w:r w:rsidRPr="00613BE0">
              <w:rPr>
                <w:rFonts w:ascii="Times New Roman" w:hAnsi="Times New Roman"/>
                <w:b/>
                <w:bCs/>
                <w:sz w:val="20"/>
                <w:szCs w:val="20"/>
              </w:rPr>
              <w:t>Total        School Operating Budget</w:t>
            </w:r>
          </w:p>
        </w:tc>
        <w:tc>
          <w:tcPr>
            <w:tcW w:w="957" w:type="dxa"/>
            <w:noWrap/>
            <w:hideMark/>
          </w:tcPr>
          <w:p w:rsidR="00EC0F71" w:rsidRPr="00613BE0" w:rsidRDefault="00EC0F71" w:rsidP="009F4E0A">
            <w:pPr>
              <w:ind w:left="-109" w:right="295"/>
              <w:jc w:val="left"/>
              <w:cnfStyle w:val="000000000000"/>
              <w:rPr>
                <w:rFonts w:ascii="Times New Roman" w:hAnsi="Times New Roman"/>
                <w:b/>
                <w:bCs/>
                <w:sz w:val="20"/>
                <w:szCs w:val="20"/>
              </w:rPr>
            </w:pPr>
            <w:r w:rsidRPr="00613BE0">
              <w:rPr>
                <w:rFonts w:ascii="Times New Roman" w:hAnsi="Times New Roman"/>
                <w:b/>
                <w:bCs/>
                <w:sz w:val="20"/>
                <w:szCs w:val="20"/>
              </w:rPr>
              <w:t>Special Education % of Budget</w:t>
            </w:r>
          </w:p>
          <w:p w:rsidR="00EC0F71" w:rsidRPr="00613BE0" w:rsidRDefault="00EC0F71" w:rsidP="009F4E0A">
            <w:pPr>
              <w:ind w:left="-109" w:right="295"/>
              <w:jc w:val="left"/>
              <w:cnfStyle w:val="000000000000"/>
              <w:rPr>
                <w:rFonts w:ascii="Times New Roman" w:hAnsi="Times New Roman"/>
                <w:b/>
                <w:bCs/>
                <w:sz w:val="20"/>
                <w:szCs w:val="20"/>
              </w:rPr>
            </w:pPr>
            <w:r w:rsidRPr="00613BE0">
              <w:rPr>
                <w:rFonts w:ascii="Times New Roman" w:hAnsi="Times New Roman"/>
                <w:b/>
                <w:bCs/>
                <w:sz w:val="20"/>
                <w:szCs w:val="20"/>
              </w:rPr>
              <w:t>(E as % of F)</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2008</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1,132,805,073</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209,235,235</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223,288,119</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451,779,440</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2,017,107,867</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10,172,987,581</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19.8</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2009</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1,199,704,253</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212,959,915</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223,839,279</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417,844,303</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2,054,347,750</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10,243,839,754</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20.1</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2010</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1,221,013,989</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218,417,498</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227,720,315</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422,154,922</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2,089,306,724</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10,530,690,533</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19.8</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2011</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1,214,794,187</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228,193,919</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247,601,162</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435,878,519</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2,126,467,787</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10,710,955,988</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19.9</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2012</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1,290,077,738</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239,336,243</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258,571,816</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475,131,655</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2,263,117,452</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11,034,255,332</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20.5</w:t>
            </w:r>
          </w:p>
        </w:tc>
      </w:tr>
      <w:tr w:rsidR="00F7296E" w:rsidRPr="00613BE0" w:rsidTr="009B2055">
        <w:trPr>
          <w:trHeight w:val="258"/>
        </w:trPr>
        <w:tc>
          <w:tcPr>
            <w:cnfStyle w:val="001000000000"/>
            <w:tcW w:w="708" w:type="dxa"/>
            <w:noWrap/>
            <w:vAlign w:val="top"/>
            <w:hideMark/>
          </w:tcPr>
          <w:p w:rsidR="00F7296E" w:rsidRPr="00613BE0" w:rsidRDefault="00F7296E" w:rsidP="00F7296E">
            <w:pPr>
              <w:rPr>
                <w:rFonts w:ascii="Times New Roman" w:hAnsi="Times New Roman"/>
                <w:sz w:val="20"/>
                <w:szCs w:val="20"/>
              </w:rPr>
            </w:pPr>
            <w:r w:rsidRPr="00613BE0">
              <w:rPr>
                <w:rFonts w:ascii="Times New Roman" w:hAnsi="Times New Roman"/>
                <w:sz w:val="20"/>
                <w:szCs w:val="20"/>
              </w:rPr>
              <w:t>2013</w:t>
            </w:r>
          </w:p>
        </w:tc>
        <w:tc>
          <w:tcPr>
            <w:tcW w:w="13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1,391,956,887</w:t>
            </w:r>
          </w:p>
        </w:tc>
        <w:tc>
          <w:tcPr>
            <w:tcW w:w="1342"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248,357,794</w:t>
            </w:r>
          </w:p>
        </w:tc>
        <w:tc>
          <w:tcPr>
            <w:tcW w:w="147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257,350,184</w:t>
            </w:r>
          </w:p>
        </w:tc>
        <w:tc>
          <w:tcPr>
            <w:tcW w:w="1288"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507,772,958</w:t>
            </w:r>
          </w:p>
        </w:tc>
        <w:tc>
          <w:tcPr>
            <w:tcW w:w="1385"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2,405,437,823</w:t>
            </w:r>
          </w:p>
        </w:tc>
        <w:tc>
          <w:tcPr>
            <w:tcW w:w="1480"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11,486,135,702</w:t>
            </w:r>
          </w:p>
        </w:tc>
        <w:tc>
          <w:tcPr>
            <w:tcW w:w="957" w:type="dxa"/>
            <w:noWrap/>
            <w:vAlign w:val="top"/>
            <w:hideMark/>
          </w:tcPr>
          <w:p w:rsidR="00F7296E" w:rsidRPr="00613BE0" w:rsidRDefault="00F7296E" w:rsidP="00F7296E">
            <w:pPr>
              <w:jc w:val="left"/>
              <w:cnfStyle w:val="000000000000"/>
              <w:rPr>
                <w:rFonts w:ascii="Times New Roman" w:hAnsi="Times New Roman"/>
                <w:sz w:val="20"/>
                <w:szCs w:val="20"/>
              </w:rPr>
            </w:pPr>
            <w:r w:rsidRPr="00613BE0">
              <w:rPr>
                <w:rFonts w:ascii="Times New Roman" w:hAnsi="Times New Roman"/>
                <w:sz w:val="20"/>
                <w:szCs w:val="20"/>
              </w:rPr>
              <w:t>20.9</w:t>
            </w:r>
          </w:p>
        </w:tc>
      </w:tr>
      <w:tr w:rsidR="00781D3E" w:rsidRPr="00613BE0" w:rsidTr="009B2055">
        <w:trPr>
          <w:trHeight w:val="258"/>
        </w:trPr>
        <w:tc>
          <w:tcPr>
            <w:cnfStyle w:val="001000000000"/>
            <w:tcW w:w="708" w:type="dxa"/>
            <w:noWrap/>
            <w:vAlign w:val="top"/>
            <w:hideMark/>
          </w:tcPr>
          <w:p w:rsidR="00781D3E" w:rsidRPr="00613BE0" w:rsidRDefault="00781D3E" w:rsidP="00173C94">
            <w:pPr>
              <w:rPr>
                <w:rFonts w:ascii="Times New Roman" w:hAnsi="Times New Roman"/>
                <w:sz w:val="20"/>
                <w:szCs w:val="20"/>
              </w:rPr>
            </w:pPr>
            <w:r w:rsidRPr="00613BE0">
              <w:rPr>
                <w:rFonts w:ascii="Times New Roman" w:hAnsi="Times New Roman"/>
                <w:sz w:val="20"/>
                <w:szCs w:val="20"/>
              </w:rPr>
              <w:t>2014</w:t>
            </w:r>
          </w:p>
        </w:tc>
        <w:tc>
          <w:tcPr>
            <w:tcW w:w="1380"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1,459,789,905</w:t>
            </w:r>
          </w:p>
        </w:tc>
        <w:tc>
          <w:tcPr>
            <w:tcW w:w="1342"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257,489,030</w:t>
            </w:r>
          </w:p>
        </w:tc>
        <w:tc>
          <w:tcPr>
            <w:tcW w:w="1475"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259,934,327</w:t>
            </w:r>
          </w:p>
        </w:tc>
        <w:tc>
          <w:tcPr>
            <w:tcW w:w="1288"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511,132,743</w:t>
            </w:r>
          </w:p>
        </w:tc>
        <w:tc>
          <w:tcPr>
            <w:tcW w:w="1385"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2,488,346,005</w:t>
            </w:r>
          </w:p>
        </w:tc>
        <w:tc>
          <w:tcPr>
            <w:tcW w:w="1480"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11,926,430,635</w:t>
            </w:r>
          </w:p>
        </w:tc>
        <w:tc>
          <w:tcPr>
            <w:tcW w:w="957" w:type="dxa"/>
            <w:noWrap/>
            <w:vAlign w:val="top"/>
            <w:hideMark/>
          </w:tcPr>
          <w:p w:rsidR="00781D3E" w:rsidRPr="00613BE0" w:rsidRDefault="00781D3E" w:rsidP="00781D3E">
            <w:pPr>
              <w:jc w:val="left"/>
              <w:cnfStyle w:val="000000000000"/>
              <w:rPr>
                <w:rFonts w:ascii="Times New Roman" w:hAnsi="Times New Roman"/>
                <w:sz w:val="20"/>
                <w:szCs w:val="20"/>
              </w:rPr>
            </w:pPr>
            <w:r w:rsidRPr="00613BE0">
              <w:rPr>
                <w:rFonts w:ascii="Times New Roman" w:hAnsi="Times New Roman"/>
                <w:sz w:val="20"/>
                <w:szCs w:val="20"/>
              </w:rPr>
              <w:t>20.9</w:t>
            </w:r>
          </w:p>
        </w:tc>
      </w:tr>
    </w:tbl>
    <w:p w:rsidR="00CB262E" w:rsidRPr="00613BE0" w:rsidRDefault="00CB262E" w:rsidP="0052582A">
      <w:pPr>
        <w:spacing w:after="360"/>
        <w:rPr>
          <w:i/>
          <w:sz w:val="20"/>
          <w:szCs w:val="20"/>
        </w:rPr>
      </w:pPr>
      <w:r w:rsidRPr="00613BE0">
        <w:rPr>
          <w:i/>
          <w:sz w:val="20"/>
          <w:szCs w:val="20"/>
        </w:rPr>
        <w:t>Source: End of Year Pupil and Financial Report</w:t>
      </w:r>
      <w:r w:rsidR="004309A1" w:rsidRPr="00613BE0">
        <w:rPr>
          <w:i/>
          <w:sz w:val="20"/>
          <w:szCs w:val="20"/>
        </w:rPr>
        <w:t>, Schedule 4 – Special Education Expenditures</w:t>
      </w:r>
    </w:p>
    <w:p w:rsidR="00214D10" w:rsidRPr="00944904" w:rsidRDefault="005652DF" w:rsidP="00C921E3">
      <w:pPr>
        <w:pStyle w:val="Heading2"/>
        <w:spacing w:before="0" w:after="120"/>
      </w:pPr>
      <w:bookmarkStart w:id="25" w:name="_Toc441569626"/>
      <w:r>
        <w:lastRenderedPageBreak/>
        <w:t>D</w:t>
      </w:r>
      <w:r w:rsidR="009B17DE" w:rsidRPr="00944904">
        <w:t>.</w:t>
      </w:r>
      <w:r w:rsidR="00214D10" w:rsidRPr="00944904">
        <w:tab/>
      </w:r>
      <w:r w:rsidR="00214D10" w:rsidRPr="0043306B">
        <w:t>School-Based Medicaid</w:t>
      </w:r>
      <w:bookmarkEnd w:id="25"/>
    </w:p>
    <w:p w:rsidR="0043306B" w:rsidRDefault="00750E80" w:rsidP="00D04FC4">
      <w:pPr>
        <w:spacing w:after="120"/>
      </w:pPr>
      <w:r w:rsidRPr="00096F2A">
        <w:t xml:space="preserve">The School-Based Medicaid program allows local education authorities (LEAs), such as cities and towns, charter schools, public health commissions, and regional school districts, to seek payment for providing medically necessary Medicaid services (direct services) to eligible MassHealth-enrolled children. This program also allows such agencies to seek payment for participating in activities that support the administration of the state's Medicaid program (administrative activities). This </w:t>
      </w:r>
      <w:r w:rsidR="00FE18A0" w:rsidRPr="00096F2A">
        <w:t>includes</w:t>
      </w:r>
      <w:r w:rsidRPr="00096F2A">
        <w:t xml:space="preserve"> outreach and those activities that aid the delivery of direct services to M</w:t>
      </w:r>
      <w:r w:rsidR="00FE18A0" w:rsidRPr="00096F2A">
        <w:t xml:space="preserve">edicaid-enrolled children with </w:t>
      </w:r>
      <w:r w:rsidR="007332AA">
        <w:t xml:space="preserve">IEPs. </w:t>
      </w:r>
      <w:r w:rsidRPr="00096F2A">
        <w:t xml:space="preserve">State law allows LEAs to participate in the </w:t>
      </w:r>
      <w:r w:rsidR="007A0AD8">
        <w:t>School-Based</w:t>
      </w:r>
      <w:r w:rsidRPr="00096F2A">
        <w:t xml:space="preserve"> Medicaid program and to seek payment for either direct services or administrative activities</w:t>
      </w:r>
      <w:r w:rsidR="00E343C8">
        <w:t xml:space="preserve"> or both</w:t>
      </w:r>
      <w:r w:rsidRPr="00096F2A">
        <w:t xml:space="preserve">. In order to participate in the program, LEAs must sign provider contracts with the state Medicaid agency. </w:t>
      </w:r>
      <w:r w:rsidR="007A0AD8">
        <w:t>School-Based</w:t>
      </w:r>
      <w:r w:rsidRPr="00096F2A">
        <w:t xml:space="preserve"> Medicaid providers can bill MassHealth in accordance with the contract terms.</w:t>
      </w:r>
      <w:r w:rsidR="00EB4C63" w:rsidRPr="00096F2A">
        <w:t xml:space="preserve"> </w:t>
      </w:r>
      <w:r w:rsidR="00D04FC4" w:rsidRPr="00096F2A">
        <w:t>Federal revenues are returned directly to the municipality which, in turn, can choose to share such revenue with the school districts, in whole or in part.</w:t>
      </w:r>
      <w:r w:rsidR="007A0AD8">
        <w:t xml:space="preserve"> </w:t>
      </w:r>
      <w:r w:rsidR="002405D2">
        <w:t xml:space="preserve">Figure A below seeks </w:t>
      </w:r>
      <w:proofErr w:type="gramStart"/>
      <w:r w:rsidR="002405D2">
        <w:t xml:space="preserve">to </w:t>
      </w:r>
      <w:r w:rsidR="00D0680B">
        <w:t xml:space="preserve"> provide</w:t>
      </w:r>
      <w:proofErr w:type="gramEnd"/>
      <w:r w:rsidR="00D0680B">
        <w:t xml:space="preserve"> an overview</w:t>
      </w:r>
      <w:r w:rsidR="002405D2">
        <w:t xml:space="preserve"> of the </w:t>
      </w:r>
      <w:r w:rsidR="00D0680B">
        <w:t xml:space="preserve"> scale</w:t>
      </w:r>
      <w:r w:rsidR="00501B04">
        <w:t xml:space="preserve"> of </w:t>
      </w:r>
      <w:r w:rsidR="0079076A">
        <w:t>Massachusetts</w:t>
      </w:r>
      <w:r w:rsidR="00D0680B">
        <w:t>’</w:t>
      </w:r>
      <w:r w:rsidR="0079076A">
        <w:t xml:space="preserve"> </w:t>
      </w:r>
      <w:r w:rsidR="002405D2">
        <w:t>districts  receiv</w:t>
      </w:r>
      <w:r w:rsidR="00D0680B">
        <w:t>ing</w:t>
      </w:r>
      <w:r w:rsidR="002405D2">
        <w:t xml:space="preserve"> Medicai</w:t>
      </w:r>
      <w:r w:rsidR="00F42BC0">
        <w:t>d revenue from municipalities.</w:t>
      </w:r>
      <w:r w:rsidR="00501B04">
        <w:t xml:space="preserve"> Districts may apply for and receive </w:t>
      </w:r>
      <w:r w:rsidR="002405D2">
        <w:t xml:space="preserve">revenues </w:t>
      </w:r>
      <w:r w:rsidR="00501B04">
        <w:t>in different fiscal years,</w:t>
      </w:r>
      <w:r w:rsidR="002405D2">
        <w:t xml:space="preserve"> but this is a </w:t>
      </w:r>
      <w:r w:rsidR="006410D1">
        <w:t xml:space="preserve">close </w:t>
      </w:r>
      <w:r w:rsidR="002405D2">
        <w:t xml:space="preserve">approximation </w:t>
      </w:r>
      <w:r w:rsidR="0079076A">
        <w:t>of FY14 activity</w:t>
      </w:r>
      <w:r w:rsidR="002405D2">
        <w:t>.</w:t>
      </w:r>
      <w:r w:rsidR="00A30305">
        <w:t xml:space="preserve"> </w:t>
      </w:r>
      <w:r w:rsidR="007A0AD8">
        <w:t xml:space="preserve">Typically, municipalities </w:t>
      </w:r>
      <w:r w:rsidR="002405D2">
        <w:t xml:space="preserve">that do not share the Medicaid revenue with the </w:t>
      </w:r>
      <w:r w:rsidR="00922BC7">
        <w:t xml:space="preserve">school district </w:t>
      </w:r>
      <w:r w:rsidR="002405D2">
        <w:t>usually provide some alternative service (such as property maintenance or snow-plowing), so Figure A must be viewed with some caution.</w:t>
      </w:r>
      <w:r w:rsidR="00A30305">
        <w:t xml:space="preserve"> Data for FY14 represents the most recent available information.</w:t>
      </w:r>
    </w:p>
    <w:p w:rsidR="00750E80" w:rsidRPr="008D0C5F" w:rsidRDefault="006B1009" w:rsidP="008225D7">
      <w:pPr>
        <w:rPr>
          <w:b/>
          <w:sz w:val="22"/>
          <w:szCs w:val="22"/>
        </w:rPr>
      </w:pPr>
      <w:r>
        <w:rPr>
          <w:b/>
          <w:sz w:val="22"/>
          <w:szCs w:val="22"/>
        </w:rPr>
        <w:t>Figure A</w:t>
      </w:r>
      <w:r w:rsidR="00750E80" w:rsidRPr="008D0C5F">
        <w:rPr>
          <w:b/>
          <w:sz w:val="22"/>
          <w:szCs w:val="22"/>
        </w:rPr>
        <w:t>: Municipal M</w:t>
      </w:r>
      <w:r w:rsidR="00944904" w:rsidRPr="008D0C5F">
        <w:rPr>
          <w:b/>
          <w:sz w:val="22"/>
          <w:szCs w:val="22"/>
        </w:rPr>
        <w:t>edicaid Funding Breakdown, FY</w:t>
      </w:r>
      <w:r w:rsidR="0086277E">
        <w:rPr>
          <w:b/>
          <w:sz w:val="22"/>
          <w:szCs w:val="22"/>
        </w:rPr>
        <w:t>14</w:t>
      </w:r>
    </w:p>
    <w:p w:rsidR="00750E80" w:rsidRPr="00944904" w:rsidRDefault="00750E80" w:rsidP="008A6CAD">
      <w:pPr>
        <w:spacing w:after="240"/>
      </w:pPr>
      <w:r w:rsidRPr="00944904">
        <w:rPr>
          <w:noProof/>
          <w:lang w:eastAsia="zh-CN" w:bidi="km-KH"/>
        </w:rPr>
        <w:drawing>
          <wp:inline distT="0" distB="0" distL="0" distR="0">
            <wp:extent cx="6174029" cy="3877056"/>
            <wp:effectExtent l="0" t="0" r="0" b="0"/>
            <wp:docPr id="5" name="Diagram 2" descr="403 districts in state&#10;&#10;76 districts did not participate (19%)&#10;327 school districts participated (81%)&#10;71 districts recieved no revenue&#10;256 districts recieved revenue&#10;27 districts recieved soem income&#10;229 districts recieved 100% of claim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944904">
        <w:rPr>
          <w:i/>
          <w:sz w:val="18"/>
          <w:szCs w:val="18"/>
        </w:rPr>
        <w:t>Source: MA EOHHS Office of School-Based Medicaid</w:t>
      </w:r>
    </w:p>
    <w:p w:rsidR="00872D52" w:rsidRDefault="00750E80" w:rsidP="008A6CAD">
      <w:pPr>
        <w:spacing w:after="240"/>
      </w:pPr>
      <w:r w:rsidRPr="00096F2A">
        <w:t>The figures for the School-Based Medica</w:t>
      </w:r>
      <w:r w:rsidR="00944904" w:rsidRPr="00096F2A">
        <w:t>id program for FY07 through FY1</w:t>
      </w:r>
      <w:r w:rsidR="00F52DC8">
        <w:t>4</w:t>
      </w:r>
      <w:r w:rsidR="00B40538" w:rsidRPr="00096F2A">
        <w:t xml:space="preserve"> are provided below in Figure </w:t>
      </w:r>
      <w:r w:rsidR="00400C58">
        <w:t>B</w:t>
      </w:r>
      <w:r w:rsidRPr="00096F2A">
        <w:t>.</w:t>
      </w:r>
      <w:r w:rsidR="00BE0464">
        <w:t xml:space="preserve"> </w:t>
      </w:r>
      <w:r w:rsidR="002405D2">
        <w:t xml:space="preserve">The sharp decline from FY9 to FY10 represents a change in the claiming mechanism required by the federal Medicaid office. </w:t>
      </w:r>
      <w:r w:rsidRPr="00096F2A">
        <w:t>Total Muni</w:t>
      </w:r>
      <w:r w:rsidR="00F52DC8">
        <w:t>cipal Medicaid Claims for FY14</w:t>
      </w:r>
      <w:r w:rsidRPr="00096F2A">
        <w:t xml:space="preserve"> were </w:t>
      </w:r>
      <w:r w:rsidR="00D0680B">
        <w:t>$</w:t>
      </w:r>
      <w:r w:rsidR="00192630">
        <w:t xml:space="preserve">66.3 </w:t>
      </w:r>
      <w:r w:rsidR="00DD56A9" w:rsidRPr="00096F2A">
        <w:t>million</w:t>
      </w:r>
      <w:r w:rsidR="00D0680B">
        <w:t>.</w:t>
      </w:r>
      <w:r w:rsidR="00DD56A9" w:rsidRPr="00096F2A">
        <w:t xml:space="preserve"> </w:t>
      </w:r>
      <w:r w:rsidRPr="00096F2A">
        <w:t>Total reven</w:t>
      </w:r>
      <w:r w:rsidR="00F52DC8">
        <w:t>ue received by providers in FY14</w:t>
      </w:r>
      <w:r w:rsidRPr="00096F2A">
        <w:t xml:space="preserve"> was </w:t>
      </w:r>
      <w:r w:rsidR="00D0680B">
        <w:t>$</w:t>
      </w:r>
      <w:r w:rsidR="00192630">
        <w:t xml:space="preserve">60.6 </w:t>
      </w:r>
      <w:proofErr w:type="gramStart"/>
      <w:r w:rsidR="005B2B87" w:rsidRPr="00096F2A">
        <w:t xml:space="preserve">million </w:t>
      </w:r>
      <w:r w:rsidRPr="00096F2A">
        <w:t>;</w:t>
      </w:r>
      <w:proofErr w:type="gramEnd"/>
      <w:r w:rsidRPr="00096F2A">
        <w:t xml:space="preserve"> </w:t>
      </w:r>
      <w:r w:rsidR="00D0680B">
        <w:t>$</w:t>
      </w:r>
      <w:r w:rsidR="00192630">
        <w:t>38.7</w:t>
      </w:r>
      <w:r w:rsidR="005B2B87" w:rsidRPr="00096F2A">
        <w:t xml:space="preserve"> </w:t>
      </w:r>
      <w:r w:rsidR="005B2B87" w:rsidRPr="00096F2A">
        <w:lastRenderedPageBreak/>
        <w:t xml:space="preserve">million </w:t>
      </w:r>
      <w:r w:rsidR="00615D61">
        <w:t>was</w:t>
      </w:r>
      <w:r w:rsidR="00615D61" w:rsidRPr="00096F2A">
        <w:t xml:space="preserve"> </w:t>
      </w:r>
      <w:r w:rsidRPr="00096F2A">
        <w:t xml:space="preserve">for Direct Services Claims and </w:t>
      </w:r>
      <w:r w:rsidR="00D0680B">
        <w:t>$</w:t>
      </w:r>
      <w:r w:rsidR="00192630">
        <w:t>27.7</w:t>
      </w:r>
      <w:r w:rsidR="005B2B87" w:rsidRPr="00096F2A">
        <w:t xml:space="preserve"> million </w:t>
      </w:r>
      <w:r w:rsidRPr="00096F2A">
        <w:t>for A</w:t>
      </w:r>
      <w:r w:rsidR="00944904" w:rsidRPr="00096F2A">
        <w:t xml:space="preserve">dministrative Activity Claiming. </w:t>
      </w:r>
      <w:r w:rsidR="00D0680B">
        <w:t xml:space="preserve">In FY14, </w:t>
      </w:r>
      <w:r w:rsidR="004D5355">
        <w:t>295</w:t>
      </w:r>
      <w:r w:rsidR="00B641FF">
        <w:t xml:space="preserve"> </w:t>
      </w:r>
      <w:r w:rsidRPr="00096F2A">
        <w:t xml:space="preserve">school districts received </w:t>
      </w:r>
      <w:r w:rsidR="002405D2">
        <w:t xml:space="preserve">Medicaid </w:t>
      </w:r>
      <w:r w:rsidRPr="00096F2A">
        <w:t xml:space="preserve">revenue. </w:t>
      </w:r>
    </w:p>
    <w:p w:rsidR="007C1DE2" w:rsidRDefault="00FB608F" w:rsidP="00154E10">
      <w:pPr>
        <w:spacing w:after="120"/>
        <w:rPr>
          <w:noProof/>
        </w:rPr>
      </w:pPr>
      <w:r w:rsidRPr="00B40538">
        <w:rPr>
          <w:b/>
          <w:sz w:val="22"/>
          <w:szCs w:val="22"/>
        </w:rPr>
        <w:t xml:space="preserve">Figure </w:t>
      </w:r>
      <w:r w:rsidR="008419CF">
        <w:rPr>
          <w:b/>
          <w:sz w:val="22"/>
          <w:szCs w:val="22"/>
        </w:rPr>
        <w:t>B</w:t>
      </w:r>
      <w:r w:rsidR="007A0054" w:rsidRPr="00B40538">
        <w:rPr>
          <w:b/>
          <w:sz w:val="22"/>
          <w:szCs w:val="22"/>
        </w:rPr>
        <w:t>: Total Municipal Medicaid Claims</w:t>
      </w:r>
      <w:r w:rsidR="00F52DC8">
        <w:rPr>
          <w:b/>
          <w:sz w:val="22"/>
          <w:szCs w:val="22"/>
        </w:rPr>
        <w:t xml:space="preserve"> in Dollars FY07-FY14 </w:t>
      </w:r>
      <w:bookmarkStart w:id="26" w:name="_III.__Results"/>
      <w:bookmarkEnd w:id="26"/>
    </w:p>
    <w:p w:rsidR="00503AC7" w:rsidRPr="00E343C8" w:rsidRDefault="00000212" w:rsidP="008E3FE9">
      <w:pPr>
        <w:spacing w:after="360" w:line="360" w:lineRule="auto"/>
      </w:pPr>
      <w:r w:rsidRPr="00000212">
        <w:rPr>
          <w:noProof/>
          <w:lang w:eastAsia="zh-CN" w:bidi="km-KH"/>
        </w:rPr>
        <w:drawing>
          <wp:inline distT="0" distB="0" distL="0" distR="0">
            <wp:extent cx="5925972" cy="2927445"/>
            <wp:effectExtent l="19050" t="0" r="17628" b="625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503AC7" w:rsidRPr="00CB262E">
        <w:rPr>
          <w:i/>
          <w:sz w:val="18"/>
          <w:szCs w:val="18"/>
        </w:rPr>
        <w:t xml:space="preserve">Source: </w:t>
      </w:r>
      <w:r w:rsidR="00503AC7">
        <w:rPr>
          <w:i/>
          <w:sz w:val="18"/>
          <w:szCs w:val="18"/>
        </w:rPr>
        <w:t>MA EOHHS Office of School-Based Medicaid</w:t>
      </w:r>
    </w:p>
    <w:p w:rsidR="001458FF" w:rsidRDefault="001458FF" w:rsidP="001458FF">
      <w:pPr>
        <w:pStyle w:val="Heading2"/>
        <w:spacing w:before="0" w:after="120"/>
      </w:pPr>
      <w:bookmarkStart w:id="27" w:name="_III.__Results_1"/>
      <w:bookmarkStart w:id="28" w:name="_V.__FY14"/>
      <w:bookmarkStart w:id="29" w:name="_Toc441569627"/>
      <w:bookmarkEnd w:id="27"/>
      <w:bookmarkEnd w:id="28"/>
      <w:r>
        <w:t>E</w:t>
      </w:r>
      <w:r w:rsidRPr="00944904">
        <w:t>.</w:t>
      </w:r>
      <w:r w:rsidRPr="00944904">
        <w:tab/>
      </w:r>
      <w:r>
        <w:t>Circuit Breaker</w:t>
      </w:r>
      <w:bookmarkEnd w:id="29"/>
    </w:p>
    <w:p w:rsidR="001458FF" w:rsidRDefault="001458FF" w:rsidP="00825920">
      <w:pPr>
        <w:spacing w:after="120"/>
      </w:pPr>
      <w:r w:rsidRPr="001458FF">
        <w:t xml:space="preserve">The state Special Education Reimbursement (“Circuit Breaker”) Program, enacted by the Legislature in 2000,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w:t>
      </w:r>
      <w:r w:rsidR="0011065D">
        <w:t>Department</w:t>
      </w:r>
      <w:r w:rsidRPr="001458FF">
        <w:t xml:space="preserve">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w:t>
      </w:r>
    </w:p>
    <w:p w:rsidR="00CE66BC" w:rsidRDefault="00BE58AD" w:rsidP="001458FF">
      <w:r>
        <w:t xml:space="preserve">Annual </w:t>
      </w:r>
      <w:r w:rsidR="00187CC7">
        <w:t xml:space="preserve">reports </w:t>
      </w:r>
      <w:r>
        <w:t xml:space="preserve">on </w:t>
      </w:r>
      <w:r w:rsidR="00187CC7">
        <w:t xml:space="preserve">statewide circuit breaker </w:t>
      </w:r>
      <w:r>
        <w:t>claims and reimbursement can be foun</w:t>
      </w:r>
      <w:r w:rsidR="00187CC7">
        <w:t xml:space="preserve">d at </w:t>
      </w:r>
      <w:hyperlink r:id="rId26" w:history="1">
        <w:r w:rsidR="00187CC7" w:rsidRPr="002313FF">
          <w:rPr>
            <w:rStyle w:val="Hyperlink"/>
          </w:rPr>
          <w:t>http://www.doe.mass.edu/finance/circuitbreaker</w:t>
        </w:r>
      </w:hyperlink>
      <w:r w:rsidR="00187CC7">
        <w:t xml:space="preserve">. </w:t>
      </w:r>
      <w:hyperlink r:id="rId27" w:history="1">
        <w:r w:rsidR="00876E27" w:rsidRPr="004A2FBA">
          <w:rPr>
            <w:rStyle w:val="Hyperlink"/>
          </w:rPr>
          <w:t>Data from</w:t>
        </w:r>
        <w:r w:rsidR="00187CC7" w:rsidRPr="004A2FBA">
          <w:rPr>
            <w:rStyle w:val="Hyperlink"/>
          </w:rPr>
          <w:t xml:space="preserve"> June 2015</w:t>
        </w:r>
      </w:hyperlink>
      <w:r w:rsidR="00187CC7">
        <w:t xml:space="preserve"> show </w:t>
      </w:r>
      <w:r w:rsidR="00876E27">
        <w:t xml:space="preserve">district </w:t>
      </w:r>
      <w:r w:rsidR="00187CC7">
        <w:t>claims submitted in FY14 and reimbursed in FY15</w:t>
      </w:r>
      <w:r w:rsidR="00BD2F46">
        <w:t xml:space="preserve"> at a rate of 73.5 percent</w:t>
      </w:r>
      <w:r w:rsidR="00187CC7">
        <w:t xml:space="preserve">. </w:t>
      </w:r>
    </w:p>
    <w:p w:rsidR="0072525D" w:rsidRPr="00CD4510" w:rsidRDefault="00EE6D94" w:rsidP="0072525D">
      <w:pPr>
        <w:pStyle w:val="Heading1"/>
      </w:pPr>
      <w:bookmarkStart w:id="30" w:name="_Toc441569628"/>
      <w:r>
        <w:t>III</w:t>
      </w:r>
      <w:r w:rsidR="0072525D" w:rsidRPr="00CD4510">
        <w:t xml:space="preserve">. </w:t>
      </w:r>
      <w:r w:rsidR="0072525D" w:rsidRPr="00CD4510">
        <w:tab/>
      </w:r>
      <w:r w:rsidR="00CA4DA2">
        <w:t>FY15</w:t>
      </w:r>
      <w:r w:rsidR="0072525D">
        <w:t xml:space="preserve"> in Review</w:t>
      </w:r>
      <w:bookmarkEnd w:id="30"/>
    </w:p>
    <w:p w:rsidR="00C24E01" w:rsidRDefault="008D2D09" w:rsidP="008D2D09">
      <w:pPr>
        <w:spacing w:after="120"/>
        <w:rPr>
          <w:i/>
        </w:rPr>
      </w:pPr>
      <w:r w:rsidRPr="0072770E">
        <w:rPr>
          <w:i/>
        </w:rPr>
        <w:t xml:space="preserve">This section </w:t>
      </w:r>
      <w:r w:rsidR="004565C8">
        <w:rPr>
          <w:i/>
        </w:rPr>
        <w:t>highlights</w:t>
      </w:r>
      <w:r w:rsidRPr="0072770E">
        <w:rPr>
          <w:i/>
        </w:rPr>
        <w:t xml:space="preserve"> specific strategies, initiatives, activities, and planning conducted by the Department during </w:t>
      </w:r>
      <w:r w:rsidR="00E225BA">
        <w:rPr>
          <w:i/>
        </w:rPr>
        <w:t>FY15</w:t>
      </w:r>
      <w:r w:rsidRPr="0072770E">
        <w:rPr>
          <w:i/>
        </w:rPr>
        <w:t>.</w:t>
      </w:r>
    </w:p>
    <w:p w:rsidR="00F044FE" w:rsidRDefault="00113215" w:rsidP="00643DB3">
      <w:pPr>
        <w:pStyle w:val="Heading2"/>
        <w:spacing w:after="120"/>
      </w:pPr>
      <w:bookmarkStart w:id="31" w:name="_Toc441569629"/>
      <w:r>
        <w:t>A</w:t>
      </w:r>
      <w:r w:rsidR="00F044FE" w:rsidRPr="00FB7966">
        <w:t xml:space="preserve">. </w:t>
      </w:r>
      <w:r w:rsidR="00F044FE" w:rsidRPr="00FB7966">
        <w:tab/>
        <w:t>Office of Special Education Planning &amp; Policy Development</w:t>
      </w:r>
      <w:bookmarkEnd w:id="31"/>
    </w:p>
    <w:p w:rsidR="007D4E3E" w:rsidRDefault="007D4E3E" w:rsidP="00754A3C">
      <w:pPr>
        <w:spacing w:after="240"/>
      </w:pPr>
      <w:r w:rsidRPr="00096F2A">
        <w:t>The Office of Special Education Planning &amp; Policy Development</w:t>
      </w:r>
      <w:r w:rsidR="00736F8B" w:rsidRPr="00096F2A">
        <w:t xml:space="preserve"> (SEPP)</w:t>
      </w:r>
      <w:r w:rsidRPr="00096F2A">
        <w:t xml:space="preserve"> is the lead unit at the Department</w:t>
      </w:r>
      <w:r w:rsidR="00736F8B" w:rsidRPr="00096F2A">
        <w:t xml:space="preserve"> for</w:t>
      </w:r>
      <w:r w:rsidRPr="00096F2A">
        <w:t xml:space="preserve"> planning and delivering targeted supports and resources</w:t>
      </w:r>
      <w:r w:rsidR="00736F8B" w:rsidRPr="00096F2A">
        <w:t xml:space="preserve"> to continuously im</w:t>
      </w:r>
      <w:r w:rsidR="00596CB3">
        <w:t>prove the education of students receiving special education services</w:t>
      </w:r>
      <w:r w:rsidR="00736F8B" w:rsidRPr="00096F2A">
        <w:t xml:space="preserve">. </w:t>
      </w:r>
      <w:r w:rsidR="00643DB3">
        <w:t>SEPP’s</w:t>
      </w:r>
      <w:r w:rsidR="00736F8B" w:rsidRPr="00096F2A">
        <w:t xml:space="preserve"> mission is to strengthen the Commonwealth’s public education system so that every student, and most especially every student with disabilities, is prepared to succeed in postsecondary education, compete in the </w:t>
      </w:r>
      <w:r w:rsidR="00736F8B" w:rsidRPr="00096F2A">
        <w:lastRenderedPageBreak/>
        <w:t xml:space="preserve">global economy, and understand </w:t>
      </w:r>
      <w:r w:rsidR="00C7554E">
        <w:t xml:space="preserve">the rights and responsibilities </w:t>
      </w:r>
      <w:r w:rsidR="00736F8B" w:rsidRPr="00096F2A">
        <w:t>of American citizens, and in so doing, to close all proficiency gaps. W</w:t>
      </w:r>
      <w:r w:rsidR="00643DB3">
        <w:t>ith a results-driven focus, the office</w:t>
      </w:r>
      <w:r w:rsidR="00736F8B" w:rsidRPr="00096F2A">
        <w:t xml:space="preserve"> seeks to increase public knowledge regarding special education and students with disabilities; engage in strategic planning and use of funds; develop, model, and disseminate best practices; promote communication and collaboration within the Department and among external stakeholders; and support effective compliance to improve student outcomes.</w:t>
      </w:r>
      <w:r w:rsidR="00FB614D" w:rsidRPr="00096F2A">
        <w:t xml:space="preserve"> The</w:t>
      </w:r>
      <w:r w:rsidR="00E225BA">
        <w:t xml:space="preserve"> following FY15</w:t>
      </w:r>
      <w:r w:rsidR="00482A7C" w:rsidRPr="00096F2A">
        <w:t xml:space="preserve"> highlights exemplify these strategies.</w:t>
      </w:r>
    </w:p>
    <w:p w:rsidR="005E3441" w:rsidRDefault="00252F5C" w:rsidP="00754A3C">
      <w:pPr>
        <w:pStyle w:val="Heading3"/>
      </w:pPr>
      <w:bookmarkStart w:id="32" w:name="_Toc441569630"/>
      <w:r>
        <w:t xml:space="preserve">1. </w:t>
      </w:r>
      <w:r w:rsidR="007B6560" w:rsidRPr="007B6560">
        <w:t>LEAP - Low-income Education Access Project</w:t>
      </w:r>
      <w:bookmarkEnd w:id="32"/>
    </w:p>
    <w:p w:rsidR="005B248D" w:rsidRPr="00F37B66" w:rsidRDefault="00754D74" w:rsidP="00754A3C">
      <w:pPr>
        <w:spacing w:after="120"/>
      </w:pPr>
      <w:r>
        <w:t>In 2014, 38.3 percent of all Massachusetts</w:t>
      </w:r>
      <w:r w:rsidR="00643DB3">
        <w:t xml:space="preserve"> students came from low</w:t>
      </w:r>
      <w:r w:rsidR="00613BE0">
        <w:t xml:space="preserve"> </w:t>
      </w:r>
      <w:r w:rsidRPr="00437DE4">
        <w:t>income families</w:t>
      </w:r>
      <w:r>
        <w:t xml:space="preserve">, with the highest levels of poverty in the Pioneer Valley (53.2 percent of all students) and the lowest in the </w:t>
      </w:r>
      <w:r w:rsidR="00683A21" w:rsidRPr="000F637E">
        <w:t>Southeast (34.3 percent of all students).</w:t>
      </w:r>
      <w:r>
        <w:t xml:space="preserve"> </w:t>
      </w:r>
      <w:r w:rsidR="00643DB3">
        <w:t>Students from low</w:t>
      </w:r>
      <w:r w:rsidR="00613BE0">
        <w:t xml:space="preserve"> </w:t>
      </w:r>
      <w:r w:rsidR="005B248D">
        <w:t>income families</w:t>
      </w:r>
      <w:r w:rsidR="005B248D" w:rsidRPr="00F37B66">
        <w:t xml:space="preserve"> are 1.95 times more likely to be eligible for special education services than other students</w:t>
      </w:r>
      <w:r w:rsidR="005B248D" w:rsidRPr="00F37B66">
        <w:rPr>
          <w:bCs/>
        </w:rPr>
        <w:t>. Once</w:t>
      </w:r>
      <w:r w:rsidR="005B248D" w:rsidRPr="00F37B66">
        <w:t xml:space="preserve"> they receive services, </w:t>
      </w:r>
      <w:r w:rsidR="005B248D" w:rsidRPr="00F37B66">
        <w:rPr>
          <w:bCs/>
        </w:rPr>
        <w:t>they are then</w:t>
      </w:r>
      <w:r w:rsidR="005B248D" w:rsidRPr="00F37B66">
        <w:t xml:space="preserve"> 1.8 times more likely to be </w:t>
      </w:r>
      <w:r w:rsidR="005B248D" w:rsidRPr="00F37B66">
        <w:rPr>
          <w:bCs/>
        </w:rPr>
        <w:t xml:space="preserve">educated in separate settings. </w:t>
      </w:r>
      <w:r w:rsidR="005B248D" w:rsidRPr="00F37B66">
        <w:t>This is particularly alarming</w:t>
      </w:r>
      <w:r w:rsidR="00643DB3">
        <w:t>,</w:t>
      </w:r>
      <w:r w:rsidR="005B248D" w:rsidRPr="00F37B66">
        <w:t xml:space="preserve"> given evidence</w:t>
      </w:r>
      <w:r w:rsidR="005B248D" w:rsidRPr="00F37B66">
        <w:rPr>
          <w:bCs/>
        </w:rPr>
        <w:t xml:space="preserve"> from </w:t>
      </w:r>
      <w:hyperlink r:id="rId28" w:history="1">
        <w:r w:rsidR="005B248D" w:rsidRPr="00F37B66">
          <w:rPr>
            <w:rStyle w:val="Hyperlink"/>
          </w:rPr>
          <w:t>research</w:t>
        </w:r>
      </w:hyperlink>
      <w:r w:rsidR="005B248D" w:rsidRPr="00F37B66">
        <w:rPr>
          <w:bCs/>
        </w:rPr>
        <w:t xml:space="preserve"> conducted by Dr. Thomas Hehir and Associates demonstrating</w:t>
      </w:r>
      <w:r w:rsidR="005B248D" w:rsidRPr="00F37B66">
        <w:t xml:space="preserve"> </w:t>
      </w:r>
      <w:r w:rsidR="005B248D">
        <w:t>that s</w:t>
      </w:r>
      <w:r w:rsidR="005B248D">
        <w:rPr>
          <w:bCs/>
        </w:rPr>
        <w:t>tudents with IEPs who have</w:t>
      </w:r>
      <w:r w:rsidR="005B248D" w:rsidRPr="00571945">
        <w:rPr>
          <w:bCs/>
        </w:rPr>
        <w:t xml:space="preserve"> full inclusion placements outperform similar students in more separate placements on the MCAS and are 4.79 times </w:t>
      </w:r>
      <w:r w:rsidR="005B248D" w:rsidRPr="009B551A">
        <w:rPr>
          <w:bCs/>
        </w:rPr>
        <w:t xml:space="preserve">more likely to graduate high school on time. </w:t>
      </w:r>
      <w:hyperlink r:id="rId29" w:history="1">
        <w:r w:rsidR="005B248D" w:rsidRPr="009B551A">
          <w:rPr>
            <w:rStyle w:val="Hyperlink"/>
            <w:bCs/>
          </w:rPr>
          <w:t xml:space="preserve">OSEP’s </w:t>
        </w:r>
        <w:r w:rsidR="005B248D" w:rsidRPr="009B551A">
          <w:rPr>
            <w:rStyle w:val="Hyperlink"/>
          </w:rPr>
          <w:t>determination letter</w:t>
        </w:r>
      </w:hyperlink>
      <w:r w:rsidR="005B248D" w:rsidRPr="009B551A">
        <w:rPr>
          <w:bCs/>
        </w:rPr>
        <w:t xml:space="preserve"> o</w:t>
      </w:r>
      <w:r w:rsidR="009B551A" w:rsidRPr="009B551A">
        <w:rPr>
          <w:bCs/>
        </w:rPr>
        <w:t>f June 2014</w:t>
      </w:r>
      <w:r w:rsidR="005B248D" w:rsidRPr="009B551A">
        <w:rPr>
          <w:bCs/>
        </w:rPr>
        <w:t xml:space="preserve"> </w:t>
      </w:r>
      <w:r w:rsidR="006D0CFA" w:rsidRPr="009B551A">
        <w:rPr>
          <w:bCs/>
        </w:rPr>
        <w:t>stresses</w:t>
      </w:r>
      <w:r w:rsidR="005B248D" w:rsidRPr="009B551A">
        <w:rPr>
          <w:bCs/>
        </w:rPr>
        <w:t xml:space="preserve"> that “p</w:t>
      </w:r>
      <w:r w:rsidR="005B248D" w:rsidRPr="009B551A">
        <w:t>rotecting the rights of children with disabilities and their famil</w:t>
      </w:r>
      <w:r w:rsidR="00A148FE" w:rsidRPr="009B551A">
        <w:t>ies is a key responsibility of s</w:t>
      </w:r>
      <w:r w:rsidR="005B248D" w:rsidRPr="009B551A">
        <w:t>tate educational agencies (SEAs) and local educational agencies (LEAs), but it is not sufficient if children are not attaining the knowledge and skills necessary to achieve the goals of IDEA as reflected in Congressional findings in section 601(c)(1) of the IDEA Improvement Act of 2004: equality of opportunity, full participation, independent living, and economic self-sufficiency.</w:t>
      </w:r>
      <w:r w:rsidR="005B248D" w:rsidRPr="009B551A">
        <w:rPr>
          <w:bCs/>
        </w:rPr>
        <w:t>”</w:t>
      </w:r>
      <w:r w:rsidR="00A148FE" w:rsidRPr="009B551A">
        <w:rPr>
          <w:bCs/>
        </w:rPr>
        <w:t xml:space="preserve"> </w:t>
      </w:r>
      <w:r w:rsidR="006F6FA1" w:rsidRPr="009B551A">
        <w:rPr>
          <w:bCs/>
        </w:rPr>
        <w:t>To</w:t>
      </w:r>
      <w:r w:rsidR="006F6FA1">
        <w:rPr>
          <w:bCs/>
        </w:rPr>
        <w:t xml:space="preserve"> promote adult success for</w:t>
      </w:r>
      <w:r w:rsidR="00A148FE">
        <w:rPr>
          <w:bCs/>
        </w:rPr>
        <w:t xml:space="preserve"> all students, it is incumbent upon the Department and statewide education stakeholders to reduce the number of Massachusetts students inappropriately identified for special education or educated in separate settings. </w:t>
      </w:r>
    </w:p>
    <w:p w:rsidR="005B248D" w:rsidRPr="00F37B66" w:rsidRDefault="005B248D" w:rsidP="005B248D">
      <w:pPr>
        <w:spacing w:after="120"/>
      </w:pPr>
      <w:r w:rsidRPr="00F37B66">
        <w:rPr>
          <w:bCs/>
        </w:rPr>
        <w:t>In response to state data and the Heh</w:t>
      </w:r>
      <w:r w:rsidR="003E5681">
        <w:rPr>
          <w:bCs/>
        </w:rPr>
        <w:t xml:space="preserve">ir and Associates research, </w:t>
      </w:r>
      <w:r w:rsidRPr="00F37B66">
        <w:rPr>
          <w:bCs/>
        </w:rPr>
        <w:t>the</w:t>
      </w:r>
      <w:r w:rsidRPr="00F37B66">
        <w:t xml:space="preserve"> Low-income Education Access Project (LEAP) was created with a commitment to reduce the rate of disproportionality of the special education identification and substantially separate placement of </w:t>
      </w:r>
      <w:r w:rsidR="00643DB3">
        <w:t>students from low</w:t>
      </w:r>
      <w:r w:rsidR="00613BE0">
        <w:t xml:space="preserve"> </w:t>
      </w:r>
      <w:r w:rsidR="00643DB3">
        <w:t>i</w:t>
      </w:r>
      <w:r>
        <w:t>ncome families</w:t>
      </w:r>
      <w:r w:rsidRPr="00F37B66">
        <w:rPr>
          <w:bCs/>
        </w:rPr>
        <w:t xml:space="preserve">. </w:t>
      </w:r>
      <w:r w:rsidRPr="00F37B66">
        <w:t xml:space="preserve">Project elements include root cause and infrastructure analyses to identify, develop, and disseminate tools, technical assistance, sustainable professional development, and other resources to </w:t>
      </w:r>
      <w:r w:rsidR="003464E1">
        <w:t xml:space="preserve">ultimately </w:t>
      </w:r>
      <w:r w:rsidRPr="00F37B66">
        <w:t>support all Massachusetts districts.</w:t>
      </w:r>
    </w:p>
    <w:p w:rsidR="005B248D" w:rsidRDefault="005B248D" w:rsidP="005B248D">
      <w:pPr>
        <w:spacing w:after="120"/>
        <w:rPr>
          <w:bCs/>
        </w:rPr>
      </w:pPr>
      <w:r w:rsidRPr="00F37B66">
        <w:t>Und</w:t>
      </w:r>
      <w:r>
        <w:t>er the direction of SEPP, the Department is creating</w:t>
      </w:r>
      <w:r w:rsidRPr="00F37B66">
        <w:t xml:space="preserve"> internal</w:t>
      </w:r>
      <w:r w:rsidRPr="00F37B66">
        <w:rPr>
          <w:bCs/>
        </w:rPr>
        <w:t>, agency-wide</w:t>
      </w:r>
      <w:r w:rsidRPr="00F37B66">
        <w:t xml:space="preserve"> collaborative systems and partnerships with </w:t>
      </w:r>
      <w:r>
        <w:t xml:space="preserve">a stakeholder group of </w:t>
      </w:r>
      <w:r w:rsidRPr="00F37B66">
        <w:t>districts (known as “LEAP districts”) to do this work.</w:t>
      </w:r>
      <w:r>
        <w:t xml:space="preserve"> </w:t>
      </w:r>
      <w:r>
        <w:rPr>
          <w:bCs/>
        </w:rPr>
        <w:t>These</w:t>
      </w:r>
      <w:r w:rsidRPr="00F37B66">
        <w:rPr>
          <w:bCs/>
        </w:rPr>
        <w:t xml:space="preserve"> districts include </w:t>
      </w:r>
      <w:r w:rsidRPr="00F37B66">
        <w:t>Acton-Boxborough</w:t>
      </w:r>
      <w:r w:rsidRPr="00F37B66">
        <w:rPr>
          <w:bCs/>
        </w:rPr>
        <w:t xml:space="preserve">, </w:t>
      </w:r>
      <w:r w:rsidRPr="00F37B66">
        <w:t>Andover</w:t>
      </w:r>
      <w:r w:rsidRPr="00F37B66">
        <w:rPr>
          <w:bCs/>
        </w:rPr>
        <w:t xml:space="preserve">, </w:t>
      </w:r>
      <w:r w:rsidRPr="00F37B66">
        <w:t>Boston</w:t>
      </w:r>
      <w:r w:rsidRPr="00F37B66">
        <w:rPr>
          <w:bCs/>
        </w:rPr>
        <w:t xml:space="preserve">, </w:t>
      </w:r>
      <w:r w:rsidRPr="00F37B66">
        <w:t>Brookline</w:t>
      </w:r>
      <w:r w:rsidRPr="00F37B66">
        <w:rPr>
          <w:bCs/>
        </w:rPr>
        <w:t xml:space="preserve">, </w:t>
      </w:r>
      <w:r w:rsidRPr="00F37B66">
        <w:t>Chicopee</w:t>
      </w:r>
      <w:r w:rsidRPr="00F37B66">
        <w:rPr>
          <w:bCs/>
        </w:rPr>
        <w:t xml:space="preserve">, </w:t>
      </w:r>
      <w:r w:rsidRPr="00F37B66">
        <w:t>Fall River</w:t>
      </w:r>
      <w:r w:rsidRPr="00F37B66">
        <w:rPr>
          <w:bCs/>
        </w:rPr>
        <w:t xml:space="preserve">, </w:t>
      </w:r>
      <w:r w:rsidRPr="00F37B66">
        <w:t>Holyoke</w:t>
      </w:r>
      <w:r w:rsidRPr="00F37B66">
        <w:rPr>
          <w:bCs/>
        </w:rPr>
        <w:t xml:space="preserve">, </w:t>
      </w:r>
      <w:r w:rsidRPr="00F37B66">
        <w:t>Hopkinton</w:t>
      </w:r>
      <w:r w:rsidRPr="00F37B66">
        <w:rPr>
          <w:bCs/>
        </w:rPr>
        <w:t xml:space="preserve">, </w:t>
      </w:r>
      <w:r w:rsidRPr="00F37B66">
        <w:t>Lynn</w:t>
      </w:r>
      <w:r w:rsidRPr="00F37B66">
        <w:rPr>
          <w:bCs/>
        </w:rPr>
        <w:t xml:space="preserve">, </w:t>
      </w:r>
      <w:r w:rsidRPr="00F37B66">
        <w:t>Malden</w:t>
      </w:r>
      <w:r w:rsidRPr="00F37B66">
        <w:rPr>
          <w:bCs/>
        </w:rPr>
        <w:t xml:space="preserve">, </w:t>
      </w:r>
      <w:r w:rsidRPr="00F37B66">
        <w:t>Medfield</w:t>
      </w:r>
      <w:r w:rsidRPr="00F37B66">
        <w:rPr>
          <w:bCs/>
        </w:rPr>
        <w:t xml:space="preserve">, </w:t>
      </w:r>
      <w:r w:rsidRPr="00F37B66">
        <w:t>Nashoba</w:t>
      </w:r>
      <w:r w:rsidRPr="00F37B66">
        <w:rPr>
          <w:bCs/>
        </w:rPr>
        <w:t xml:space="preserve">, </w:t>
      </w:r>
      <w:r w:rsidRPr="00F37B66">
        <w:t>Needham</w:t>
      </w:r>
      <w:r w:rsidRPr="00F37B66">
        <w:rPr>
          <w:bCs/>
        </w:rPr>
        <w:t xml:space="preserve">, </w:t>
      </w:r>
      <w:r>
        <w:rPr>
          <w:bCs/>
        </w:rPr>
        <w:t xml:space="preserve">and </w:t>
      </w:r>
      <w:r w:rsidRPr="00F37B66">
        <w:t>North Attleboro</w:t>
      </w:r>
      <w:r w:rsidRPr="00F37B66">
        <w:rPr>
          <w:bCs/>
        </w:rPr>
        <w:t xml:space="preserve">. </w:t>
      </w:r>
      <w:r>
        <w:rPr>
          <w:bCs/>
        </w:rPr>
        <w:t>In March 2015, the Department held a forum for LEAP districts to</w:t>
      </w:r>
      <w:r w:rsidRPr="00EB1DF1">
        <w:rPr>
          <w:bCs/>
        </w:rPr>
        <w:t xml:space="preserve"> es</w:t>
      </w:r>
      <w:r>
        <w:rPr>
          <w:bCs/>
        </w:rPr>
        <w:t>tablish a shared</w:t>
      </w:r>
      <w:r w:rsidRPr="00EB1DF1">
        <w:rPr>
          <w:bCs/>
        </w:rPr>
        <w:t xml:space="preserve"> understanding of the determining factors for the special education identification and placement of s</w:t>
      </w:r>
      <w:r>
        <w:rPr>
          <w:bCs/>
        </w:rPr>
        <w:t>tudents with disabilities from low</w:t>
      </w:r>
      <w:r w:rsidR="00613BE0">
        <w:rPr>
          <w:bCs/>
        </w:rPr>
        <w:t xml:space="preserve"> </w:t>
      </w:r>
      <w:r>
        <w:rPr>
          <w:bCs/>
        </w:rPr>
        <w:t>income families and to identify</w:t>
      </w:r>
      <w:r w:rsidRPr="00EB1DF1">
        <w:rPr>
          <w:bCs/>
        </w:rPr>
        <w:t xml:space="preserve"> best practices for supporting districts to improve outcomes for students with disabilities</w:t>
      </w:r>
      <w:r>
        <w:rPr>
          <w:bCs/>
        </w:rPr>
        <w:t xml:space="preserve"> from low</w:t>
      </w:r>
      <w:r w:rsidR="00613BE0">
        <w:rPr>
          <w:bCs/>
        </w:rPr>
        <w:t xml:space="preserve"> </w:t>
      </w:r>
      <w:r>
        <w:rPr>
          <w:bCs/>
        </w:rPr>
        <w:t>income families</w:t>
      </w:r>
      <w:r w:rsidRPr="00EB1DF1">
        <w:rPr>
          <w:bCs/>
        </w:rPr>
        <w:t xml:space="preserve">. </w:t>
      </w:r>
      <w:r>
        <w:rPr>
          <w:bCs/>
        </w:rPr>
        <w:t>In April and May 2015, SEPP coordinated o</w:t>
      </w:r>
      <w:r w:rsidRPr="007D2BD5">
        <w:rPr>
          <w:bCs/>
        </w:rPr>
        <w:t xml:space="preserve">nsite visits to each </w:t>
      </w:r>
      <w:r>
        <w:rPr>
          <w:bCs/>
        </w:rPr>
        <w:t>LEAP</w:t>
      </w:r>
      <w:r w:rsidRPr="007D2BD5">
        <w:rPr>
          <w:bCs/>
        </w:rPr>
        <w:t xml:space="preserve"> dist</w:t>
      </w:r>
      <w:r>
        <w:rPr>
          <w:bCs/>
        </w:rPr>
        <w:t xml:space="preserve">rict. </w:t>
      </w:r>
    </w:p>
    <w:p w:rsidR="005B248D" w:rsidRPr="00F37B66" w:rsidRDefault="005B248D" w:rsidP="00825920">
      <w:pPr>
        <w:spacing w:after="360"/>
      </w:pPr>
      <w:r>
        <w:t>LEAP</w:t>
      </w:r>
      <w:r w:rsidRPr="00F37B66">
        <w:t xml:space="preserve"> partners </w:t>
      </w:r>
      <w:r w:rsidR="00E703B7">
        <w:t xml:space="preserve">work collaboratively with SEPP to </w:t>
      </w:r>
      <w:r w:rsidRPr="00F37B66">
        <w:t>produce tools, resources, training</w:t>
      </w:r>
      <w:r w:rsidR="003464E1">
        <w:t>,</w:t>
      </w:r>
      <w:r w:rsidRPr="00F37B66">
        <w:t xml:space="preserve"> and professional development opportunities</w:t>
      </w:r>
      <w:r>
        <w:t xml:space="preserve"> that can </w:t>
      </w:r>
      <w:r w:rsidR="003464E1">
        <w:t xml:space="preserve">ultimately </w:t>
      </w:r>
      <w:r>
        <w:t>be scaled up and disseminated to</w:t>
      </w:r>
      <w:r w:rsidRPr="00F37B66">
        <w:t xml:space="preserve"> </w:t>
      </w:r>
      <w:r>
        <w:t xml:space="preserve">all Massachusetts </w:t>
      </w:r>
      <w:r w:rsidRPr="00F37B66">
        <w:t>districts</w:t>
      </w:r>
      <w:r>
        <w:t xml:space="preserve">. </w:t>
      </w:r>
      <w:r w:rsidRPr="00F37B66">
        <w:t>In addition to LEAP districts and</w:t>
      </w:r>
      <w:r>
        <w:t xml:space="preserve"> Department o</w:t>
      </w:r>
      <w:r w:rsidRPr="00F37B66">
        <w:t xml:space="preserve">ffices, LEAP </w:t>
      </w:r>
      <w:r w:rsidR="00E703B7">
        <w:t xml:space="preserve">organizational </w:t>
      </w:r>
      <w:r w:rsidRPr="00F37B66">
        <w:t>partners include</w:t>
      </w:r>
      <w:r w:rsidR="00A13C0D">
        <w:t>,</w:t>
      </w:r>
      <w:r w:rsidRPr="00F37B66">
        <w:t xml:space="preserve"> but are not limited to</w:t>
      </w:r>
      <w:r w:rsidR="00A13C0D">
        <w:t>,</w:t>
      </w:r>
      <w:r w:rsidRPr="00F37B66">
        <w:t xml:space="preserve"> the Federation for Children with Special Needs, the Lower Pioneer Valley Educational Collaborative, and a statewide cadre of trainers, including collaboratives.</w:t>
      </w:r>
      <w:r w:rsidR="003E5681">
        <w:t xml:space="preserve"> The focus of this project in its first year has been on improving </w:t>
      </w:r>
      <w:r w:rsidR="003E5681">
        <w:lastRenderedPageBreak/>
        <w:t xml:space="preserve">understanding of the effects of poverty on students generally, and identifying teaching practices that </w:t>
      </w:r>
      <w:r w:rsidR="003464E1">
        <w:t>overcome the impact of poverty on learning</w:t>
      </w:r>
      <w:r w:rsidR="003E5681">
        <w:t>.</w:t>
      </w:r>
      <w:r w:rsidR="009C4141">
        <w:t xml:space="preserve"> </w:t>
      </w:r>
      <w:r w:rsidR="0020745C">
        <w:t>This</w:t>
      </w:r>
      <w:r w:rsidR="003E5681">
        <w:t xml:space="preserve"> work has involved the LEAP districts and a number of other districts with high poverty concentrations in their student body.  </w:t>
      </w:r>
    </w:p>
    <w:p w:rsidR="005E3441" w:rsidRPr="00A46EB9" w:rsidRDefault="005E3441" w:rsidP="00A46EB9">
      <w:pPr>
        <w:pStyle w:val="Heading3"/>
      </w:pPr>
      <w:bookmarkStart w:id="33" w:name="_Toc441569631"/>
      <w:r w:rsidRPr="00A46EB9">
        <w:t>2. State Systemic Improvement Plan (SSIP)</w:t>
      </w:r>
      <w:bookmarkEnd w:id="33"/>
    </w:p>
    <w:p w:rsidR="009B0F9E" w:rsidRDefault="009B0F9E" w:rsidP="009B0F9E">
      <w:pPr>
        <w:spacing w:after="120"/>
      </w:pPr>
      <w:r>
        <w:t xml:space="preserve">The Massachusetts State Systemic Improvement Plan (SSIP) Phase 1 statewide data and infrastructure analysis was completed and submitted to OSEP in April </w:t>
      </w:r>
      <w:r w:rsidRPr="00452CA5">
        <w:t>2015.</w:t>
      </w:r>
      <w:r w:rsidRPr="00452CA5">
        <w:rPr>
          <w:rStyle w:val="FootnoteReference"/>
        </w:rPr>
        <w:footnoteReference w:id="3"/>
      </w:r>
      <w:r w:rsidR="00A13C0D" w:rsidRPr="00452CA5">
        <w:t xml:space="preserve"> </w:t>
      </w:r>
      <w:r w:rsidRPr="00452CA5">
        <w:t>Based</w:t>
      </w:r>
      <w:r>
        <w:t xml:space="preserve"> on extensive analyses and in collaboration with Department stakeholders, Massachusetts dev</w:t>
      </w:r>
      <w:r w:rsidR="00613BE0">
        <w:t xml:space="preserve">eloped a plan to improve social </w:t>
      </w:r>
      <w:r>
        <w:t>emot</w:t>
      </w:r>
      <w:r w:rsidR="001B2ABF">
        <w:t>ional skills for young children aged 3-5</w:t>
      </w:r>
      <w:r>
        <w:t xml:space="preserve"> with IEPs using Positive Behavior Supports (PBS) through Pyramid Strategies. This approach is a research-based framework a</w:t>
      </w:r>
      <w:r w:rsidR="0004457B">
        <w:t>nd curriculum to promote social</w:t>
      </w:r>
      <w:r w:rsidR="00613BE0">
        <w:t xml:space="preserve"> </w:t>
      </w:r>
      <w:r>
        <w:t>emotional skills and address challenging behaviors for young children. Throughout FY15 and continuing into FY16, the Department is building state</w:t>
      </w:r>
      <w:r w:rsidR="0004457B">
        <w:t>- and local-</w:t>
      </w:r>
      <w:r>
        <w:t xml:space="preserve">level capacity to create sustainable leadership systems and infrastructure that will enable an ongoing cycle of improvement and direct technical assistance and training for local staff. </w:t>
      </w:r>
    </w:p>
    <w:p w:rsidR="0004457B" w:rsidRDefault="009B0F9E" w:rsidP="0004457B">
      <w:r>
        <w:t xml:space="preserve">Phase 2 of the SSIP commenced in FY16 and includes the Department’s activities to: </w:t>
      </w:r>
    </w:p>
    <w:p w:rsidR="00F732F8" w:rsidRDefault="009B0F9E" w:rsidP="00452CA5">
      <w:pPr>
        <w:spacing w:after="120"/>
        <w:rPr>
          <w:b/>
        </w:rPr>
      </w:pPr>
      <w:r>
        <w:t xml:space="preserve">a) </w:t>
      </w:r>
      <w:proofErr w:type="gramStart"/>
      <w:r>
        <w:t>strengthen</w:t>
      </w:r>
      <w:proofErr w:type="gramEnd"/>
      <w:r>
        <w:t xml:space="preserve"> systems for sustainability across state agencies in order to build the state infrastructure to promote systemic use of PBS through Pyramid Strategies; b) support LEA implementation of evidence-based practices; and c) develop an evaluation plan for the SSIP. Specifically, the Department has initiated Phase 2 with 18 districts throughout the Commonwealth and will continue to expand the initiative statewide. </w:t>
      </w:r>
      <w:r w:rsidR="001B2ABF">
        <w:t xml:space="preserve"> </w:t>
      </w:r>
    </w:p>
    <w:p w:rsidR="00452CA5" w:rsidRDefault="005302A1" w:rsidP="00452CA5">
      <w:pPr>
        <w:spacing w:after="120"/>
        <w:rPr>
          <w:noProof/>
        </w:rPr>
      </w:pPr>
      <w:r>
        <w:rPr>
          <w:b/>
          <w:noProof/>
          <w:sz w:val="22"/>
          <w:szCs w:val="22"/>
          <w:lang w:eastAsia="zh-CN" w:bidi="km-KH"/>
        </w:rPr>
        <w:drawing>
          <wp:anchor distT="0" distB="0" distL="114300" distR="114300" simplePos="0" relativeHeight="251660288" behindDoc="0" locked="0" layoutInCell="1" allowOverlap="1">
            <wp:simplePos x="0" y="0"/>
            <wp:positionH relativeFrom="column">
              <wp:posOffset>-32385</wp:posOffset>
            </wp:positionH>
            <wp:positionV relativeFrom="paragraph">
              <wp:posOffset>260985</wp:posOffset>
            </wp:positionV>
            <wp:extent cx="6366510" cy="4234815"/>
            <wp:effectExtent l="19050" t="0" r="0" b="0"/>
            <wp:wrapTopAndBottom/>
            <wp:docPr id="7" name="Picture 0" descr="SSIP Theory of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P Theory of Action v. 2_no_icons.jpg"/>
                    <pic:cNvPicPr/>
                  </pic:nvPicPr>
                  <pic:blipFill>
                    <a:blip r:embed="rId30" cstate="print"/>
                    <a:stretch>
                      <a:fillRect/>
                    </a:stretch>
                  </pic:blipFill>
                  <pic:spPr>
                    <a:xfrm>
                      <a:off x="0" y="0"/>
                      <a:ext cx="6366510" cy="4234815"/>
                    </a:xfrm>
                    <a:prstGeom prst="rect">
                      <a:avLst/>
                    </a:prstGeom>
                  </pic:spPr>
                </pic:pic>
              </a:graphicData>
            </a:graphic>
          </wp:anchor>
        </w:drawing>
      </w:r>
      <w:r w:rsidR="00452CA5" w:rsidRPr="00B40538">
        <w:rPr>
          <w:b/>
          <w:sz w:val="22"/>
          <w:szCs w:val="22"/>
        </w:rPr>
        <w:t xml:space="preserve">Figure </w:t>
      </w:r>
      <w:r w:rsidR="00452CA5">
        <w:rPr>
          <w:b/>
          <w:sz w:val="22"/>
          <w:szCs w:val="22"/>
        </w:rPr>
        <w:t>C</w:t>
      </w:r>
      <w:r w:rsidR="00452CA5" w:rsidRPr="00B40538">
        <w:rPr>
          <w:b/>
          <w:sz w:val="22"/>
          <w:szCs w:val="22"/>
        </w:rPr>
        <w:t xml:space="preserve">: </w:t>
      </w:r>
      <w:r w:rsidR="00452CA5">
        <w:rPr>
          <w:b/>
          <w:sz w:val="22"/>
          <w:szCs w:val="22"/>
        </w:rPr>
        <w:t>SSIP Theory of Action</w:t>
      </w:r>
    </w:p>
    <w:p w:rsidR="00845153" w:rsidRDefault="00820543" w:rsidP="001B2ABF">
      <w:r>
        <w:lastRenderedPageBreak/>
        <w:t>The Department continues to build statewide infrastructure via inter</w:t>
      </w:r>
      <w:r w:rsidR="0033107A">
        <w:t>-</w:t>
      </w:r>
      <w:r w:rsidR="00845153">
        <w:t xml:space="preserve"> and intra-agency collaboration, allowing </w:t>
      </w:r>
      <w:r>
        <w:t>multiple partners to support LEA implementation. These activities include joint trainings with the Departments of Public Health, Early Education and Care, Children an</w:t>
      </w:r>
      <w:r w:rsidR="00845153">
        <w:t xml:space="preserve">d Families, and Mental Health. </w:t>
      </w:r>
      <w:r>
        <w:t xml:space="preserve">Additionally, intra-agency collaboration and coordination occurs between </w:t>
      </w:r>
      <w:r w:rsidR="00845153">
        <w:t>SEPP</w:t>
      </w:r>
      <w:r>
        <w:t>, the Office of Tiered Systems of Support</w:t>
      </w:r>
      <w:r w:rsidR="00845153">
        <w:t xml:space="preserve"> (OTSS)</w:t>
      </w:r>
      <w:r w:rsidR="00E703B7">
        <w:t xml:space="preserve"> </w:t>
      </w:r>
      <w:r w:rsidR="001B2ABF">
        <w:t>(</w:t>
      </w:r>
      <w:r w:rsidR="00E703B7">
        <w:t>through its Positive Behavior Intervention and Supports (PBIS) Academies</w:t>
      </w:r>
      <w:r w:rsidR="001B2ABF">
        <w:t>)</w:t>
      </w:r>
      <w:r>
        <w:t xml:space="preserve">, and </w:t>
      </w:r>
      <w:r w:rsidR="00BE4640">
        <w:t xml:space="preserve">the Office of </w:t>
      </w:r>
      <w:r>
        <w:t xml:space="preserve">Student Support to ensure the longitudinal and sustainable nature of the initiative is addressed.  </w:t>
      </w:r>
    </w:p>
    <w:p w:rsidR="00CE7905" w:rsidRDefault="00820543" w:rsidP="00CE7905">
      <w:pPr>
        <w:spacing w:after="360"/>
      </w:pPr>
      <w:r>
        <w:t xml:space="preserve">Finally, </w:t>
      </w:r>
      <w:r w:rsidR="0033107A">
        <w:t>the Department</w:t>
      </w:r>
      <w:r>
        <w:t xml:space="preserve"> is creating an evaluation plan</w:t>
      </w:r>
      <w:r w:rsidR="00BE4640">
        <w:t xml:space="preserve"> for the project</w:t>
      </w:r>
      <w:r w:rsidR="001B2ABF">
        <w:t>,</w:t>
      </w:r>
      <w:r>
        <w:t xml:space="preserve"> based on the Theory of </w:t>
      </w:r>
      <w:r w:rsidR="00845153">
        <w:t>Action (</w:t>
      </w:r>
      <w:r w:rsidR="006B6667">
        <w:t>Figure C above</w:t>
      </w:r>
      <w:r>
        <w:t>)</w:t>
      </w:r>
      <w:r w:rsidR="00845153">
        <w:t>,</w:t>
      </w:r>
      <w:r>
        <w:t xml:space="preserve"> in order to identify and measure the inputs, outputs</w:t>
      </w:r>
      <w:r w:rsidR="00845153">
        <w:t>,</w:t>
      </w:r>
      <w:r>
        <w:t xml:space="preserve"> and outcomes of the initi</w:t>
      </w:r>
      <w:r w:rsidR="000C408E">
        <w:t xml:space="preserve">ative based on statewide data. </w:t>
      </w:r>
      <w:r>
        <w:t xml:space="preserve">By analyzing the data, </w:t>
      </w:r>
      <w:r w:rsidR="000C408E">
        <w:t>the Department</w:t>
      </w:r>
      <w:r>
        <w:t xml:space="preserve"> will be able to determine the effectiveness of the implementation and make modifications to the implementation or support for LEAs</w:t>
      </w:r>
      <w:r w:rsidR="000C408E">
        <w:t>,</w:t>
      </w:r>
      <w:r>
        <w:t xml:space="preserve"> as needed</w:t>
      </w:r>
      <w:r w:rsidR="000C408E">
        <w:t>,</w:t>
      </w:r>
      <w:r>
        <w:t xml:space="preserve"> thereby promoting improved outcomes for students.</w:t>
      </w:r>
      <w:r w:rsidR="00CE7905" w:rsidRPr="00CE7905">
        <w:t xml:space="preserve"> </w:t>
      </w:r>
    </w:p>
    <w:p w:rsidR="00CE7905" w:rsidRDefault="00CE7905" w:rsidP="00CE7905">
      <w:pPr>
        <w:pStyle w:val="Heading3"/>
      </w:pPr>
      <w:bookmarkStart w:id="34" w:name="_Toc441569632"/>
      <w:r>
        <w:t>3. The Autism Endorsement</w:t>
      </w:r>
      <w:bookmarkEnd w:id="34"/>
    </w:p>
    <w:p w:rsidR="003542EE" w:rsidRDefault="003542EE" w:rsidP="00CE7905">
      <w:pPr>
        <w:spacing w:after="120"/>
      </w:pPr>
      <w:r>
        <w:t xml:space="preserve">In July 2014 the Legislature passed and the Governor signed into law </w:t>
      </w:r>
      <w:hyperlink r:id="rId31" w:history="1">
        <w:r w:rsidRPr="00B37A97">
          <w:rPr>
            <w:rStyle w:val="Hyperlink"/>
          </w:rPr>
          <w:t>Chapter 226 of the Acts of 2014, An Act Relative to Assisting Individuals with Autism and Other Intellectual or</w:t>
        </w:r>
        <w:r w:rsidR="00B37A97" w:rsidRPr="00B37A97">
          <w:rPr>
            <w:rStyle w:val="Hyperlink"/>
          </w:rPr>
          <w:t xml:space="preserve"> Developmental Disabilities</w:t>
        </w:r>
      </w:hyperlink>
      <w:r w:rsidR="00B37A97">
        <w:t>. This</w:t>
      </w:r>
      <w:r>
        <w:t xml:space="preserve"> law directs the Board</w:t>
      </w:r>
      <w:r w:rsidR="00B37A97">
        <w:t xml:space="preserve"> of Elementary and Secondary Education</w:t>
      </w:r>
      <w:r>
        <w:t xml:space="preserve"> </w:t>
      </w:r>
      <w:r w:rsidR="00D63D5E">
        <w:t>(</w:t>
      </w:r>
      <w:r w:rsidR="001B2ABF">
        <w:t>“</w:t>
      </w:r>
      <w:r w:rsidR="00D63D5E">
        <w:t>BESE</w:t>
      </w:r>
      <w:r w:rsidR="001B2ABF">
        <w:t>”, or “the Board”</w:t>
      </w:r>
      <w:r w:rsidR="00D63D5E">
        <w:t xml:space="preserve">) </w:t>
      </w:r>
      <w:r>
        <w:t>to esta</w:t>
      </w:r>
      <w:r w:rsidR="005574EA">
        <w:t xml:space="preserve">blish a teacher </w:t>
      </w:r>
      <w:r w:rsidR="006B6667">
        <w:t xml:space="preserve">licensure </w:t>
      </w:r>
      <w:r w:rsidR="005574EA">
        <w:t xml:space="preserve">endorsement in </w:t>
      </w:r>
      <w:r w:rsidR="00D25A6E">
        <w:t>A</w:t>
      </w:r>
      <w:r>
        <w:t xml:space="preserve">utism in order to meet the unique and complex educational needs of students on the Autism Spectrum.  </w:t>
      </w:r>
    </w:p>
    <w:p w:rsidR="00AF1B7B" w:rsidRPr="007740CB" w:rsidRDefault="003542EE" w:rsidP="00CE7905">
      <w:pPr>
        <w:spacing w:after="120"/>
        <w:rPr>
          <w:snapToGrid w:val="0"/>
        </w:rPr>
      </w:pPr>
      <w:r>
        <w:rPr>
          <w:snapToGrid w:val="0"/>
        </w:rPr>
        <w:t>At the June 23, 2015 meeting, the Board reviewed public comments on proposed amendments to 603 CMR 7.00, Regulations for Educator Licensure and Preparation Program</w:t>
      </w:r>
      <w:r w:rsidR="00B76FFD">
        <w:rPr>
          <w:snapToGrid w:val="0"/>
        </w:rPr>
        <w:t xml:space="preserve"> Approval, relating to the new Autism E</w:t>
      </w:r>
      <w:r>
        <w:rPr>
          <w:snapToGrid w:val="0"/>
        </w:rPr>
        <w:t xml:space="preserve">ndorsement. </w:t>
      </w:r>
      <w:r w:rsidR="00001D87">
        <w:rPr>
          <w:snapToGrid w:val="0"/>
        </w:rPr>
        <w:t>Written through a collaborative process with stakeholders, these regulations</w:t>
      </w:r>
      <w:r w:rsidR="006506AC">
        <w:rPr>
          <w:snapToGrid w:val="0"/>
        </w:rPr>
        <w:t xml:space="preserve"> describe </w:t>
      </w:r>
      <w:r w:rsidR="00EE0727">
        <w:rPr>
          <w:snapToGrid w:val="0"/>
        </w:rPr>
        <w:t xml:space="preserve">the </w:t>
      </w:r>
      <w:r w:rsidR="006506AC">
        <w:rPr>
          <w:snapToGrid w:val="0"/>
        </w:rPr>
        <w:t>knowledge and skills</w:t>
      </w:r>
      <w:r w:rsidR="00EE0727">
        <w:rPr>
          <w:snapToGrid w:val="0"/>
        </w:rPr>
        <w:t xml:space="preserve"> required for the attainment of this endorsement</w:t>
      </w:r>
      <w:r w:rsidR="005574EA">
        <w:rPr>
          <w:snapToGrid w:val="0"/>
        </w:rPr>
        <w:t xml:space="preserve">, </w:t>
      </w:r>
      <w:r w:rsidR="00D25A6E">
        <w:rPr>
          <w:snapToGrid w:val="0"/>
        </w:rPr>
        <w:t>including an understanding of A</w:t>
      </w:r>
      <w:r w:rsidR="005574EA">
        <w:rPr>
          <w:snapToGrid w:val="0"/>
        </w:rPr>
        <w:t xml:space="preserve">utism and related co-morbid conditions, assessment and the use of data, effective educational program design, </w:t>
      </w:r>
      <w:r w:rsidR="005574EA" w:rsidRPr="005574EA">
        <w:rPr>
          <w:snapToGrid w:val="0"/>
        </w:rPr>
        <w:t>specialized and individualized instructional strategies and supports</w:t>
      </w:r>
      <w:r w:rsidR="005574EA">
        <w:rPr>
          <w:snapToGrid w:val="0"/>
        </w:rPr>
        <w:t xml:space="preserve">, and collaboration with IEP Team members. </w:t>
      </w:r>
      <w:r w:rsidR="00B76FFD">
        <w:rPr>
          <w:snapToGrid w:val="0"/>
        </w:rPr>
        <w:t>The Department</w:t>
      </w:r>
      <w:r>
        <w:rPr>
          <w:snapToGrid w:val="0"/>
        </w:rPr>
        <w:t xml:space="preserve"> received 32 comments from individuals and organizations during the public </w:t>
      </w:r>
      <w:r w:rsidRPr="007740CB">
        <w:rPr>
          <w:snapToGrid w:val="0"/>
        </w:rPr>
        <w:t>comment period</w:t>
      </w:r>
      <w:r w:rsidR="005574EA" w:rsidRPr="007740CB">
        <w:rPr>
          <w:snapToGrid w:val="0"/>
        </w:rPr>
        <w:t>,</w:t>
      </w:r>
      <w:r w:rsidRPr="007740CB">
        <w:rPr>
          <w:snapToGrid w:val="0"/>
        </w:rPr>
        <w:t xml:space="preserve"> and three of the original commenters also provided comments at the B</w:t>
      </w:r>
      <w:r w:rsidR="001B2ABF" w:rsidRPr="007740CB">
        <w:rPr>
          <w:snapToGrid w:val="0"/>
        </w:rPr>
        <w:t>ESE</w:t>
      </w:r>
      <w:r w:rsidRPr="007740CB">
        <w:rPr>
          <w:snapToGrid w:val="0"/>
        </w:rPr>
        <w:t xml:space="preserve"> meeting in June. Over the course of the summer</w:t>
      </w:r>
      <w:r w:rsidR="001B2ABF" w:rsidRPr="007740CB">
        <w:rPr>
          <w:snapToGrid w:val="0"/>
        </w:rPr>
        <w:t>,</w:t>
      </w:r>
      <w:r w:rsidRPr="007740CB">
        <w:rPr>
          <w:snapToGrid w:val="0"/>
        </w:rPr>
        <w:t xml:space="preserve"> </w:t>
      </w:r>
      <w:r w:rsidR="005574EA" w:rsidRPr="007740CB">
        <w:rPr>
          <w:snapToGrid w:val="0"/>
        </w:rPr>
        <w:t xml:space="preserve">the Department </w:t>
      </w:r>
      <w:r w:rsidRPr="007740CB">
        <w:rPr>
          <w:snapToGrid w:val="0"/>
        </w:rPr>
        <w:t>carefully considered additional stakeholder feedback</w:t>
      </w:r>
      <w:r w:rsidR="001B2ABF" w:rsidRPr="007740CB">
        <w:rPr>
          <w:snapToGrid w:val="0"/>
        </w:rPr>
        <w:t xml:space="preserve"> and comments from the Board</w:t>
      </w:r>
      <w:r w:rsidRPr="007740CB">
        <w:rPr>
          <w:snapToGrid w:val="0"/>
        </w:rPr>
        <w:t xml:space="preserve"> and modified the regulations based on </w:t>
      </w:r>
      <w:r w:rsidR="00B37A97" w:rsidRPr="007740CB">
        <w:rPr>
          <w:snapToGrid w:val="0"/>
        </w:rPr>
        <w:t>that input. In September 2015 the</w:t>
      </w:r>
      <w:r w:rsidRPr="007740CB">
        <w:rPr>
          <w:snapToGrid w:val="0"/>
        </w:rPr>
        <w:t xml:space="preserve"> </w:t>
      </w:r>
      <w:r w:rsidR="001B2ABF" w:rsidRPr="007740CB">
        <w:rPr>
          <w:snapToGrid w:val="0"/>
        </w:rPr>
        <w:t>Board</w:t>
      </w:r>
      <w:r w:rsidR="00D63D5E" w:rsidRPr="007740CB">
        <w:rPr>
          <w:snapToGrid w:val="0"/>
        </w:rPr>
        <w:t xml:space="preserve"> </w:t>
      </w:r>
      <w:r w:rsidRPr="007740CB">
        <w:rPr>
          <w:snapToGrid w:val="0"/>
        </w:rPr>
        <w:t xml:space="preserve">passed </w:t>
      </w:r>
      <w:r w:rsidR="00D25A6E" w:rsidRPr="007740CB">
        <w:rPr>
          <w:snapToGrid w:val="0"/>
        </w:rPr>
        <w:t>final regulations to create an A</w:t>
      </w:r>
      <w:r w:rsidRPr="007740CB">
        <w:rPr>
          <w:snapToGrid w:val="0"/>
        </w:rPr>
        <w:t xml:space="preserve">utism </w:t>
      </w:r>
      <w:r w:rsidR="00BE4640" w:rsidRPr="007740CB">
        <w:rPr>
          <w:snapToGrid w:val="0"/>
        </w:rPr>
        <w:t xml:space="preserve">Endorsement </w:t>
      </w:r>
      <w:r w:rsidRPr="007740CB">
        <w:rPr>
          <w:snapToGrid w:val="0"/>
        </w:rPr>
        <w:t xml:space="preserve">in Massachusetts. This new endorsement will help special educators </w:t>
      </w:r>
      <w:r w:rsidR="00D25A6E" w:rsidRPr="007740CB">
        <w:rPr>
          <w:snapToGrid w:val="0"/>
        </w:rPr>
        <w:t xml:space="preserve">to </w:t>
      </w:r>
      <w:r w:rsidR="00EA068D" w:rsidRPr="007740CB">
        <w:rPr>
          <w:snapToGrid w:val="0"/>
        </w:rPr>
        <w:t xml:space="preserve">more effectively promote optimal outcomes for </w:t>
      </w:r>
      <w:r w:rsidRPr="007740CB">
        <w:rPr>
          <w:snapToGrid w:val="0"/>
        </w:rPr>
        <w:t>the more than 17,000 students w</w:t>
      </w:r>
      <w:r w:rsidR="00D25A6E" w:rsidRPr="007740CB">
        <w:rPr>
          <w:snapToGrid w:val="0"/>
        </w:rPr>
        <w:t>ith A</w:t>
      </w:r>
      <w:r w:rsidR="00AF1B7B" w:rsidRPr="007740CB">
        <w:rPr>
          <w:snapToGrid w:val="0"/>
        </w:rPr>
        <w:t xml:space="preserve">utism in the Commonwealth. </w:t>
      </w:r>
    </w:p>
    <w:p w:rsidR="003542EE" w:rsidRDefault="00F634DB" w:rsidP="00013A41">
      <w:pPr>
        <w:spacing w:after="360"/>
      </w:pPr>
      <w:r w:rsidRPr="007740CB">
        <w:rPr>
          <w:snapToGrid w:val="0"/>
        </w:rPr>
        <w:t xml:space="preserve">Between October 2015 and September 2016, </w:t>
      </w:r>
      <w:r w:rsidR="00F45357" w:rsidRPr="007740CB">
        <w:rPr>
          <w:snapToGrid w:val="0"/>
        </w:rPr>
        <w:t xml:space="preserve">as directed by the </w:t>
      </w:r>
      <w:r w:rsidR="00D63D5E" w:rsidRPr="007740CB">
        <w:rPr>
          <w:snapToGrid w:val="0"/>
        </w:rPr>
        <w:t>BESE</w:t>
      </w:r>
      <w:r w:rsidR="00F45357" w:rsidRPr="007740CB">
        <w:rPr>
          <w:snapToGrid w:val="0"/>
        </w:rPr>
        <w:t xml:space="preserve">, </w:t>
      </w:r>
      <w:r w:rsidR="003E765C" w:rsidRPr="007740CB">
        <w:rPr>
          <w:snapToGrid w:val="0"/>
        </w:rPr>
        <w:t>t</w:t>
      </w:r>
      <w:r w:rsidRPr="007740CB">
        <w:rPr>
          <w:snapToGrid w:val="0"/>
        </w:rPr>
        <w:t xml:space="preserve">he Department </w:t>
      </w:r>
      <w:r w:rsidR="00D63D5E" w:rsidRPr="007740CB">
        <w:rPr>
          <w:snapToGrid w:val="0"/>
        </w:rPr>
        <w:t xml:space="preserve">has initiated a process of </w:t>
      </w:r>
      <w:r w:rsidRPr="007740CB">
        <w:rPr>
          <w:snapToGrid w:val="0"/>
        </w:rPr>
        <w:t>engag</w:t>
      </w:r>
      <w:r w:rsidR="00D63D5E" w:rsidRPr="007740CB">
        <w:rPr>
          <w:snapToGrid w:val="0"/>
        </w:rPr>
        <w:t>ing</w:t>
      </w:r>
      <w:r w:rsidRPr="007740CB">
        <w:rPr>
          <w:snapToGrid w:val="0"/>
        </w:rPr>
        <w:t xml:space="preserve"> stakeholders</w:t>
      </w:r>
      <w:r w:rsidR="00AF1B7B" w:rsidRPr="007740CB">
        <w:rPr>
          <w:snapToGrid w:val="0"/>
        </w:rPr>
        <w:t xml:space="preserve"> to seek feedback in two areas</w:t>
      </w:r>
      <w:r w:rsidR="00BE4640" w:rsidRPr="007740CB">
        <w:rPr>
          <w:snapToGrid w:val="0"/>
        </w:rPr>
        <w:t xml:space="preserve"> regarding implementation of the credential’s requirements</w:t>
      </w:r>
      <w:r w:rsidR="00AF1B7B" w:rsidRPr="007740CB">
        <w:rPr>
          <w:snapToGrid w:val="0"/>
        </w:rPr>
        <w:t xml:space="preserve">. </w:t>
      </w:r>
      <w:r w:rsidR="00AF1B7B" w:rsidRPr="007740CB">
        <w:t xml:space="preserve">First, the Department will seek feedback on the development of guidelines for educator preparation program approval for the Autism Endorsement. Second, feedback will be solicited on the use of the endorsement in the field and educators’ experience with the endorsement, including whether and how </w:t>
      </w:r>
      <w:r w:rsidR="00BE4640" w:rsidRPr="007740CB">
        <w:t xml:space="preserve">eligibility for </w:t>
      </w:r>
      <w:r w:rsidR="00AF1B7B" w:rsidRPr="007740CB">
        <w:t>it should be expanded to general education teachers to promote inclusion of students with disabilities in general education programs.</w:t>
      </w:r>
    </w:p>
    <w:p w:rsidR="0089291C" w:rsidRDefault="00A46EB9" w:rsidP="00A46EB9">
      <w:pPr>
        <w:pStyle w:val="Heading3"/>
      </w:pPr>
      <w:bookmarkStart w:id="35" w:name="_Toc441569633"/>
      <w:r>
        <w:t>4</w:t>
      </w:r>
      <w:r w:rsidR="0089291C">
        <w:t>. Secondary Transition</w:t>
      </w:r>
      <w:bookmarkEnd w:id="35"/>
    </w:p>
    <w:p w:rsidR="00420AA3" w:rsidRDefault="00E148C7" w:rsidP="007248F8">
      <w:pPr>
        <w:spacing w:after="120"/>
      </w:pPr>
      <w:r>
        <w:t>In FY1</w:t>
      </w:r>
      <w:r w:rsidR="0059592D">
        <w:t>5</w:t>
      </w:r>
      <w:r>
        <w:t xml:space="preserve">, </w:t>
      </w:r>
      <w:r w:rsidR="00715BD0">
        <w:t xml:space="preserve">SEPP </w:t>
      </w:r>
      <w:r w:rsidR="00BC5FB5">
        <w:t xml:space="preserve">collaborated with the Office of </w:t>
      </w:r>
      <w:r w:rsidR="003A76D7">
        <w:t>College and Career Readiness</w:t>
      </w:r>
      <w:r w:rsidR="0059592D">
        <w:t xml:space="preserve"> </w:t>
      </w:r>
      <w:r w:rsidR="00002CC3">
        <w:t xml:space="preserve">(CCR) to create a </w:t>
      </w:r>
      <w:hyperlink r:id="rId32" w:history="1">
        <w:r w:rsidR="00002CC3" w:rsidRPr="00002CC3">
          <w:rPr>
            <w:rStyle w:val="Hyperlink"/>
          </w:rPr>
          <w:t>new online secondary transition forum</w:t>
        </w:r>
      </w:hyperlink>
      <w:r w:rsidR="00002CC3">
        <w:t xml:space="preserve">, </w:t>
      </w:r>
      <w:r w:rsidR="00002CC3" w:rsidRPr="00002CC3">
        <w:t>which features discussion and resources</w:t>
      </w:r>
      <w:r w:rsidR="00002CC3">
        <w:t xml:space="preserve"> in the </w:t>
      </w:r>
      <w:r w:rsidR="00ED6176">
        <w:t>transition domains</w:t>
      </w:r>
      <w:r w:rsidR="00002CC3">
        <w:t xml:space="preserve"> of</w:t>
      </w:r>
      <w:r w:rsidR="00002CC3" w:rsidRPr="00002CC3">
        <w:t xml:space="preserve"> education/training, competitive employment, community partic</w:t>
      </w:r>
      <w:r w:rsidR="00420AA3">
        <w:t xml:space="preserve">ipation, and </w:t>
      </w:r>
      <w:r w:rsidR="001B2ABF">
        <w:lastRenderedPageBreak/>
        <w:t>independent living. This tool</w:t>
      </w:r>
      <w:r w:rsidR="00420AA3">
        <w:t xml:space="preserve"> is</w:t>
      </w:r>
      <w:r w:rsidR="00002CC3" w:rsidRPr="00002CC3">
        <w:t xml:space="preserve"> des</w:t>
      </w:r>
      <w:r w:rsidR="00002CC3">
        <w:t>igned to encourage the flow of t</w:t>
      </w:r>
      <w:r w:rsidR="00002CC3" w:rsidRPr="00002CC3">
        <w:t>ransition-related information among all interested parties in Massachusetts</w:t>
      </w:r>
      <w:r w:rsidR="00BE4640">
        <w:t>, including</w:t>
      </w:r>
      <w:r w:rsidR="00002CC3" w:rsidRPr="00002CC3">
        <w:t xml:space="preserve"> students, families, school professionals, employers, adult agencies, </w:t>
      </w:r>
      <w:r w:rsidR="00BE4640">
        <w:t xml:space="preserve">and </w:t>
      </w:r>
      <w:r w:rsidR="00002CC3" w:rsidRPr="00002CC3">
        <w:t>higher education, in order to improve postsecondary outcomes for students with disabilities.</w:t>
      </w:r>
      <w:r w:rsidR="001B2ABF">
        <w:t xml:space="preserve"> The</w:t>
      </w:r>
      <w:r w:rsidR="00002CC3">
        <w:t xml:space="preserve"> new forum is sited on CCR’s </w:t>
      </w:r>
      <w:hyperlink r:id="rId33" w:history="1">
        <w:r w:rsidR="00002CC3" w:rsidRPr="00420AA3">
          <w:rPr>
            <w:rStyle w:val="Hyperlink"/>
          </w:rPr>
          <w:t>Contextual Learning Portal</w:t>
        </w:r>
      </w:hyperlink>
      <w:r w:rsidR="00420AA3">
        <w:t xml:space="preserve">, </w:t>
      </w:r>
      <w:r w:rsidR="00002CC3" w:rsidRPr="00002CC3">
        <w:t>a</w:t>
      </w:r>
      <w:r w:rsidR="00420AA3">
        <w:t xml:space="preserve"> Department</w:t>
      </w:r>
      <w:r w:rsidR="00002CC3" w:rsidRPr="00002CC3">
        <w:t xml:space="preserve">-sponsored website that provides opportunity and space for educators, community organizations and other youth-serving agencies to share projects and lessons that involve contextual teaching and learning. </w:t>
      </w:r>
    </w:p>
    <w:p w:rsidR="00291FB3" w:rsidRDefault="00420AA3" w:rsidP="007248F8">
      <w:pPr>
        <w:spacing w:after="120"/>
      </w:pPr>
      <w:r>
        <w:t xml:space="preserve">In April 2015, teams of educators from </w:t>
      </w:r>
      <w:r w:rsidR="00B75850">
        <w:t>62 districts and collaboratives participated in training, self-assessment,</w:t>
      </w:r>
      <w:r w:rsidR="00684895">
        <w:t xml:space="preserve"> planning,</w:t>
      </w:r>
      <w:r w:rsidR="00B75850">
        <w:t xml:space="preserve"> and networking around promoting student self-determination, as part of professional development activities through</w:t>
      </w:r>
      <w:r w:rsidR="008D2501">
        <w:t xml:space="preserve"> the</w:t>
      </w:r>
      <w:r w:rsidR="00B94B24">
        <w:t xml:space="preserve"> federally-funded</w:t>
      </w:r>
      <w:r w:rsidR="008D2501">
        <w:t xml:space="preserve"> special education program improvement </w:t>
      </w:r>
      <w:hyperlink r:id="rId34" w:history="1">
        <w:r w:rsidR="008D2501" w:rsidRPr="00B94B24">
          <w:rPr>
            <w:rStyle w:val="Hyperlink"/>
          </w:rPr>
          <w:t>Fund Code</w:t>
        </w:r>
        <w:r w:rsidR="00B94B24" w:rsidRPr="00B94B24">
          <w:rPr>
            <w:rStyle w:val="Hyperlink"/>
          </w:rPr>
          <w:t>:</w:t>
        </w:r>
        <w:r w:rsidR="008D2501" w:rsidRPr="00B94B24">
          <w:rPr>
            <w:rStyle w:val="Hyperlink"/>
          </w:rPr>
          <w:t xml:space="preserve"> 274 grant</w:t>
        </w:r>
      </w:hyperlink>
      <w:r w:rsidR="00F45357">
        <w:t xml:space="preserve"> </w:t>
      </w:r>
      <w:r w:rsidR="00B75850">
        <w:t xml:space="preserve">and as part of the roll-out of the </w:t>
      </w:r>
      <w:hyperlink r:id="rId35" w:history="1">
        <w:r w:rsidR="00B75850" w:rsidRPr="00B94B24">
          <w:rPr>
            <w:rStyle w:val="Hyperlink"/>
          </w:rPr>
          <w:t>Technical Assistance Advisory 2016-2: Promoting Student Self-Determination to Improve Student Outcomes</w:t>
        </w:r>
      </w:hyperlink>
      <w:r w:rsidR="00B75850">
        <w:t xml:space="preserve">. </w:t>
      </w:r>
      <w:r w:rsidR="004A2C0C">
        <w:t>SEPP</w:t>
      </w:r>
      <w:r w:rsidR="00EB448A">
        <w:t xml:space="preserve"> staff </w:t>
      </w:r>
      <w:r w:rsidR="00F10964">
        <w:t xml:space="preserve">also </w:t>
      </w:r>
      <w:r w:rsidR="00EB448A">
        <w:t>collaborated with the Arc of Massachusetts</w:t>
      </w:r>
      <w:r w:rsidR="004A2C0C">
        <w:t xml:space="preserve"> and with the Institute for Community Inclusion at UMass Boston to plan and present at their statewide conferences for </w:t>
      </w:r>
      <w:r w:rsidR="00CF6966">
        <w:t>hundreds of family members</w:t>
      </w:r>
      <w:r w:rsidR="004A2C0C">
        <w:t xml:space="preserve"> and educators. </w:t>
      </w:r>
      <w:r w:rsidR="00CC77FF">
        <w:t xml:space="preserve">Through the </w:t>
      </w:r>
      <w:r w:rsidR="00CC77FF" w:rsidRPr="00CC77FF">
        <w:t>Vocational Special Education Leadership Institute</w:t>
      </w:r>
      <w:r w:rsidR="00CC77FF">
        <w:t xml:space="preserve"> </w:t>
      </w:r>
      <w:hyperlink r:id="rId36" w:history="1">
        <w:r w:rsidR="00CC77FF" w:rsidRPr="00B94B24">
          <w:rPr>
            <w:rStyle w:val="Hyperlink"/>
          </w:rPr>
          <w:t>Fund Code 420 grant</w:t>
        </w:r>
      </w:hyperlink>
      <w:r w:rsidR="00F45357">
        <w:t xml:space="preserve"> (also federally-funded)</w:t>
      </w:r>
      <w:r w:rsidR="00CC77FF">
        <w:t xml:space="preserve">, SEPP and the Office </w:t>
      </w:r>
      <w:r w:rsidR="003A76D7">
        <w:t>for Career/Vocational Technical Education</w:t>
      </w:r>
      <w:r w:rsidR="00CC77FF">
        <w:t xml:space="preserve"> (CVTE) provided year</w:t>
      </w:r>
      <w:r w:rsidR="00B94B24">
        <w:t>-</w:t>
      </w:r>
      <w:r w:rsidR="00CC77FF">
        <w:t xml:space="preserve">long training for </w:t>
      </w:r>
      <w:r w:rsidR="00CC77FF" w:rsidRPr="00CC77FF">
        <w:t xml:space="preserve">vocational technical school </w:t>
      </w:r>
      <w:r w:rsidR="00204B22">
        <w:t>administrators to develop and</w:t>
      </w:r>
      <w:r w:rsidR="00CC77FF" w:rsidRPr="00CC77FF">
        <w:t xml:space="preserve"> strategic</w:t>
      </w:r>
      <w:r w:rsidR="00204B22">
        <w:t>ally</w:t>
      </w:r>
      <w:r w:rsidR="00CC77FF" w:rsidRPr="00CC77FF">
        <w:t xml:space="preserve"> implement</w:t>
      </w:r>
      <w:r w:rsidR="00203F53">
        <w:t xml:space="preserve"> </w:t>
      </w:r>
      <w:r w:rsidR="00CC77FF" w:rsidRPr="00CC77FF">
        <w:t xml:space="preserve">a coordinated system of special education service delivery </w:t>
      </w:r>
      <w:r w:rsidR="00A57238">
        <w:t>in</w:t>
      </w:r>
      <w:r w:rsidR="00CC77FF" w:rsidRPr="00CC77FF">
        <w:t xml:space="preserve"> academic and vocational instruction.</w:t>
      </w:r>
    </w:p>
    <w:p w:rsidR="0022741E" w:rsidRDefault="00F10964" w:rsidP="00825920">
      <w:pPr>
        <w:spacing w:after="360"/>
      </w:pPr>
      <w:r>
        <w:t xml:space="preserve">In </w:t>
      </w:r>
      <w:r w:rsidR="00A074A2">
        <w:t>an example of cross-agency collaboration</w:t>
      </w:r>
      <w:r>
        <w:t xml:space="preserve">, </w:t>
      </w:r>
      <w:r w:rsidR="00A074A2">
        <w:t>the Department worked over the spring and summer of 2015 to draft new Memoranda of Understanding (MOUs) with the Massachusetts Rehabilitation Commission (MRC) and Massachusetts Commission for the Blind (MCB). These MOUs describe enhanced</w:t>
      </w:r>
      <w:r w:rsidR="00966CF7">
        <w:t xml:space="preserve"> agency partnerships in an</w:t>
      </w:r>
      <w:r w:rsidR="00A074A2">
        <w:t xml:space="preserve"> era of the new Workforce Innovation and Opportunity Act (WIOA), which took effect </w:t>
      </w:r>
      <w:r w:rsidR="00A074A2" w:rsidRPr="00A074A2">
        <w:t>on July 1, 2015 (with a few exceptions) and requires states to strategically align workforce development programs.</w:t>
      </w:r>
      <w:r w:rsidR="00A074A2">
        <w:t xml:space="preserve"> </w:t>
      </w:r>
      <w:r w:rsidR="009872BB">
        <w:t>Under WIOA, s</w:t>
      </w:r>
      <w:r w:rsidR="009872BB" w:rsidRPr="009872BB">
        <w:t>tate vocational rehabilitation (VR) agencies will set aside at least 15 percent of their VR funds to provide transition services to youth with disabilities, including pre-emplo</w:t>
      </w:r>
      <w:r w:rsidR="00221EA2">
        <w:t xml:space="preserve">yment transition services delivered in collaboration with local </w:t>
      </w:r>
      <w:r w:rsidR="00BE4640">
        <w:t xml:space="preserve">LEAs </w:t>
      </w:r>
      <w:r w:rsidR="00221EA2">
        <w:t xml:space="preserve">and </w:t>
      </w:r>
      <w:r w:rsidR="009872BB" w:rsidRPr="009872BB">
        <w:t>intended to help them obtain competitive integrated employment</w:t>
      </w:r>
      <w:r w:rsidR="00221EA2">
        <w:t>.</w:t>
      </w:r>
      <w:r w:rsidR="009872BB" w:rsidRPr="009872BB">
        <w:t xml:space="preserve"> </w:t>
      </w:r>
    </w:p>
    <w:p w:rsidR="00163EB3" w:rsidRDefault="002F4CAA" w:rsidP="007E03DD">
      <w:pPr>
        <w:pStyle w:val="Heading2"/>
        <w:spacing w:before="0" w:after="120"/>
      </w:pPr>
      <w:bookmarkStart w:id="36" w:name="_Toc441569634"/>
      <w:r>
        <w:t>B</w:t>
      </w:r>
      <w:r w:rsidR="001C3DC7" w:rsidRPr="00FB7966">
        <w:t xml:space="preserve">. </w:t>
      </w:r>
      <w:r w:rsidR="001C3DC7" w:rsidRPr="00FB7966">
        <w:tab/>
        <w:t>Educational Collaboratives</w:t>
      </w:r>
      <w:bookmarkEnd w:id="36"/>
    </w:p>
    <w:p w:rsidR="009E293C" w:rsidRPr="009E293C" w:rsidRDefault="009E293C" w:rsidP="00FC35EB">
      <w:pPr>
        <w:pStyle w:val="Default"/>
        <w:spacing w:before="120" w:after="120"/>
        <w:rPr>
          <w:rFonts w:ascii="Times New Roman" w:hAnsi="Times New Roman" w:cs="Times New Roman"/>
        </w:rPr>
      </w:pPr>
      <w:bookmarkStart w:id="37" w:name="_Toc400539061"/>
      <w:r w:rsidRPr="009E293C">
        <w:rPr>
          <w:rFonts w:ascii="Times New Roman" w:hAnsi="Times New Roman" w:cs="Times New Roman"/>
        </w:rPr>
        <w:t xml:space="preserve">Educational collaboratives are formed through an agreement between or among two or more school committees and/or charter school boards (member districts) to provide educational programs or services that will supplement and complement programs and services offered by their member districts. There are 26 collaboratives that have been approved by the Commissioner of Elementary and Secondary Education under the provisions of G.L. </w:t>
      </w:r>
      <w:r w:rsidR="0051676C">
        <w:rPr>
          <w:rFonts w:ascii="Times New Roman" w:hAnsi="Times New Roman" w:cs="Times New Roman"/>
        </w:rPr>
        <w:t>c.</w:t>
      </w:r>
      <w:r w:rsidR="0051676C" w:rsidRPr="009E293C">
        <w:rPr>
          <w:rFonts w:ascii="Times New Roman" w:hAnsi="Times New Roman" w:cs="Times New Roman"/>
        </w:rPr>
        <w:t xml:space="preserve"> </w:t>
      </w:r>
      <w:r w:rsidRPr="009E293C">
        <w:rPr>
          <w:rFonts w:ascii="Times New Roman" w:hAnsi="Times New Roman" w:cs="Times New Roman"/>
        </w:rPr>
        <w:t xml:space="preserve">40, </w:t>
      </w:r>
      <w:r w:rsidR="0051676C">
        <w:rPr>
          <w:rFonts w:ascii="Times New Roman" w:hAnsi="Times New Roman" w:cs="Times New Roman"/>
        </w:rPr>
        <w:t>§</w:t>
      </w:r>
      <w:r w:rsidRPr="009E293C">
        <w:rPr>
          <w:rFonts w:ascii="Times New Roman" w:hAnsi="Times New Roman" w:cs="Times New Roman"/>
        </w:rPr>
        <w:t xml:space="preserve">4E. These collaboratives collectively served 265 member districts during FY15. </w:t>
      </w:r>
    </w:p>
    <w:p w:rsidR="009E293C" w:rsidRPr="009E293C" w:rsidRDefault="009E293C" w:rsidP="00FC35EB">
      <w:pPr>
        <w:pStyle w:val="Default"/>
        <w:spacing w:before="120" w:after="120"/>
        <w:rPr>
          <w:rFonts w:ascii="Times New Roman" w:hAnsi="Times New Roman" w:cs="Times New Roman"/>
        </w:rPr>
      </w:pPr>
      <w:r w:rsidRPr="009E293C">
        <w:rPr>
          <w:rFonts w:ascii="Times New Roman" w:hAnsi="Times New Roman" w:cs="Times New Roman"/>
        </w:rPr>
        <w:t xml:space="preserve">Collaboratives are managed by a Board of Directors, comprised of the superintendent or a school committee or charter board member from each member district, and are </w:t>
      </w:r>
      <w:r w:rsidR="00F45357">
        <w:rPr>
          <w:rFonts w:ascii="Times New Roman" w:hAnsi="Times New Roman" w:cs="Times New Roman"/>
        </w:rPr>
        <w:t xml:space="preserve">primarily </w:t>
      </w:r>
      <w:r w:rsidRPr="009E293C">
        <w:rPr>
          <w:rFonts w:ascii="Times New Roman" w:hAnsi="Times New Roman" w:cs="Times New Roman"/>
        </w:rPr>
        <w:t>funded through local school committee and/or charter school budgets to serve public school student</w:t>
      </w:r>
      <w:r w:rsidR="00B94B24">
        <w:rPr>
          <w:rFonts w:ascii="Times New Roman" w:hAnsi="Times New Roman" w:cs="Times New Roman"/>
        </w:rPr>
        <w:t>s. During FY15, 4,159 students with a full range of needs</w:t>
      </w:r>
      <w:r w:rsidRPr="009E293C">
        <w:rPr>
          <w:rFonts w:ascii="Times New Roman" w:hAnsi="Times New Roman" w:cs="Times New Roman"/>
        </w:rPr>
        <w:t xml:space="preserve"> received direct services through educational collaboratives. Collaboratives serve other students and adults by providing therapy services, professional development</w:t>
      </w:r>
      <w:r w:rsidR="00F45357">
        <w:rPr>
          <w:rFonts w:ascii="Times New Roman" w:hAnsi="Times New Roman" w:cs="Times New Roman"/>
        </w:rPr>
        <w:t>,</w:t>
      </w:r>
      <w:r w:rsidRPr="009E293C">
        <w:rPr>
          <w:rFonts w:ascii="Times New Roman" w:hAnsi="Times New Roman" w:cs="Times New Roman"/>
        </w:rPr>
        <w:t xml:space="preserve"> and vocational training for member and non</w:t>
      </w:r>
      <w:r w:rsidR="0051676C">
        <w:rPr>
          <w:rFonts w:ascii="Times New Roman" w:hAnsi="Times New Roman" w:cs="Times New Roman"/>
        </w:rPr>
        <w:t>-</w:t>
      </w:r>
      <w:r w:rsidRPr="009E293C">
        <w:rPr>
          <w:rFonts w:ascii="Times New Roman" w:hAnsi="Times New Roman" w:cs="Times New Roman"/>
        </w:rPr>
        <w:t>member districts.</w:t>
      </w:r>
    </w:p>
    <w:p w:rsidR="009E293C" w:rsidRPr="009E293C" w:rsidRDefault="009E293C" w:rsidP="00FC35EB">
      <w:pPr>
        <w:pStyle w:val="Default"/>
        <w:spacing w:before="120" w:after="120"/>
        <w:rPr>
          <w:rFonts w:ascii="Times New Roman" w:hAnsi="Times New Roman" w:cs="Times New Roman"/>
        </w:rPr>
      </w:pPr>
      <w:r w:rsidRPr="009E293C">
        <w:rPr>
          <w:rFonts w:ascii="Times New Roman" w:hAnsi="Times New Roman" w:cs="Times New Roman"/>
        </w:rPr>
        <w:t xml:space="preserve">Collaboratives have operated as public entities in Massachusetts for over forty years. While they were initially formed in order to operate joint special education programs in which students from member districts (and some non-member districts) could be served, they have evolved since that </w:t>
      </w:r>
      <w:r w:rsidRPr="009E293C">
        <w:rPr>
          <w:rFonts w:ascii="Times New Roman" w:hAnsi="Times New Roman" w:cs="Times New Roman"/>
        </w:rPr>
        <w:lastRenderedPageBreak/>
        <w:t>time in order to meet additional needs of public school districts, such as cooperative pu</w:t>
      </w:r>
      <w:r w:rsidR="00B94B24">
        <w:rPr>
          <w:rFonts w:ascii="Times New Roman" w:hAnsi="Times New Roman" w:cs="Times New Roman"/>
        </w:rPr>
        <w:t>rchasing, transportation and in-</w:t>
      </w:r>
      <w:r w:rsidRPr="009E293C">
        <w:rPr>
          <w:rFonts w:ascii="Times New Roman" w:hAnsi="Times New Roman" w:cs="Times New Roman"/>
        </w:rPr>
        <w:t xml:space="preserve">service training. Collaboratives, however, continue to play an important role in delivering special education services to students throughout the Commonwealth, especially in the smallest districts, where capacity to provide extensive or low-incidence services may be limited. </w:t>
      </w:r>
    </w:p>
    <w:p w:rsidR="009E293C" w:rsidRPr="009E293C" w:rsidRDefault="009E293C" w:rsidP="00FC35EB">
      <w:pPr>
        <w:pStyle w:val="Default"/>
        <w:spacing w:before="120" w:after="120"/>
        <w:rPr>
          <w:rFonts w:ascii="Times New Roman" w:hAnsi="Times New Roman" w:cs="Times New Roman"/>
        </w:rPr>
      </w:pPr>
      <w:r w:rsidRPr="009E293C">
        <w:rPr>
          <w:rFonts w:ascii="Times New Roman" w:hAnsi="Times New Roman" w:cs="Times New Roman"/>
        </w:rPr>
        <w:t xml:space="preserve">Following a major amendment in the authorizing legislation enacted in 2012, new regulations governing collaboratives were approved by the Board of Elementary and Secondary Education on January 29, 2013. As a component of increased accountability, each collaborative is required to provide an annual report of its activities and an independent audit report to each of its member school committees and the Department. The independent audit must also be provided to the State Auditor. In addition, the collaborative board representatives must participate in training provided or approved by the Department on the public records law, conflict of interest law, special education law, the budgetary process, procurement, fraud prevention and awareness, and the fiduciary and management oversight responsibilities of the collaborative Board of Directors. The Department now also maintains students, staffing and MCAS data for each collaborative and continues to include collaboratives in the Department’s Program Quality Assurance (PQA) six-year cycle of coordinated program reviews. </w:t>
      </w:r>
    </w:p>
    <w:p w:rsidR="009E293C" w:rsidRPr="009E293C" w:rsidRDefault="009E293C" w:rsidP="00457CB9">
      <w:pPr>
        <w:pStyle w:val="Default"/>
        <w:spacing w:before="120" w:after="360"/>
        <w:rPr>
          <w:rFonts w:ascii="Times New Roman" w:hAnsi="Times New Roman" w:cs="Times New Roman"/>
        </w:rPr>
      </w:pPr>
      <w:r w:rsidRPr="009E293C">
        <w:rPr>
          <w:rFonts w:ascii="Times New Roman" w:hAnsi="Times New Roman" w:cs="Times New Roman"/>
        </w:rPr>
        <w:t xml:space="preserve">Additional information on collaboratives, including the authorizing law and companion regulations (603 CMR 50.00) may be accessed on the Department’s website at: </w:t>
      </w:r>
      <w:hyperlink r:id="rId37" w:history="1">
        <w:r w:rsidR="007B19D1" w:rsidRPr="003C1C25">
          <w:rPr>
            <w:rStyle w:val="Hyperlink"/>
            <w:rFonts w:ascii="Times New Roman" w:hAnsi="Times New Roman" w:cs="Times New Roman"/>
          </w:rPr>
          <w:t>http://www.doe.mass.edu/finance/collaboratives/</w:t>
        </w:r>
      </w:hyperlink>
      <w:r w:rsidR="007B19D1">
        <w:rPr>
          <w:rFonts w:ascii="Times New Roman" w:hAnsi="Times New Roman" w:cs="Times New Roman"/>
        </w:rPr>
        <w:t xml:space="preserve">. </w:t>
      </w:r>
    </w:p>
    <w:p w:rsidR="001C3DC7" w:rsidRDefault="002F4CAA" w:rsidP="007E03DD">
      <w:pPr>
        <w:pStyle w:val="Heading2"/>
        <w:spacing w:before="0" w:after="120"/>
      </w:pPr>
      <w:bookmarkStart w:id="38" w:name="_Toc441569635"/>
      <w:r>
        <w:t>C</w:t>
      </w:r>
      <w:r w:rsidR="001C3DC7" w:rsidRPr="00FB7966">
        <w:t xml:space="preserve">. </w:t>
      </w:r>
      <w:r w:rsidR="001C3DC7" w:rsidRPr="00FB7966">
        <w:tab/>
      </w:r>
      <w:bookmarkEnd w:id="37"/>
      <w:r w:rsidR="001C3DC7" w:rsidRPr="00FB7966">
        <w:t>Bureau of Special Education Appeals</w:t>
      </w:r>
      <w:bookmarkEnd w:id="38"/>
    </w:p>
    <w:p w:rsidR="006B4B52" w:rsidRPr="00614814" w:rsidRDefault="00623792" w:rsidP="00623792">
      <w:pPr>
        <w:spacing w:after="120"/>
      </w:pPr>
      <w:r w:rsidRPr="00DB6DE8">
        <w:t xml:space="preserve">The Bureau of Special Education Appeals ("BSEA"), an independent subdivision of the Division of Administrative Law Appeals, conducts mediations and due process hearings to resolve disputes among parents, school districts, private </w:t>
      </w:r>
      <w:r w:rsidRPr="00614814">
        <w:t>schools and state agencies.</w:t>
      </w:r>
      <w:r w:rsidRPr="00614814">
        <w:rPr>
          <w:rStyle w:val="FootnoteReference"/>
        </w:rPr>
        <w:footnoteReference w:id="4"/>
      </w:r>
      <w:r w:rsidRPr="00614814">
        <w:t xml:space="preserve">  The BSEA derives its authority from both federal law and regulations (the Individuals with Disabilities Education Act, "IDEA") and Massachusetts law and regulations (</w:t>
      </w:r>
      <w:r w:rsidR="0051676C" w:rsidRPr="00614814">
        <w:t xml:space="preserve">G.L. </w:t>
      </w:r>
      <w:r w:rsidR="00BC676C" w:rsidRPr="00614814">
        <w:t>c.71B). BSEA</w:t>
      </w:r>
      <w:r w:rsidR="008407C5" w:rsidRPr="00614814">
        <w:t xml:space="preserve"> operations are supported with federal special education funds.</w:t>
      </w:r>
      <w:r w:rsidR="0051676C" w:rsidRPr="00614814">
        <w:t xml:space="preserve"> </w:t>
      </w:r>
    </w:p>
    <w:p w:rsidR="00623792" w:rsidRPr="00DB6DE8" w:rsidRDefault="00623792" w:rsidP="00623792">
      <w:pPr>
        <w:spacing w:after="120"/>
      </w:pPr>
      <w:r w:rsidRPr="00DB6DE8">
        <w:t xml:space="preserve">A parent or a school district may </w:t>
      </w:r>
      <w:r w:rsidR="0051676C">
        <w:t xml:space="preserve">file with the BSEA a </w:t>
      </w:r>
      <w:r w:rsidRPr="00DB6DE8">
        <w:t xml:space="preserve">request </w:t>
      </w:r>
      <w:r w:rsidR="0051676C">
        <w:t xml:space="preserve">for </w:t>
      </w:r>
      <w:r w:rsidRPr="00DB6DE8">
        <w:t xml:space="preserve">mediation and/or a due process hearing on any matter concerning the eligibility, evaluation, placement, IEP, provision of special education, or procedural protections for students with disabilities, in accordance with state and </w:t>
      </w:r>
      <w:r w:rsidRPr="00C920BA">
        <w:t>federal law.</w:t>
      </w:r>
      <w:r w:rsidRPr="00C920BA">
        <w:rPr>
          <w:rStyle w:val="FootnoteReference"/>
        </w:rPr>
        <w:footnoteReference w:id="5"/>
      </w:r>
      <w:r w:rsidR="0051676C" w:rsidRPr="00C920BA">
        <w:rPr>
          <w:rStyle w:val="FootnoteReference"/>
        </w:rPr>
        <w:t xml:space="preserve"> </w:t>
      </w:r>
      <w:r w:rsidRPr="00C920BA">
        <w:t xml:space="preserve">In addition, </w:t>
      </w:r>
      <w:r w:rsidR="0051676C" w:rsidRPr="00C920BA">
        <w:t xml:space="preserve">BSEA has jurisdiction over matters related to </w:t>
      </w:r>
      <w:r w:rsidRPr="00C920BA">
        <w:t>a parent</w:t>
      </w:r>
      <w:r w:rsidR="0051676C" w:rsidRPr="00C920BA">
        <w:t>’s</w:t>
      </w:r>
      <w:r w:rsidRPr="00C920BA">
        <w:t xml:space="preserve"> request </w:t>
      </w:r>
      <w:r w:rsidR="0051676C" w:rsidRPr="00C920BA">
        <w:t xml:space="preserve">for </w:t>
      </w:r>
      <w:r w:rsidRPr="00C920BA">
        <w:t>a hearing on any issue involving the denial of a free appropriate public education guaranteed by Section 504 of the Rehabilitation Act of 1973.</w:t>
      </w:r>
    </w:p>
    <w:p w:rsidR="00623792" w:rsidRPr="00DB6DE8" w:rsidRDefault="00623792" w:rsidP="00623792">
      <w:pPr>
        <w:spacing w:after="120"/>
      </w:pPr>
      <w:r w:rsidRPr="00DB6DE8">
        <w:t xml:space="preserve">Mediations and hearings are conducted by impartial mediators and hearing officers who do not have personal or professional interests that would conflict with their objectivity in the proceeding. BSEA </w:t>
      </w:r>
      <w:r w:rsidR="006B4B52">
        <w:t xml:space="preserve">staff </w:t>
      </w:r>
      <w:r w:rsidR="00510447">
        <w:t xml:space="preserve">comprises </w:t>
      </w:r>
      <w:r w:rsidRPr="00DB6DE8">
        <w:t xml:space="preserve">seven </w:t>
      </w:r>
      <w:r w:rsidRPr="00DB6DE8">
        <w:rPr>
          <w:bCs/>
        </w:rPr>
        <w:t>(six full</w:t>
      </w:r>
      <w:r w:rsidR="006B4B52">
        <w:rPr>
          <w:bCs/>
        </w:rPr>
        <w:t>-</w:t>
      </w:r>
      <w:r w:rsidRPr="00DB6DE8">
        <w:rPr>
          <w:bCs/>
        </w:rPr>
        <w:t>time equivalent)</w:t>
      </w:r>
      <w:r w:rsidRPr="00DB6DE8">
        <w:t xml:space="preserve"> hearing officers (all of whom are attorneys), seven mediators, a coordinator of mediation, a scheduling coordinator, administrative staff</w:t>
      </w:r>
      <w:r w:rsidR="0051676C">
        <w:t>,</w:t>
      </w:r>
      <w:r w:rsidRPr="00DB6DE8">
        <w:t xml:space="preserve"> and a director.</w:t>
      </w:r>
    </w:p>
    <w:p w:rsidR="00623792" w:rsidRPr="00DB6DE8" w:rsidRDefault="00623792" w:rsidP="00BF69E5">
      <w:pPr>
        <w:pStyle w:val="NormalWeb"/>
        <w:spacing w:after="360"/>
      </w:pPr>
      <w:r w:rsidRPr="00DB6DE8">
        <w:lastRenderedPageBreak/>
        <w:t xml:space="preserve">What follows is a summary of BSEA data for </w:t>
      </w:r>
      <w:r w:rsidR="0051676C">
        <w:t>FY15</w:t>
      </w:r>
      <w:r w:rsidRPr="00DB6DE8">
        <w:t>.</w:t>
      </w:r>
    </w:p>
    <w:p w:rsidR="007D22BE" w:rsidRPr="007D22BE" w:rsidRDefault="008407C5" w:rsidP="00A46EB9">
      <w:pPr>
        <w:pStyle w:val="Heading3"/>
        <w:rPr>
          <w:sz w:val="22"/>
          <w:szCs w:val="22"/>
          <w:u w:val="single"/>
        </w:rPr>
      </w:pPr>
      <w:bookmarkStart w:id="39" w:name="_Toc441569636"/>
      <w:r>
        <w:t>1</w:t>
      </w:r>
      <w:r w:rsidR="00217786">
        <w:t xml:space="preserve">. </w:t>
      </w:r>
      <w:r w:rsidR="007D22BE" w:rsidRPr="00217786">
        <w:t>Facilitated IEP TEAM Meetings</w:t>
      </w:r>
      <w:bookmarkEnd w:id="39"/>
    </w:p>
    <w:p w:rsidR="00623792" w:rsidRPr="00DB6DE8" w:rsidRDefault="00623792" w:rsidP="0050432A">
      <w:pPr>
        <w:spacing w:before="120" w:after="120"/>
      </w:pPr>
      <w:r w:rsidRPr="00DB6DE8">
        <w:t>This year the BSEA facilitated 127 IEP Team meetings, a decrease from the 150 conducted during the previous year.</w:t>
      </w:r>
      <w:r>
        <w:t xml:space="preserve"> </w:t>
      </w:r>
      <w:r w:rsidR="00E53909">
        <w:t xml:space="preserve">The BSEA was unable to offer its services in response to fifteen additional requests </w:t>
      </w:r>
      <w:r w:rsidRPr="00DB6DE8">
        <w:t xml:space="preserve">for Team meeting facilitations </w:t>
      </w:r>
      <w:r w:rsidR="00E53909">
        <w:t xml:space="preserve">because of staff </w:t>
      </w:r>
      <w:r>
        <w:t>unavailability.</w:t>
      </w:r>
      <w:r w:rsidR="00E53909">
        <w:t xml:space="preserve">  </w:t>
      </w:r>
    </w:p>
    <w:p w:rsidR="007D22BE" w:rsidRPr="007D22BE" w:rsidRDefault="008407C5" w:rsidP="00A46EB9">
      <w:pPr>
        <w:pStyle w:val="Heading3"/>
        <w:rPr>
          <w:color w:val="1F497D"/>
          <w:sz w:val="22"/>
          <w:szCs w:val="22"/>
        </w:rPr>
      </w:pPr>
      <w:bookmarkStart w:id="40" w:name="_Toc441569637"/>
      <w:r>
        <w:t>2</w:t>
      </w:r>
      <w:r w:rsidR="00217786">
        <w:t xml:space="preserve">. </w:t>
      </w:r>
      <w:r w:rsidR="007D22BE" w:rsidRPr="00217786">
        <w:t>Mediation</w:t>
      </w:r>
      <w:bookmarkEnd w:id="40"/>
      <w:r w:rsidR="007D22BE" w:rsidRPr="00217786">
        <w:t xml:space="preserve">  </w:t>
      </w:r>
    </w:p>
    <w:p w:rsidR="00623792" w:rsidRPr="00DB6DE8" w:rsidRDefault="00623792" w:rsidP="0050432A">
      <w:pPr>
        <w:spacing w:before="120" w:after="120"/>
      </w:pPr>
      <w:r w:rsidRPr="00DB6DE8">
        <w:t>There were 733 mediations conducted in FY15</w:t>
      </w:r>
      <w:r w:rsidR="00E53909">
        <w:t xml:space="preserve">. This </w:t>
      </w:r>
      <w:r w:rsidRPr="00DB6DE8">
        <w:t>represen</w:t>
      </w:r>
      <w:r w:rsidR="00E53909">
        <w:t>ts</w:t>
      </w:r>
      <w:r w:rsidRPr="00DB6DE8">
        <w:t xml:space="preserve"> a decrease</w:t>
      </w:r>
      <w:r w:rsidR="00015114">
        <w:t xml:space="preserve"> of seven percent</w:t>
      </w:r>
      <w:r w:rsidRPr="00DB6DE8">
        <w:t xml:space="preserve"> from the 790 conducted during the prior year</w:t>
      </w:r>
      <w:r w:rsidR="00E53909">
        <w:t xml:space="preserve">. The percent of mediations held that resulted in mediation agreements </w:t>
      </w:r>
      <w:r w:rsidR="001166DC">
        <w:t xml:space="preserve">remained </w:t>
      </w:r>
      <w:r w:rsidR="00E53909">
        <w:t xml:space="preserve">consistent this year at </w:t>
      </w:r>
      <w:r w:rsidR="00257944">
        <w:t xml:space="preserve">84.4 </w:t>
      </w:r>
      <w:r w:rsidR="00044B84">
        <w:t>percent</w:t>
      </w:r>
      <w:r w:rsidRPr="00DB6DE8">
        <w:t>.</w:t>
      </w:r>
      <w:r w:rsidR="00E53909">
        <w:t xml:space="preserve"> </w:t>
      </w:r>
    </w:p>
    <w:p w:rsidR="007D22BE" w:rsidRPr="00217786" w:rsidRDefault="008407C5" w:rsidP="00A46EB9">
      <w:pPr>
        <w:pStyle w:val="Heading3"/>
      </w:pPr>
      <w:bookmarkStart w:id="41" w:name="_Toc441569638"/>
      <w:r>
        <w:t>3</w:t>
      </w:r>
      <w:r w:rsidR="00217786">
        <w:t xml:space="preserve">. </w:t>
      </w:r>
      <w:r w:rsidR="007D22BE" w:rsidRPr="00217786">
        <w:t>Due Process Hearings</w:t>
      </w:r>
      <w:bookmarkEnd w:id="41"/>
    </w:p>
    <w:p w:rsidR="00623792" w:rsidRPr="00DB6DE8" w:rsidRDefault="00623792" w:rsidP="0050432A">
      <w:pPr>
        <w:spacing w:before="120" w:after="120"/>
      </w:pPr>
      <w:r w:rsidRPr="00DB6DE8">
        <w:t>The BSEA received 49</w:t>
      </w:r>
      <w:r w:rsidR="0027345F">
        <w:t>2</w:t>
      </w:r>
      <w:r w:rsidRPr="00DB6DE8">
        <w:t xml:space="preserve"> hearing requests during FY15</w:t>
      </w:r>
      <w:r w:rsidR="00DE165B">
        <w:t xml:space="preserve">, </w:t>
      </w:r>
      <w:r w:rsidR="00DE165B" w:rsidRPr="00DB6DE8">
        <w:t>a</w:t>
      </w:r>
      <w:r w:rsidRPr="00DB6DE8">
        <w:t xml:space="preserve"> </w:t>
      </w:r>
      <w:r w:rsidR="004F2FC8" w:rsidRPr="004F2FC8">
        <w:t>decrease</w:t>
      </w:r>
      <w:r w:rsidR="005269A7" w:rsidRPr="005269A7">
        <w:t xml:space="preserve"> </w:t>
      </w:r>
      <w:r w:rsidR="00015114">
        <w:t>of nearly 17</w:t>
      </w:r>
      <w:r w:rsidR="00617D19">
        <w:t xml:space="preserve"> </w:t>
      </w:r>
      <w:r w:rsidR="00044B84">
        <w:t>percent</w:t>
      </w:r>
      <w:r w:rsidR="005269A7">
        <w:t xml:space="preserve"> </w:t>
      </w:r>
      <w:r w:rsidRPr="00DB6DE8">
        <w:t xml:space="preserve">from the 590 requests </w:t>
      </w:r>
      <w:r w:rsidR="005269A7">
        <w:t xml:space="preserve">made </w:t>
      </w:r>
      <w:r w:rsidRPr="00DB6DE8">
        <w:t>in the prior year. BSEA hearing officers conducted full hearings resulting in 18 decisions</w:t>
      </w:r>
      <w:r w:rsidR="005269A7">
        <w:t xml:space="preserve">, which is </w:t>
      </w:r>
      <w:r w:rsidRPr="00DB6DE8">
        <w:t>a decrease</w:t>
      </w:r>
      <w:r w:rsidRPr="00DB6DE8">
        <w:rPr>
          <w:i/>
        </w:rPr>
        <w:t xml:space="preserve"> </w:t>
      </w:r>
      <w:r w:rsidR="004F2FC8" w:rsidRPr="004F2FC8">
        <w:t>from</w:t>
      </w:r>
      <w:r w:rsidRPr="005269A7">
        <w:t xml:space="preserve"> </w:t>
      </w:r>
      <w:r w:rsidRPr="00DB6DE8">
        <w:t xml:space="preserve">the 25 decisions issued in the previous year. </w:t>
      </w:r>
      <w:r w:rsidR="005269A7">
        <w:t>Additionally</w:t>
      </w:r>
      <w:r w:rsidR="00DE165B">
        <w:t>, hearing</w:t>
      </w:r>
      <w:r w:rsidR="005269A7">
        <w:t xml:space="preserve"> office</w:t>
      </w:r>
      <w:r w:rsidR="00DE165B">
        <w:t>r</w:t>
      </w:r>
      <w:r w:rsidR="005269A7">
        <w:t>s issued</w:t>
      </w:r>
      <w:r w:rsidRPr="00DB6DE8">
        <w:t xml:space="preserve"> 48 substantive written rulings</w:t>
      </w:r>
      <w:r w:rsidR="005269A7">
        <w:t xml:space="preserve">, compared to </w:t>
      </w:r>
      <w:r w:rsidRPr="00DB6DE8">
        <w:t xml:space="preserve">53 </w:t>
      </w:r>
      <w:r w:rsidR="005269A7">
        <w:t>such</w:t>
      </w:r>
      <w:r w:rsidR="005269A7" w:rsidRPr="00DB6DE8">
        <w:t xml:space="preserve"> </w:t>
      </w:r>
      <w:r w:rsidRPr="00DB6DE8">
        <w:t>rulings in the prior year.</w:t>
      </w:r>
    </w:p>
    <w:p w:rsidR="007D22BE" w:rsidRPr="007D22BE" w:rsidRDefault="008407C5" w:rsidP="00A46EB9">
      <w:pPr>
        <w:pStyle w:val="Heading3"/>
      </w:pPr>
      <w:bookmarkStart w:id="42" w:name="_Toc441569639"/>
      <w:r>
        <w:t>4</w:t>
      </w:r>
      <w:r w:rsidR="00217786">
        <w:t xml:space="preserve">. </w:t>
      </w:r>
      <w:r w:rsidR="007D22BE" w:rsidRPr="007D22BE">
        <w:t>Prevailing Party</w:t>
      </w:r>
      <w:r w:rsidR="005269A7">
        <w:t xml:space="preserve"> and Representation</w:t>
      </w:r>
      <w:bookmarkEnd w:id="42"/>
    </w:p>
    <w:p w:rsidR="00623792" w:rsidRDefault="00623792" w:rsidP="0054610D">
      <w:pPr>
        <w:spacing w:before="120" w:after="120"/>
      </w:pPr>
      <w:r w:rsidRPr="00623792">
        <w:t xml:space="preserve">Of the 18 </w:t>
      </w:r>
      <w:r w:rsidR="005269A7">
        <w:t xml:space="preserve">hearing </w:t>
      </w:r>
      <w:r w:rsidRPr="00623792">
        <w:t xml:space="preserve">decisions noted above, parents fully prevailed in </w:t>
      </w:r>
      <w:r w:rsidR="005269A7">
        <w:t>three</w:t>
      </w:r>
      <w:r w:rsidRPr="00623792">
        <w:t xml:space="preserve">, school </w:t>
      </w:r>
      <w:r>
        <w:t xml:space="preserve">districts fully prevailed in 11, </w:t>
      </w:r>
      <w:r w:rsidR="005269A7">
        <w:t xml:space="preserve">and </w:t>
      </w:r>
      <w:r w:rsidRPr="00623792">
        <w:t xml:space="preserve">mixed relief was awarded in </w:t>
      </w:r>
      <w:r w:rsidR="005269A7">
        <w:t>three. On</w:t>
      </w:r>
      <w:r w:rsidR="00676936">
        <w:t>e</w:t>
      </w:r>
      <w:r w:rsidR="005269A7">
        <w:t xml:space="preserve"> </w:t>
      </w:r>
      <w:r w:rsidRPr="00623792">
        <w:t>decision involved an LEA assignment case.</w:t>
      </w:r>
    </w:p>
    <w:p w:rsidR="00115236" w:rsidRDefault="008407C5" w:rsidP="00A46EB9">
      <w:pPr>
        <w:pStyle w:val="Heading3"/>
      </w:pPr>
      <w:bookmarkStart w:id="43" w:name="_Toc441569640"/>
      <w:r>
        <w:t>5</w:t>
      </w:r>
      <w:r w:rsidR="00115236">
        <w:t>. Settlement Conferences</w:t>
      </w:r>
      <w:bookmarkEnd w:id="43"/>
    </w:p>
    <w:p w:rsidR="00115236" w:rsidRPr="00DB6DE8" w:rsidRDefault="0020189A" w:rsidP="00825920">
      <w:pPr>
        <w:spacing w:before="120" w:after="360"/>
      </w:pPr>
      <w:r w:rsidRPr="0020189A">
        <w:t>The settlement conf</w:t>
      </w:r>
      <w:r>
        <w:t>eren</w:t>
      </w:r>
      <w:r w:rsidR="00E703BD">
        <w:t xml:space="preserve">ce </w:t>
      </w:r>
      <w:r w:rsidRPr="0020189A">
        <w:t>is a voluntary alternative dispute resolution process available to litigants only after a hearing request has been filed, affording the parties one last opportunity to resolve the matter through the BSEA without proceeding to a due process hearing.</w:t>
      </w:r>
      <w:r>
        <w:t xml:space="preserve"> </w:t>
      </w:r>
      <w:r w:rsidR="00115236" w:rsidRPr="00DB6DE8">
        <w:t>Settlement conferences were held in 63 of the cases that were filed for hearing in FY15.</w:t>
      </w:r>
    </w:p>
    <w:p w:rsidR="00B53700" w:rsidRPr="00CD4510" w:rsidRDefault="003C1BB0" w:rsidP="007E03DD">
      <w:pPr>
        <w:pStyle w:val="Heading1"/>
        <w:spacing w:before="0"/>
      </w:pPr>
      <w:bookmarkStart w:id="44" w:name="_Toc441569641"/>
      <w:r>
        <w:t>IV</w:t>
      </w:r>
      <w:r w:rsidR="00B53700" w:rsidRPr="00CD4510">
        <w:t xml:space="preserve">. </w:t>
      </w:r>
      <w:r w:rsidR="00B53700" w:rsidRPr="00CD4510">
        <w:tab/>
      </w:r>
      <w:proofErr w:type="gramStart"/>
      <w:r w:rsidR="00761E74">
        <w:t>For</w:t>
      </w:r>
      <w:proofErr w:type="gramEnd"/>
      <w:r w:rsidR="00761E74">
        <w:t xml:space="preserve"> </w:t>
      </w:r>
      <w:r w:rsidR="005B7ACC">
        <w:t>More</w:t>
      </w:r>
      <w:r w:rsidR="00761E74">
        <w:t xml:space="preserve"> Information</w:t>
      </w:r>
      <w:bookmarkEnd w:id="44"/>
    </w:p>
    <w:p w:rsidR="00F044FE" w:rsidRPr="0072770E" w:rsidRDefault="00E36BE1" w:rsidP="007E03DD">
      <w:pPr>
        <w:spacing w:after="120"/>
      </w:pPr>
      <w:r w:rsidRPr="0072770E">
        <w:t xml:space="preserve">The </w:t>
      </w:r>
      <w:r w:rsidR="00B53700" w:rsidRPr="0072770E">
        <w:t xml:space="preserve">information in this report is a compilation of </w:t>
      </w:r>
      <w:r w:rsidR="00A35EE3" w:rsidRPr="0072770E">
        <w:t xml:space="preserve">data and </w:t>
      </w:r>
      <w:r w:rsidR="00B53700" w:rsidRPr="0072770E">
        <w:t>narrative contributions from s</w:t>
      </w:r>
      <w:r w:rsidRPr="0072770E">
        <w:t>eve</w:t>
      </w:r>
      <w:r w:rsidR="00B53700" w:rsidRPr="0072770E">
        <w:t xml:space="preserve">ral units within the Department, </w:t>
      </w:r>
      <w:r w:rsidRPr="0072770E">
        <w:t xml:space="preserve">as well as input from the Massachusetts Organization of Education Collaboratives, the state Office of Medicaid, and the Division of Administration Law Appeals. If you have any questions, please contact the Office of Special Education Planning and Policy at the Department of Elementary and Secondary Education, Marcia Mittnacht, Director, by email at </w:t>
      </w:r>
      <w:hyperlink r:id="rId38" w:history="1">
        <w:r w:rsidR="0054032F" w:rsidRPr="00341615">
          <w:rPr>
            <w:rStyle w:val="Hyperlink"/>
          </w:rPr>
          <w:t>mmmittnacht@doe.mass.edu</w:t>
        </w:r>
      </w:hyperlink>
      <w:r w:rsidRPr="0029686C">
        <w:t xml:space="preserve"> </w:t>
      </w:r>
      <w:r w:rsidRPr="0072770E">
        <w:t>or by phone at 781-</w:t>
      </w:r>
      <w:r w:rsidRPr="009C3CDE">
        <w:t>338-3375.</w:t>
      </w:r>
    </w:p>
    <w:sectPr w:rsidR="00F044FE" w:rsidRPr="0072770E" w:rsidSect="007E03DD">
      <w:footerReference w:type="default" r:id="rId39"/>
      <w:pgSz w:w="12240" w:h="15840"/>
      <w:pgMar w:top="1170" w:right="1440" w:bottom="108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32" w:rsidRDefault="00127D32" w:rsidP="00FD2C86">
      <w:r>
        <w:separator/>
      </w:r>
    </w:p>
  </w:endnote>
  <w:endnote w:type="continuationSeparator" w:id="0">
    <w:p w:rsidR="00127D32" w:rsidRDefault="00127D32"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0B" w:rsidRDefault="00D0680B" w:rsidP="00D674EF">
    <w:pPr>
      <w:pStyle w:val="Footer"/>
    </w:pPr>
    <w:r>
      <w:tab/>
    </w:r>
    <w:fldSimple w:instr=" PAGE   \* MERGEFORMAT ">
      <w:r w:rsidR="00FD7403">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32" w:rsidRDefault="00127D32" w:rsidP="00FD2C86">
      <w:r>
        <w:separator/>
      </w:r>
    </w:p>
  </w:footnote>
  <w:footnote w:type="continuationSeparator" w:id="0">
    <w:p w:rsidR="00127D32" w:rsidRDefault="00127D32" w:rsidP="00FD2C86">
      <w:r>
        <w:continuationSeparator/>
      </w:r>
    </w:p>
  </w:footnote>
  <w:footnote w:id="1">
    <w:p w:rsidR="00D0680B" w:rsidRDefault="00D0680B">
      <w:pPr>
        <w:pStyle w:val="FootnoteText"/>
      </w:pPr>
      <w:r>
        <w:rPr>
          <w:rStyle w:val="FootnoteReference"/>
        </w:rPr>
        <w:footnoteRef/>
      </w:r>
      <w:r>
        <w:t xml:space="preserve"> </w:t>
      </w:r>
      <w:r w:rsidRPr="00221543">
        <w:t xml:space="preserve">Hehir, T., </w:t>
      </w:r>
      <w:proofErr w:type="spellStart"/>
      <w:r w:rsidRPr="00221543">
        <w:t>Grindal</w:t>
      </w:r>
      <w:proofErr w:type="spellEnd"/>
      <w:r w:rsidRPr="00221543">
        <w:t xml:space="preserve">, T., &amp; </w:t>
      </w:r>
      <w:proofErr w:type="spellStart"/>
      <w:r w:rsidRPr="00221543">
        <w:t>Eidelman</w:t>
      </w:r>
      <w:proofErr w:type="spellEnd"/>
      <w:r w:rsidRPr="00221543">
        <w:t xml:space="preserve">, H. (2012, April 1). </w:t>
      </w:r>
      <w:proofErr w:type="gramStart"/>
      <w:r w:rsidRPr="00221543">
        <w:t>Review of Special Education in the Commonwealth of Massachusetts.</w:t>
      </w:r>
      <w:proofErr w:type="gramEnd"/>
      <w:r w:rsidRPr="00221543">
        <w:t xml:space="preserve"> Retrieved January 11, 2016, from </w:t>
      </w:r>
      <w:hyperlink r:id="rId1" w:history="1">
        <w:r w:rsidRPr="00F63DF1">
          <w:rPr>
            <w:rStyle w:val="Hyperlink"/>
          </w:rPr>
          <w:t>http://www.doe.mass.edu/sped/2012/0412sped.pdf</w:t>
        </w:r>
      </w:hyperlink>
      <w:r>
        <w:t xml:space="preserve"> </w:t>
      </w:r>
    </w:p>
  </w:footnote>
  <w:footnote w:id="2">
    <w:p w:rsidR="00D0680B" w:rsidRDefault="00D0680B">
      <w:pPr>
        <w:pStyle w:val="FootnoteText"/>
      </w:pPr>
      <w:r>
        <w:rPr>
          <w:rStyle w:val="FootnoteReference"/>
        </w:rPr>
        <w:footnoteRef/>
      </w:r>
      <w:r>
        <w:t xml:space="preserve"> </w:t>
      </w:r>
      <w:proofErr w:type="gramStart"/>
      <w:r w:rsidRPr="00885124">
        <w:t>10 Things to Know About New Autism Data.</w:t>
      </w:r>
      <w:proofErr w:type="gramEnd"/>
      <w:r w:rsidRPr="00885124">
        <w:t xml:space="preserve"> (2014, March 31). Retrieved January 7, 2016, from </w:t>
      </w:r>
      <w:hyperlink r:id="rId2" w:history="1">
        <w:r w:rsidRPr="003B5C63">
          <w:rPr>
            <w:rStyle w:val="Hyperlink"/>
          </w:rPr>
          <w:t>http://www.cdc.gov/features/dsautismdata/index.html</w:t>
        </w:r>
      </w:hyperlink>
      <w:r>
        <w:t xml:space="preserve"> </w:t>
      </w:r>
    </w:p>
  </w:footnote>
  <w:footnote w:id="3">
    <w:p w:rsidR="00D0680B" w:rsidRDefault="00D0680B" w:rsidP="009B0F9E">
      <w:pPr>
        <w:pStyle w:val="FootnoteText"/>
      </w:pPr>
      <w:r>
        <w:rPr>
          <w:rStyle w:val="FootnoteReference"/>
        </w:rPr>
        <w:footnoteRef/>
      </w:r>
      <w:r>
        <w:t xml:space="preserve">  For background on the SSIP, please see the </w:t>
      </w:r>
      <w:hyperlink r:id="rId3" w:history="1">
        <w:r w:rsidRPr="00EF6AD1">
          <w:rPr>
            <w:rStyle w:val="Hyperlink"/>
          </w:rPr>
          <w:t>FY14 legislative report</w:t>
        </w:r>
      </w:hyperlink>
      <w:r>
        <w:t>.</w:t>
      </w:r>
    </w:p>
    <w:p w:rsidR="00D0680B" w:rsidRDefault="00D0680B" w:rsidP="009B0F9E">
      <w:pPr>
        <w:pStyle w:val="FootnoteText"/>
      </w:pPr>
    </w:p>
  </w:footnote>
  <w:footnote w:id="4">
    <w:p w:rsidR="00D0680B" w:rsidRPr="00A83976" w:rsidRDefault="00D0680B" w:rsidP="009C3CDE">
      <w:pPr>
        <w:pStyle w:val="FootnoteText"/>
      </w:pPr>
      <w:r>
        <w:rPr>
          <w:rStyle w:val="FootnoteReference"/>
        </w:rPr>
        <w:footnoteRef/>
      </w:r>
      <w:r>
        <w:t xml:space="preserve"> </w:t>
      </w:r>
      <w:r w:rsidRPr="00A83976">
        <w:t>In addition to mediation and due process hearings (both of which must be offered pursuant to federal law), the BSEA offers the following alternative dispute resolution options: IEP Team meeting facilitations; settlement conferences</w:t>
      </w:r>
      <w:r>
        <w:t>;</w:t>
      </w:r>
      <w:r w:rsidRPr="00A83976">
        <w:t xml:space="preserve"> and advisory opinions.</w:t>
      </w:r>
      <w:r>
        <w:t xml:space="preserve"> </w:t>
      </w:r>
    </w:p>
    <w:p w:rsidR="00D0680B" w:rsidRDefault="00D0680B" w:rsidP="00623792">
      <w:pPr>
        <w:pStyle w:val="FootnoteText"/>
      </w:pPr>
    </w:p>
  </w:footnote>
  <w:footnote w:id="5">
    <w:p w:rsidR="00D0680B" w:rsidRPr="00A83976" w:rsidRDefault="00D0680B" w:rsidP="00623792">
      <w:pPr>
        <w:pStyle w:val="FootnoteText"/>
      </w:pPr>
      <w:r>
        <w:rPr>
          <w:rStyle w:val="FootnoteReference"/>
        </w:rPr>
        <w:footnoteRef/>
      </w:r>
      <w:r>
        <w:t xml:space="preserve"> </w:t>
      </w:r>
      <w:r w:rsidRPr="00A83976">
        <w:t>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328846C6"/>
    <w:multiLevelType w:val="hybridMultilevel"/>
    <w:tmpl w:val="B07059BA"/>
    <w:lvl w:ilvl="0" w:tplc="39864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F4469E"/>
    <w:multiLevelType w:val="hybridMultilevel"/>
    <w:tmpl w:val="A710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A697E05"/>
    <w:multiLevelType w:val="hybridMultilevel"/>
    <w:tmpl w:val="B23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3101C"/>
    <w:multiLevelType w:val="hybridMultilevel"/>
    <w:tmpl w:val="905A4C64"/>
    <w:lvl w:ilvl="0" w:tplc="39864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8"/>
  </w:num>
  <w:num w:numId="8">
    <w:abstractNumId w:val="6"/>
  </w:num>
  <w:num w:numId="9">
    <w:abstractNumId w:val="1"/>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ED328E"/>
    <w:rsid w:val="00000164"/>
    <w:rsid w:val="00000212"/>
    <w:rsid w:val="00001093"/>
    <w:rsid w:val="00001288"/>
    <w:rsid w:val="00001D87"/>
    <w:rsid w:val="00001D92"/>
    <w:rsid w:val="00002CC3"/>
    <w:rsid w:val="00002F30"/>
    <w:rsid w:val="000037CE"/>
    <w:rsid w:val="0000401C"/>
    <w:rsid w:val="00007776"/>
    <w:rsid w:val="00012C07"/>
    <w:rsid w:val="0001388F"/>
    <w:rsid w:val="00013A41"/>
    <w:rsid w:val="000144C3"/>
    <w:rsid w:val="00015114"/>
    <w:rsid w:val="00016826"/>
    <w:rsid w:val="00016BBF"/>
    <w:rsid w:val="00016C20"/>
    <w:rsid w:val="000212FD"/>
    <w:rsid w:val="00022447"/>
    <w:rsid w:val="0002292F"/>
    <w:rsid w:val="00024235"/>
    <w:rsid w:val="00026488"/>
    <w:rsid w:val="00026513"/>
    <w:rsid w:val="000271C2"/>
    <w:rsid w:val="00031C79"/>
    <w:rsid w:val="00031F6D"/>
    <w:rsid w:val="00032213"/>
    <w:rsid w:val="00034524"/>
    <w:rsid w:val="00041575"/>
    <w:rsid w:val="0004408F"/>
    <w:rsid w:val="0004457B"/>
    <w:rsid w:val="00044B84"/>
    <w:rsid w:val="0004527D"/>
    <w:rsid w:val="000453FB"/>
    <w:rsid w:val="0004587A"/>
    <w:rsid w:val="00046BD9"/>
    <w:rsid w:val="000506EE"/>
    <w:rsid w:val="0005395F"/>
    <w:rsid w:val="00054520"/>
    <w:rsid w:val="00055C77"/>
    <w:rsid w:val="0005715E"/>
    <w:rsid w:val="000617CC"/>
    <w:rsid w:val="00062D11"/>
    <w:rsid w:val="00066382"/>
    <w:rsid w:val="000711BA"/>
    <w:rsid w:val="000714F1"/>
    <w:rsid w:val="0007458A"/>
    <w:rsid w:val="0007581A"/>
    <w:rsid w:val="00076BD2"/>
    <w:rsid w:val="00083AF5"/>
    <w:rsid w:val="00084569"/>
    <w:rsid w:val="00084DB6"/>
    <w:rsid w:val="00087074"/>
    <w:rsid w:val="00087376"/>
    <w:rsid w:val="000878BD"/>
    <w:rsid w:val="0009202C"/>
    <w:rsid w:val="00092375"/>
    <w:rsid w:val="000927CC"/>
    <w:rsid w:val="00092A27"/>
    <w:rsid w:val="00092E4B"/>
    <w:rsid w:val="00096F2A"/>
    <w:rsid w:val="000A4EDF"/>
    <w:rsid w:val="000A69E9"/>
    <w:rsid w:val="000A7F57"/>
    <w:rsid w:val="000B0089"/>
    <w:rsid w:val="000B02A5"/>
    <w:rsid w:val="000B0B74"/>
    <w:rsid w:val="000B1DD1"/>
    <w:rsid w:val="000B2128"/>
    <w:rsid w:val="000B3182"/>
    <w:rsid w:val="000B4E3F"/>
    <w:rsid w:val="000C0610"/>
    <w:rsid w:val="000C1629"/>
    <w:rsid w:val="000C3B85"/>
    <w:rsid w:val="000C408E"/>
    <w:rsid w:val="000C5002"/>
    <w:rsid w:val="000C5AF1"/>
    <w:rsid w:val="000C5FF3"/>
    <w:rsid w:val="000D0E81"/>
    <w:rsid w:val="000D1C7A"/>
    <w:rsid w:val="000D1FA5"/>
    <w:rsid w:val="000D306A"/>
    <w:rsid w:val="000D3C89"/>
    <w:rsid w:val="000D501C"/>
    <w:rsid w:val="000D5996"/>
    <w:rsid w:val="000D6C9B"/>
    <w:rsid w:val="000D7767"/>
    <w:rsid w:val="000E299E"/>
    <w:rsid w:val="000E57F5"/>
    <w:rsid w:val="000E58E9"/>
    <w:rsid w:val="000E5FB3"/>
    <w:rsid w:val="000E7A53"/>
    <w:rsid w:val="000F0E6D"/>
    <w:rsid w:val="000F1A09"/>
    <w:rsid w:val="000F36DC"/>
    <w:rsid w:val="000F46CD"/>
    <w:rsid w:val="000F5323"/>
    <w:rsid w:val="000F59A3"/>
    <w:rsid w:val="000F637E"/>
    <w:rsid w:val="000F6F12"/>
    <w:rsid w:val="000F78D3"/>
    <w:rsid w:val="00100600"/>
    <w:rsid w:val="00100605"/>
    <w:rsid w:val="00100783"/>
    <w:rsid w:val="00101B79"/>
    <w:rsid w:val="001021FB"/>
    <w:rsid w:val="001031BE"/>
    <w:rsid w:val="001042D1"/>
    <w:rsid w:val="001046C0"/>
    <w:rsid w:val="00106D32"/>
    <w:rsid w:val="001103C3"/>
    <w:rsid w:val="0011065D"/>
    <w:rsid w:val="00110C54"/>
    <w:rsid w:val="00111CF2"/>
    <w:rsid w:val="0011274A"/>
    <w:rsid w:val="00113215"/>
    <w:rsid w:val="00113A3B"/>
    <w:rsid w:val="00115236"/>
    <w:rsid w:val="001163F9"/>
    <w:rsid w:val="001166DC"/>
    <w:rsid w:val="0011791A"/>
    <w:rsid w:val="00121193"/>
    <w:rsid w:val="0012136F"/>
    <w:rsid w:val="00123285"/>
    <w:rsid w:val="00123ACA"/>
    <w:rsid w:val="00127D32"/>
    <w:rsid w:val="00127EC1"/>
    <w:rsid w:val="00132DEC"/>
    <w:rsid w:val="001374D2"/>
    <w:rsid w:val="0014102A"/>
    <w:rsid w:val="00141894"/>
    <w:rsid w:val="00141BCB"/>
    <w:rsid w:val="0014236B"/>
    <w:rsid w:val="00144CB4"/>
    <w:rsid w:val="001458FF"/>
    <w:rsid w:val="00146B72"/>
    <w:rsid w:val="00147F76"/>
    <w:rsid w:val="001507D8"/>
    <w:rsid w:val="00150CF7"/>
    <w:rsid w:val="00152243"/>
    <w:rsid w:val="0015237E"/>
    <w:rsid w:val="00152CC8"/>
    <w:rsid w:val="00152EE1"/>
    <w:rsid w:val="00154E10"/>
    <w:rsid w:val="00155B6D"/>
    <w:rsid w:val="0015790C"/>
    <w:rsid w:val="00160F39"/>
    <w:rsid w:val="00161387"/>
    <w:rsid w:val="00161A3F"/>
    <w:rsid w:val="00163524"/>
    <w:rsid w:val="00163EB3"/>
    <w:rsid w:val="0017022D"/>
    <w:rsid w:val="0017085F"/>
    <w:rsid w:val="00173C94"/>
    <w:rsid w:val="00173CD8"/>
    <w:rsid w:val="00174163"/>
    <w:rsid w:val="00177955"/>
    <w:rsid w:val="00177E4C"/>
    <w:rsid w:val="00180963"/>
    <w:rsid w:val="00180B2C"/>
    <w:rsid w:val="00184530"/>
    <w:rsid w:val="00184ACF"/>
    <w:rsid w:val="001850F0"/>
    <w:rsid w:val="00185426"/>
    <w:rsid w:val="00186D4A"/>
    <w:rsid w:val="00187CC7"/>
    <w:rsid w:val="0019241C"/>
    <w:rsid w:val="00192630"/>
    <w:rsid w:val="00193329"/>
    <w:rsid w:val="00197C6B"/>
    <w:rsid w:val="001A028D"/>
    <w:rsid w:val="001A198E"/>
    <w:rsid w:val="001A248E"/>
    <w:rsid w:val="001A553C"/>
    <w:rsid w:val="001A6368"/>
    <w:rsid w:val="001A6B34"/>
    <w:rsid w:val="001A78F1"/>
    <w:rsid w:val="001B04F6"/>
    <w:rsid w:val="001B0849"/>
    <w:rsid w:val="001B25AC"/>
    <w:rsid w:val="001B2ABF"/>
    <w:rsid w:val="001B3E1E"/>
    <w:rsid w:val="001B44B2"/>
    <w:rsid w:val="001B7790"/>
    <w:rsid w:val="001C1650"/>
    <w:rsid w:val="001C1CF3"/>
    <w:rsid w:val="001C2708"/>
    <w:rsid w:val="001C290D"/>
    <w:rsid w:val="001C3DC7"/>
    <w:rsid w:val="001C510B"/>
    <w:rsid w:val="001C6761"/>
    <w:rsid w:val="001C6838"/>
    <w:rsid w:val="001C72B1"/>
    <w:rsid w:val="001D0F2B"/>
    <w:rsid w:val="001D2537"/>
    <w:rsid w:val="001D3171"/>
    <w:rsid w:val="001E1852"/>
    <w:rsid w:val="001E7337"/>
    <w:rsid w:val="001F14E9"/>
    <w:rsid w:val="001F24C0"/>
    <w:rsid w:val="001F49EC"/>
    <w:rsid w:val="0020189A"/>
    <w:rsid w:val="0020198D"/>
    <w:rsid w:val="00201F27"/>
    <w:rsid w:val="002027A9"/>
    <w:rsid w:val="002034A0"/>
    <w:rsid w:val="002037BB"/>
    <w:rsid w:val="00203F53"/>
    <w:rsid w:val="00204B22"/>
    <w:rsid w:val="00206C54"/>
    <w:rsid w:val="00206EA2"/>
    <w:rsid w:val="0020745C"/>
    <w:rsid w:val="0020780F"/>
    <w:rsid w:val="00210608"/>
    <w:rsid w:val="00213EF3"/>
    <w:rsid w:val="00214D10"/>
    <w:rsid w:val="002159D2"/>
    <w:rsid w:val="00215A9C"/>
    <w:rsid w:val="00215E7C"/>
    <w:rsid w:val="002162DB"/>
    <w:rsid w:val="00216407"/>
    <w:rsid w:val="00217786"/>
    <w:rsid w:val="00221543"/>
    <w:rsid w:val="00221EA2"/>
    <w:rsid w:val="00224BE9"/>
    <w:rsid w:val="00225B2D"/>
    <w:rsid w:val="002267F3"/>
    <w:rsid w:val="0022741E"/>
    <w:rsid w:val="002339B9"/>
    <w:rsid w:val="00234B44"/>
    <w:rsid w:val="00236488"/>
    <w:rsid w:val="00236A6B"/>
    <w:rsid w:val="002405D2"/>
    <w:rsid w:val="002410FF"/>
    <w:rsid w:val="0024496F"/>
    <w:rsid w:val="00246B7F"/>
    <w:rsid w:val="0025063C"/>
    <w:rsid w:val="00251290"/>
    <w:rsid w:val="00251839"/>
    <w:rsid w:val="00252F33"/>
    <w:rsid w:val="00252F5C"/>
    <w:rsid w:val="00253C38"/>
    <w:rsid w:val="0025500A"/>
    <w:rsid w:val="00257944"/>
    <w:rsid w:val="0026012F"/>
    <w:rsid w:val="00261960"/>
    <w:rsid w:val="002619CB"/>
    <w:rsid w:val="002625B1"/>
    <w:rsid w:val="00264444"/>
    <w:rsid w:val="0026455D"/>
    <w:rsid w:val="00265620"/>
    <w:rsid w:val="002665FE"/>
    <w:rsid w:val="00266620"/>
    <w:rsid w:val="00267A33"/>
    <w:rsid w:val="00267B74"/>
    <w:rsid w:val="0027115A"/>
    <w:rsid w:val="00271731"/>
    <w:rsid w:val="00272C35"/>
    <w:rsid w:val="00272F20"/>
    <w:rsid w:val="0027345F"/>
    <w:rsid w:val="00273D70"/>
    <w:rsid w:val="00274140"/>
    <w:rsid w:val="00274346"/>
    <w:rsid w:val="00274356"/>
    <w:rsid w:val="00275795"/>
    <w:rsid w:val="00276F50"/>
    <w:rsid w:val="00277681"/>
    <w:rsid w:val="0028213C"/>
    <w:rsid w:val="00284FED"/>
    <w:rsid w:val="002850B2"/>
    <w:rsid w:val="00285C81"/>
    <w:rsid w:val="00286106"/>
    <w:rsid w:val="002870BC"/>
    <w:rsid w:val="00290D27"/>
    <w:rsid w:val="00291612"/>
    <w:rsid w:val="00291FB3"/>
    <w:rsid w:val="002931F4"/>
    <w:rsid w:val="002933B0"/>
    <w:rsid w:val="002937AB"/>
    <w:rsid w:val="00293B7D"/>
    <w:rsid w:val="00294DFB"/>
    <w:rsid w:val="00295BDA"/>
    <w:rsid w:val="0029686C"/>
    <w:rsid w:val="00297458"/>
    <w:rsid w:val="0029758E"/>
    <w:rsid w:val="002A1CE2"/>
    <w:rsid w:val="002A2228"/>
    <w:rsid w:val="002A2238"/>
    <w:rsid w:val="002A2314"/>
    <w:rsid w:val="002A2DC1"/>
    <w:rsid w:val="002A3AB7"/>
    <w:rsid w:val="002A3E86"/>
    <w:rsid w:val="002A4A54"/>
    <w:rsid w:val="002A5C00"/>
    <w:rsid w:val="002B0324"/>
    <w:rsid w:val="002B044A"/>
    <w:rsid w:val="002B2D8C"/>
    <w:rsid w:val="002B50D0"/>
    <w:rsid w:val="002B6DC9"/>
    <w:rsid w:val="002C120B"/>
    <w:rsid w:val="002C2049"/>
    <w:rsid w:val="002C2113"/>
    <w:rsid w:val="002C25DB"/>
    <w:rsid w:val="002C2DEC"/>
    <w:rsid w:val="002C2EFE"/>
    <w:rsid w:val="002C4206"/>
    <w:rsid w:val="002C5F59"/>
    <w:rsid w:val="002C63F2"/>
    <w:rsid w:val="002D1F95"/>
    <w:rsid w:val="002D411F"/>
    <w:rsid w:val="002D660D"/>
    <w:rsid w:val="002D68C9"/>
    <w:rsid w:val="002D750F"/>
    <w:rsid w:val="002E092E"/>
    <w:rsid w:val="002E30C0"/>
    <w:rsid w:val="002E3389"/>
    <w:rsid w:val="002E361B"/>
    <w:rsid w:val="002E70E2"/>
    <w:rsid w:val="002F0680"/>
    <w:rsid w:val="002F1E2A"/>
    <w:rsid w:val="002F397B"/>
    <w:rsid w:val="002F45DF"/>
    <w:rsid w:val="002F45EF"/>
    <w:rsid w:val="002F4CAA"/>
    <w:rsid w:val="002F525E"/>
    <w:rsid w:val="002F6833"/>
    <w:rsid w:val="0030023F"/>
    <w:rsid w:val="003011FD"/>
    <w:rsid w:val="00304EC7"/>
    <w:rsid w:val="00306EC1"/>
    <w:rsid w:val="00313DEF"/>
    <w:rsid w:val="00314A3E"/>
    <w:rsid w:val="00320438"/>
    <w:rsid w:val="00323382"/>
    <w:rsid w:val="0032359E"/>
    <w:rsid w:val="00324E05"/>
    <w:rsid w:val="00326A0A"/>
    <w:rsid w:val="0033107A"/>
    <w:rsid w:val="00331EBE"/>
    <w:rsid w:val="0034424D"/>
    <w:rsid w:val="00344BBC"/>
    <w:rsid w:val="00345DE2"/>
    <w:rsid w:val="003464E1"/>
    <w:rsid w:val="00353044"/>
    <w:rsid w:val="0035406E"/>
    <w:rsid w:val="003542EE"/>
    <w:rsid w:val="003565B0"/>
    <w:rsid w:val="0035669F"/>
    <w:rsid w:val="00356E67"/>
    <w:rsid w:val="00360251"/>
    <w:rsid w:val="00360334"/>
    <w:rsid w:val="0036039C"/>
    <w:rsid w:val="00361D7E"/>
    <w:rsid w:val="00364CED"/>
    <w:rsid w:val="003661B4"/>
    <w:rsid w:val="003707F4"/>
    <w:rsid w:val="00371358"/>
    <w:rsid w:val="00374216"/>
    <w:rsid w:val="003816C8"/>
    <w:rsid w:val="00382544"/>
    <w:rsid w:val="00386B98"/>
    <w:rsid w:val="00387053"/>
    <w:rsid w:val="0038794F"/>
    <w:rsid w:val="00387B31"/>
    <w:rsid w:val="003916C9"/>
    <w:rsid w:val="003916E9"/>
    <w:rsid w:val="00397215"/>
    <w:rsid w:val="003A76D7"/>
    <w:rsid w:val="003B1D70"/>
    <w:rsid w:val="003B752E"/>
    <w:rsid w:val="003C063C"/>
    <w:rsid w:val="003C1BB0"/>
    <w:rsid w:val="003C1E01"/>
    <w:rsid w:val="003C3ECE"/>
    <w:rsid w:val="003C4AD5"/>
    <w:rsid w:val="003C53A0"/>
    <w:rsid w:val="003C754D"/>
    <w:rsid w:val="003D00E9"/>
    <w:rsid w:val="003D0635"/>
    <w:rsid w:val="003D2577"/>
    <w:rsid w:val="003D4D0F"/>
    <w:rsid w:val="003E05E8"/>
    <w:rsid w:val="003E069E"/>
    <w:rsid w:val="003E096E"/>
    <w:rsid w:val="003E09A7"/>
    <w:rsid w:val="003E1304"/>
    <w:rsid w:val="003E194E"/>
    <w:rsid w:val="003E27AB"/>
    <w:rsid w:val="003E2EDF"/>
    <w:rsid w:val="003E3D13"/>
    <w:rsid w:val="003E5681"/>
    <w:rsid w:val="003E683E"/>
    <w:rsid w:val="003E765C"/>
    <w:rsid w:val="003F0266"/>
    <w:rsid w:val="003F0283"/>
    <w:rsid w:val="003F2AEA"/>
    <w:rsid w:val="003F3352"/>
    <w:rsid w:val="003F3636"/>
    <w:rsid w:val="00400C58"/>
    <w:rsid w:val="00403569"/>
    <w:rsid w:val="00403781"/>
    <w:rsid w:val="00403D44"/>
    <w:rsid w:val="004047EB"/>
    <w:rsid w:val="004057A5"/>
    <w:rsid w:val="004078E2"/>
    <w:rsid w:val="00410EFC"/>
    <w:rsid w:val="004149BD"/>
    <w:rsid w:val="004173C3"/>
    <w:rsid w:val="004174B6"/>
    <w:rsid w:val="00420AA3"/>
    <w:rsid w:val="00421469"/>
    <w:rsid w:val="00421830"/>
    <w:rsid w:val="004238F1"/>
    <w:rsid w:val="004240EF"/>
    <w:rsid w:val="004241B5"/>
    <w:rsid w:val="00425C5A"/>
    <w:rsid w:val="00425EFE"/>
    <w:rsid w:val="00426AD5"/>
    <w:rsid w:val="004309A1"/>
    <w:rsid w:val="004323E2"/>
    <w:rsid w:val="00432F9A"/>
    <w:rsid w:val="0043306B"/>
    <w:rsid w:val="00433190"/>
    <w:rsid w:val="0043359A"/>
    <w:rsid w:val="0043505F"/>
    <w:rsid w:val="0043568B"/>
    <w:rsid w:val="00436060"/>
    <w:rsid w:val="004361E0"/>
    <w:rsid w:val="00440BAB"/>
    <w:rsid w:val="004468F1"/>
    <w:rsid w:val="00447392"/>
    <w:rsid w:val="0044758D"/>
    <w:rsid w:val="00452B61"/>
    <w:rsid w:val="00452CA5"/>
    <w:rsid w:val="004537F7"/>
    <w:rsid w:val="00453DFE"/>
    <w:rsid w:val="00455DBC"/>
    <w:rsid w:val="004565C8"/>
    <w:rsid w:val="00457685"/>
    <w:rsid w:val="004576D5"/>
    <w:rsid w:val="00457CB9"/>
    <w:rsid w:val="00457FB6"/>
    <w:rsid w:val="00460BB8"/>
    <w:rsid w:val="00464491"/>
    <w:rsid w:val="00466F00"/>
    <w:rsid w:val="00467E22"/>
    <w:rsid w:val="004740E8"/>
    <w:rsid w:val="00474EC3"/>
    <w:rsid w:val="0047676C"/>
    <w:rsid w:val="004770A2"/>
    <w:rsid w:val="004822E9"/>
    <w:rsid w:val="00482A7C"/>
    <w:rsid w:val="00484831"/>
    <w:rsid w:val="00484A33"/>
    <w:rsid w:val="00485FF6"/>
    <w:rsid w:val="004869E2"/>
    <w:rsid w:val="00486B5F"/>
    <w:rsid w:val="00487D53"/>
    <w:rsid w:val="00490033"/>
    <w:rsid w:val="00490B1E"/>
    <w:rsid w:val="00495DA1"/>
    <w:rsid w:val="00496835"/>
    <w:rsid w:val="00497397"/>
    <w:rsid w:val="004A1DF8"/>
    <w:rsid w:val="004A1E5F"/>
    <w:rsid w:val="004A2C0C"/>
    <w:rsid w:val="004A2FBA"/>
    <w:rsid w:val="004A36BC"/>
    <w:rsid w:val="004A4320"/>
    <w:rsid w:val="004A6BA4"/>
    <w:rsid w:val="004B1252"/>
    <w:rsid w:val="004B1BAD"/>
    <w:rsid w:val="004B2638"/>
    <w:rsid w:val="004B2999"/>
    <w:rsid w:val="004B5492"/>
    <w:rsid w:val="004C19E0"/>
    <w:rsid w:val="004C1FFA"/>
    <w:rsid w:val="004C398C"/>
    <w:rsid w:val="004C680E"/>
    <w:rsid w:val="004C6E97"/>
    <w:rsid w:val="004C79E8"/>
    <w:rsid w:val="004D08F6"/>
    <w:rsid w:val="004D3CD6"/>
    <w:rsid w:val="004D45D4"/>
    <w:rsid w:val="004D5355"/>
    <w:rsid w:val="004E0CA6"/>
    <w:rsid w:val="004E18AF"/>
    <w:rsid w:val="004E5242"/>
    <w:rsid w:val="004E7616"/>
    <w:rsid w:val="004F1396"/>
    <w:rsid w:val="004F17F2"/>
    <w:rsid w:val="004F1C4B"/>
    <w:rsid w:val="004F1D56"/>
    <w:rsid w:val="004F2FC8"/>
    <w:rsid w:val="004F34B1"/>
    <w:rsid w:val="004F479C"/>
    <w:rsid w:val="004F67E2"/>
    <w:rsid w:val="00501B04"/>
    <w:rsid w:val="005023C3"/>
    <w:rsid w:val="00503AC7"/>
    <w:rsid w:val="0050432A"/>
    <w:rsid w:val="005062B0"/>
    <w:rsid w:val="00510447"/>
    <w:rsid w:val="00511642"/>
    <w:rsid w:val="0051283E"/>
    <w:rsid w:val="005135AF"/>
    <w:rsid w:val="00514BD6"/>
    <w:rsid w:val="005152E7"/>
    <w:rsid w:val="0051676C"/>
    <w:rsid w:val="00520EDF"/>
    <w:rsid w:val="005214FD"/>
    <w:rsid w:val="00521558"/>
    <w:rsid w:val="00523DDB"/>
    <w:rsid w:val="00524143"/>
    <w:rsid w:val="00524A6B"/>
    <w:rsid w:val="0052582A"/>
    <w:rsid w:val="005269A7"/>
    <w:rsid w:val="005302A1"/>
    <w:rsid w:val="0053150E"/>
    <w:rsid w:val="00531C10"/>
    <w:rsid w:val="0053362A"/>
    <w:rsid w:val="0053557F"/>
    <w:rsid w:val="005371A0"/>
    <w:rsid w:val="0054032F"/>
    <w:rsid w:val="00542E25"/>
    <w:rsid w:val="00543BAC"/>
    <w:rsid w:val="00543C6D"/>
    <w:rsid w:val="00544243"/>
    <w:rsid w:val="005444ED"/>
    <w:rsid w:val="0054610D"/>
    <w:rsid w:val="0054658D"/>
    <w:rsid w:val="005475A5"/>
    <w:rsid w:val="00547EA0"/>
    <w:rsid w:val="00550B7B"/>
    <w:rsid w:val="00550C5A"/>
    <w:rsid w:val="005535B2"/>
    <w:rsid w:val="0055541D"/>
    <w:rsid w:val="005574EA"/>
    <w:rsid w:val="0056155F"/>
    <w:rsid w:val="005652DF"/>
    <w:rsid w:val="00566520"/>
    <w:rsid w:val="0056793A"/>
    <w:rsid w:val="0057069B"/>
    <w:rsid w:val="00571367"/>
    <w:rsid w:val="00571945"/>
    <w:rsid w:val="00571D70"/>
    <w:rsid w:val="00572A18"/>
    <w:rsid w:val="005736D2"/>
    <w:rsid w:val="005741DF"/>
    <w:rsid w:val="00575F97"/>
    <w:rsid w:val="00576F4A"/>
    <w:rsid w:val="005817C2"/>
    <w:rsid w:val="005855FC"/>
    <w:rsid w:val="00590192"/>
    <w:rsid w:val="0059592D"/>
    <w:rsid w:val="00596CB3"/>
    <w:rsid w:val="005A0998"/>
    <w:rsid w:val="005A367D"/>
    <w:rsid w:val="005B12B8"/>
    <w:rsid w:val="005B1F3C"/>
    <w:rsid w:val="005B248D"/>
    <w:rsid w:val="005B2824"/>
    <w:rsid w:val="005B28E7"/>
    <w:rsid w:val="005B2B87"/>
    <w:rsid w:val="005B50CD"/>
    <w:rsid w:val="005B7ACC"/>
    <w:rsid w:val="005C0B46"/>
    <w:rsid w:val="005C1821"/>
    <w:rsid w:val="005C44C8"/>
    <w:rsid w:val="005C65C7"/>
    <w:rsid w:val="005C7C11"/>
    <w:rsid w:val="005D0C6D"/>
    <w:rsid w:val="005D170E"/>
    <w:rsid w:val="005E059D"/>
    <w:rsid w:val="005E3441"/>
    <w:rsid w:val="005E4019"/>
    <w:rsid w:val="005E6ACA"/>
    <w:rsid w:val="005E7493"/>
    <w:rsid w:val="005F037D"/>
    <w:rsid w:val="005F0DA5"/>
    <w:rsid w:val="005F152D"/>
    <w:rsid w:val="005F1897"/>
    <w:rsid w:val="005F254E"/>
    <w:rsid w:val="005F5E9D"/>
    <w:rsid w:val="00601D0F"/>
    <w:rsid w:val="006024AE"/>
    <w:rsid w:val="00603BD5"/>
    <w:rsid w:val="0060785C"/>
    <w:rsid w:val="00610066"/>
    <w:rsid w:val="0061211F"/>
    <w:rsid w:val="006135BD"/>
    <w:rsid w:val="00613BE0"/>
    <w:rsid w:val="00614814"/>
    <w:rsid w:val="0061486A"/>
    <w:rsid w:val="006152E4"/>
    <w:rsid w:val="00615D61"/>
    <w:rsid w:val="00616526"/>
    <w:rsid w:val="0061713F"/>
    <w:rsid w:val="00617D19"/>
    <w:rsid w:val="0062357E"/>
    <w:rsid w:val="00623792"/>
    <w:rsid w:val="00623A7A"/>
    <w:rsid w:val="00626169"/>
    <w:rsid w:val="00626667"/>
    <w:rsid w:val="006309E1"/>
    <w:rsid w:val="00632AB4"/>
    <w:rsid w:val="00633842"/>
    <w:rsid w:val="006338BF"/>
    <w:rsid w:val="00635308"/>
    <w:rsid w:val="006370B6"/>
    <w:rsid w:val="00637D39"/>
    <w:rsid w:val="006410D1"/>
    <w:rsid w:val="00643DB3"/>
    <w:rsid w:val="006506AC"/>
    <w:rsid w:val="00651863"/>
    <w:rsid w:val="00653D10"/>
    <w:rsid w:val="00656575"/>
    <w:rsid w:val="00660B23"/>
    <w:rsid w:val="00662491"/>
    <w:rsid w:val="00662EAE"/>
    <w:rsid w:val="0066316A"/>
    <w:rsid w:val="00663FE3"/>
    <w:rsid w:val="00665F91"/>
    <w:rsid w:val="0066668B"/>
    <w:rsid w:val="00670425"/>
    <w:rsid w:val="0067111C"/>
    <w:rsid w:val="00671B19"/>
    <w:rsid w:val="0067541F"/>
    <w:rsid w:val="00675B1B"/>
    <w:rsid w:val="006767E6"/>
    <w:rsid w:val="00676936"/>
    <w:rsid w:val="00676CF4"/>
    <w:rsid w:val="00683954"/>
    <w:rsid w:val="00683A21"/>
    <w:rsid w:val="00683F90"/>
    <w:rsid w:val="0068466C"/>
    <w:rsid w:val="00684895"/>
    <w:rsid w:val="00685AB4"/>
    <w:rsid w:val="00690C97"/>
    <w:rsid w:val="0069313B"/>
    <w:rsid w:val="006941CF"/>
    <w:rsid w:val="006945EC"/>
    <w:rsid w:val="0069558B"/>
    <w:rsid w:val="006956B3"/>
    <w:rsid w:val="0069693D"/>
    <w:rsid w:val="0069764B"/>
    <w:rsid w:val="006A0D3F"/>
    <w:rsid w:val="006A3D65"/>
    <w:rsid w:val="006A4574"/>
    <w:rsid w:val="006A6079"/>
    <w:rsid w:val="006B1009"/>
    <w:rsid w:val="006B2480"/>
    <w:rsid w:val="006B46A1"/>
    <w:rsid w:val="006B4B52"/>
    <w:rsid w:val="006B4DA2"/>
    <w:rsid w:val="006B6422"/>
    <w:rsid w:val="006B6667"/>
    <w:rsid w:val="006B7340"/>
    <w:rsid w:val="006B7FE2"/>
    <w:rsid w:val="006C078E"/>
    <w:rsid w:val="006C37BC"/>
    <w:rsid w:val="006C4BC1"/>
    <w:rsid w:val="006C5ACA"/>
    <w:rsid w:val="006C6A40"/>
    <w:rsid w:val="006C6A7C"/>
    <w:rsid w:val="006C6F88"/>
    <w:rsid w:val="006C7840"/>
    <w:rsid w:val="006D0CFA"/>
    <w:rsid w:val="006D1B5E"/>
    <w:rsid w:val="006D3352"/>
    <w:rsid w:val="006D39CF"/>
    <w:rsid w:val="006E083A"/>
    <w:rsid w:val="006E1900"/>
    <w:rsid w:val="006E2DCB"/>
    <w:rsid w:val="006E6187"/>
    <w:rsid w:val="006E7BCB"/>
    <w:rsid w:val="006E7D2E"/>
    <w:rsid w:val="006F3F5A"/>
    <w:rsid w:val="006F4CF2"/>
    <w:rsid w:val="006F6C9B"/>
    <w:rsid w:val="006F6FA1"/>
    <w:rsid w:val="006F78B0"/>
    <w:rsid w:val="00703889"/>
    <w:rsid w:val="00707F16"/>
    <w:rsid w:val="007102D5"/>
    <w:rsid w:val="00712E66"/>
    <w:rsid w:val="007137E2"/>
    <w:rsid w:val="0071392C"/>
    <w:rsid w:val="00715BD0"/>
    <w:rsid w:val="0071665F"/>
    <w:rsid w:val="007204A2"/>
    <w:rsid w:val="007228EA"/>
    <w:rsid w:val="0072384F"/>
    <w:rsid w:val="00723ECC"/>
    <w:rsid w:val="007248F8"/>
    <w:rsid w:val="0072525D"/>
    <w:rsid w:val="00725598"/>
    <w:rsid w:val="007257AE"/>
    <w:rsid w:val="00726CB6"/>
    <w:rsid w:val="0072770E"/>
    <w:rsid w:val="00731666"/>
    <w:rsid w:val="00731C28"/>
    <w:rsid w:val="007332AA"/>
    <w:rsid w:val="0073424B"/>
    <w:rsid w:val="00734323"/>
    <w:rsid w:val="00734B04"/>
    <w:rsid w:val="007365CD"/>
    <w:rsid w:val="0073692B"/>
    <w:rsid w:val="00736F8B"/>
    <w:rsid w:val="00736FE2"/>
    <w:rsid w:val="00740C0D"/>
    <w:rsid w:val="00740DC0"/>
    <w:rsid w:val="007411EA"/>
    <w:rsid w:val="00741DF2"/>
    <w:rsid w:val="00742A9D"/>
    <w:rsid w:val="00746C7C"/>
    <w:rsid w:val="00750968"/>
    <w:rsid w:val="00750E80"/>
    <w:rsid w:val="00752830"/>
    <w:rsid w:val="007544BA"/>
    <w:rsid w:val="007547F5"/>
    <w:rsid w:val="00754A3C"/>
    <w:rsid w:val="00754D74"/>
    <w:rsid w:val="00754F07"/>
    <w:rsid w:val="007554D8"/>
    <w:rsid w:val="0075572E"/>
    <w:rsid w:val="00755977"/>
    <w:rsid w:val="00757537"/>
    <w:rsid w:val="00757F80"/>
    <w:rsid w:val="00760A19"/>
    <w:rsid w:val="00761C77"/>
    <w:rsid w:val="00761E74"/>
    <w:rsid w:val="00764A3B"/>
    <w:rsid w:val="00765318"/>
    <w:rsid w:val="0077336E"/>
    <w:rsid w:val="007740CB"/>
    <w:rsid w:val="007751CA"/>
    <w:rsid w:val="0077595B"/>
    <w:rsid w:val="007771D5"/>
    <w:rsid w:val="007771DD"/>
    <w:rsid w:val="007773B0"/>
    <w:rsid w:val="0077761F"/>
    <w:rsid w:val="00780EC1"/>
    <w:rsid w:val="00781D3E"/>
    <w:rsid w:val="00781EE2"/>
    <w:rsid w:val="007825DA"/>
    <w:rsid w:val="00783178"/>
    <w:rsid w:val="00783E19"/>
    <w:rsid w:val="0078459B"/>
    <w:rsid w:val="00784A1C"/>
    <w:rsid w:val="00786714"/>
    <w:rsid w:val="007870BE"/>
    <w:rsid w:val="0079076A"/>
    <w:rsid w:val="00791B10"/>
    <w:rsid w:val="00792186"/>
    <w:rsid w:val="0079489D"/>
    <w:rsid w:val="00795156"/>
    <w:rsid w:val="00795BA9"/>
    <w:rsid w:val="00796280"/>
    <w:rsid w:val="007A0054"/>
    <w:rsid w:val="007A01A8"/>
    <w:rsid w:val="007A0AD8"/>
    <w:rsid w:val="007A5072"/>
    <w:rsid w:val="007A5258"/>
    <w:rsid w:val="007A567F"/>
    <w:rsid w:val="007B04FD"/>
    <w:rsid w:val="007B19D1"/>
    <w:rsid w:val="007B541A"/>
    <w:rsid w:val="007B6560"/>
    <w:rsid w:val="007B7D9F"/>
    <w:rsid w:val="007C1DE2"/>
    <w:rsid w:val="007C3083"/>
    <w:rsid w:val="007C48F9"/>
    <w:rsid w:val="007C7C13"/>
    <w:rsid w:val="007D0BF6"/>
    <w:rsid w:val="007D1D29"/>
    <w:rsid w:val="007D22BE"/>
    <w:rsid w:val="007D23BA"/>
    <w:rsid w:val="007D2BD5"/>
    <w:rsid w:val="007D2CDB"/>
    <w:rsid w:val="007D3B9C"/>
    <w:rsid w:val="007D3CC6"/>
    <w:rsid w:val="007D4E3E"/>
    <w:rsid w:val="007D5CF5"/>
    <w:rsid w:val="007D68F9"/>
    <w:rsid w:val="007D7C22"/>
    <w:rsid w:val="007D7C54"/>
    <w:rsid w:val="007E03DD"/>
    <w:rsid w:val="007E0A5B"/>
    <w:rsid w:val="007E1D8B"/>
    <w:rsid w:val="007E307A"/>
    <w:rsid w:val="007E3462"/>
    <w:rsid w:val="007E397D"/>
    <w:rsid w:val="007E7269"/>
    <w:rsid w:val="007F2D27"/>
    <w:rsid w:val="007F3A66"/>
    <w:rsid w:val="007F4348"/>
    <w:rsid w:val="00800840"/>
    <w:rsid w:val="00801DC3"/>
    <w:rsid w:val="00802F05"/>
    <w:rsid w:val="00803C88"/>
    <w:rsid w:val="00807470"/>
    <w:rsid w:val="00811A36"/>
    <w:rsid w:val="00812576"/>
    <w:rsid w:val="00816446"/>
    <w:rsid w:val="00820543"/>
    <w:rsid w:val="00820736"/>
    <w:rsid w:val="008225D7"/>
    <w:rsid w:val="00823107"/>
    <w:rsid w:val="00823982"/>
    <w:rsid w:val="00823D47"/>
    <w:rsid w:val="00825920"/>
    <w:rsid w:val="00826061"/>
    <w:rsid w:val="00826633"/>
    <w:rsid w:val="00827FE4"/>
    <w:rsid w:val="0083067F"/>
    <w:rsid w:val="00832115"/>
    <w:rsid w:val="008322F7"/>
    <w:rsid w:val="008407C5"/>
    <w:rsid w:val="008419CF"/>
    <w:rsid w:val="008432E4"/>
    <w:rsid w:val="00843FC7"/>
    <w:rsid w:val="0084410D"/>
    <w:rsid w:val="0084450C"/>
    <w:rsid w:val="00845153"/>
    <w:rsid w:val="00845F2A"/>
    <w:rsid w:val="00852081"/>
    <w:rsid w:val="008547E0"/>
    <w:rsid w:val="00856D33"/>
    <w:rsid w:val="0086277E"/>
    <w:rsid w:val="00862DD5"/>
    <w:rsid w:val="008638FD"/>
    <w:rsid w:val="00865796"/>
    <w:rsid w:val="00867F65"/>
    <w:rsid w:val="0087042A"/>
    <w:rsid w:val="0087128B"/>
    <w:rsid w:val="00871349"/>
    <w:rsid w:val="00872D52"/>
    <w:rsid w:val="00872EED"/>
    <w:rsid w:val="008733D6"/>
    <w:rsid w:val="008734A6"/>
    <w:rsid w:val="00874810"/>
    <w:rsid w:val="00875E30"/>
    <w:rsid w:val="00876478"/>
    <w:rsid w:val="00876E27"/>
    <w:rsid w:val="008770FD"/>
    <w:rsid w:val="00880283"/>
    <w:rsid w:val="0088050B"/>
    <w:rsid w:val="00880C24"/>
    <w:rsid w:val="008820AF"/>
    <w:rsid w:val="0088234E"/>
    <w:rsid w:val="0088258A"/>
    <w:rsid w:val="00882F23"/>
    <w:rsid w:val="00883726"/>
    <w:rsid w:val="00884567"/>
    <w:rsid w:val="00885124"/>
    <w:rsid w:val="008862BB"/>
    <w:rsid w:val="008878FD"/>
    <w:rsid w:val="008903E8"/>
    <w:rsid w:val="00890B72"/>
    <w:rsid w:val="008917C9"/>
    <w:rsid w:val="0089291C"/>
    <w:rsid w:val="00895EEB"/>
    <w:rsid w:val="008A064E"/>
    <w:rsid w:val="008A0D63"/>
    <w:rsid w:val="008A1A3A"/>
    <w:rsid w:val="008A228D"/>
    <w:rsid w:val="008A5293"/>
    <w:rsid w:val="008A53AD"/>
    <w:rsid w:val="008A584B"/>
    <w:rsid w:val="008A6CAD"/>
    <w:rsid w:val="008A7624"/>
    <w:rsid w:val="008B1D94"/>
    <w:rsid w:val="008B3414"/>
    <w:rsid w:val="008C16C8"/>
    <w:rsid w:val="008C1C2F"/>
    <w:rsid w:val="008C1D07"/>
    <w:rsid w:val="008C3458"/>
    <w:rsid w:val="008C348D"/>
    <w:rsid w:val="008C39A0"/>
    <w:rsid w:val="008C5249"/>
    <w:rsid w:val="008C575C"/>
    <w:rsid w:val="008C5B5A"/>
    <w:rsid w:val="008C60B0"/>
    <w:rsid w:val="008C65E5"/>
    <w:rsid w:val="008C7260"/>
    <w:rsid w:val="008C7BE7"/>
    <w:rsid w:val="008D0C5F"/>
    <w:rsid w:val="008D1D61"/>
    <w:rsid w:val="008D2501"/>
    <w:rsid w:val="008D2D09"/>
    <w:rsid w:val="008D3194"/>
    <w:rsid w:val="008D4261"/>
    <w:rsid w:val="008D4FC3"/>
    <w:rsid w:val="008D7705"/>
    <w:rsid w:val="008E1B19"/>
    <w:rsid w:val="008E260F"/>
    <w:rsid w:val="008E376B"/>
    <w:rsid w:val="008E3FE9"/>
    <w:rsid w:val="008E5DA0"/>
    <w:rsid w:val="008E668C"/>
    <w:rsid w:val="008F05FF"/>
    <w:rsid w:val="008F4EB5"/>
    <w:rsid w:val="008F68D9"/>
    <w:rsid w:val="008F7330"/>
    <w:rsid w:val="00900A47"/>
    <w:rsid w:val="00901891"/>
    <w:rsid w:val="00907A18"/>
    <w:rsid w:val="00907BC7"/>
    <w:rsid w:val="00910ADE"/>
    <w:rsid w:val="0091329E"/>
    <w:rsid w:val="009148BC"/>
    <w:rsid w:val="009169FD"/>
    <w:rsid w:val="00917329"/>
    <w:rsid w:val="00922BC7"/>
    <w:rsid w:val="00922F72"/>
    <w:rsid w:val="00924C38"/>
    <w:rsid w:val="00926672"/>
    <w:rsid w:val="0093004A"/>
    <w:rsid w:val="00931294"/>
    <w:rsid w:val="00934961"/>
    <w:rsid w:val="00943BEB"/>
    <w:rsid w:val="00944120"/>
    <w:rsid w:val="00944904"/>
    <w:rsid w:val="009452CF"/>
    <w:rsid w:val="00945814"/>
    <w:rsid w:val="00945D82"/>
    <w:rsid w:val="00946354"/>
    <w:rsid w:val="00947E7D"/>
    <w:rsid w:val="00952AD9"/>
    <w:rsid w:val="00953D48"/>
    <w:rsid w:val="00954846"/>
    <w:rsid w:val="009564C3"/>
    <w:rsid w:val="009575A1"/>
    <w:rsid w:val="0096099E"/>
    <w:rsid w:val="009620A6"/>
    <w:rsid w:val="00962672"/>
    <w:rsid w:val="00963FCE"/>
    <w:rsid w:val="00964B65"/>
    <w:rsid w:val="00966CF7"/>
    <w:rsid w:val="0097014A"/>
    <w:rsid w:val="00971DEC"/>
    <w:rsid w:val="009730B6"/>
    <w:rsid w:val="00973627"/>
    <w:rsid w:val="00976882"/>
    <w:rsid w:val="00980889"/>
    <w:rsid w:val="0098341B"/>
    <w:rsid w:val="00984A76"/>
    <w:rsid w:val="009871C4"/>
    <w:rsid w:val="009872BB"/>
    <w:rsid w:val="00987C11"/>
    <w:rsid w:val="00993359"/>
    <w:rsid w:val="009955E5"/>
    <w:rsid w:val="00995DF6"/>
    <w:rsid w:val="0099682E"/>
    <w:rsid w:val="00996BD5"/>
    <w:rsid w:val="009A1F1A"/>
    <w:rsid w:val="009A21EE"/>
    <w:rsid w:val="009A3016"/>
    <w:rsid w:val="009A695A"/>
    <w:rsid w:val="009B0F9E"/>
    <w:rsid w:val="009B17DE"/>
    <w:rsid w:val="009B1CC7"/>
    <w:rsid w:val="009B2055"/>
    <w:rsid w:val="009B4065"/>
    <w:rsid w:val="009B44B7"/>
    <w:rsid w:val="009B47ED"/>
    <w:rsid w:val="009B483B"/>
    <w:rsid w:val="009B4BB8"/>
    <w:rsid w:val="009B551A"/>
    <w:rsid w:val="009B581C"/>
    <w:rsid w:val="009C051D"/>
    <w:rsid w:val="009C3439"/>
    <w:rsid w:val="009C3CDE"/>
    <w:rsid w:val="009C4141"/>
    <w:rsid w:val="009C4322"/>
    <w:rsid w:val="009C550C"/>
    <w:rsid w:val="009C657B"/>
    <w:rsid w:val="009D0823"/>
    <w:rsid w:val="009D4DF3"/>
    <w:rsid w:val="009D5757"/>
    <w:rsid w:val="009D5962"/>
    <w:rsid w:val="009D697D"/>
    <w:rsid w:val="009D7BA2"/>
    <w:rsid w:val="009E1FE6"/>
    <w:rsid w:val="009E2126"/>
    <w:rsid w:val="009E293C"/>
    <w:rsid w:val="009E3090"/>
    <w:rsid w:val="009E3277"/>
    <w:rsid w:val="009E32A1"/>
    <w:rsid w:val="009E360A"/>
    <w:rsid w:val="009E45FA"/>
    <w:rsid w:val="009E50A3"/>
    <w:rsid w:val="009E59AA"/>
    <w:rsid w:val="009E6B50"/>
    <w:rsid w:val="009E7F76"/>
    <w:rsid w:val="009F4E0A"/>
    <w:rsid w:val="009F5006"/>
    <w:rsid w:val="009F51D5"/>
    <w:rsid w:val="00A01F72"/>
    <w:rsid w:val="00A03535"/>
    <w:rsid w:val="00A06E59"/>
    <w:rsid w:val="00A0702E"/>
    <w:rsid w:val="00A074A2"/>
    <w:rsid w:val="00A11174"/>
    <w:rsid w:val="00A12C22"/>
    <w:rsid w:val="00A13C0D"/>
    <w:rsid w:val="00A14695"/>
    <w:rsid w:val="00A148FE"/>
    <w:rsid w:val="00A14C94"/>
    <w:rsid w:val="00A163B9"/>
    <w:rsid w:val="00A1764F"/>
    <w:rsid w:val="00A21C89"/>
    <w:rsid w:val="00A242AC"/>
    <w:rsid w:val="00A30305"/>
    <w:rsid w:val="00A3107E"/>
    <w:rsid w:val="00A32F19"/>
    <w:rsid w:val="00A35EE3"/>
    <w:rsid w:val="00A374AF"/>
    <w:rsid w:val="00A4057A"/>
    <w:rsid w:val="00A41800"/>
    <w:rsid w:val="00A41918"/>
    <w:rsid w:val="00A436B2"/>
    <w:rsid w:val="00A44343"/>
    <w:rsid w:val="00A46EB9"/>
    <w:rsid w:val="00A476CE"/>
    <w:rsid w:val="00A5060D"/>
    <w:rsid w:val="00A5157F"/>
    <w:rsid w:val="00A53B23"/>
    <w:rsid w:val="00A57238"/>
    <w:rsid w:val="00A573E4"/>
    <w:rsid w:val="00A60B29"/>
    <w:rsid w:val="00A60EA5"/>
    <w:rsid w:val="00A6136B"/>
    <w:rsid w:val="00A614E8"/>
    <w:rsid w:val="00A661EA"/>
    <w:rsid w:val="00A669E2"/>
    <w:rsid w:val="00A71C7A"/>
    <w:rsid w:val="00A72303"/>
    <w:rsid w:val="00A72A34"/>
    <w:rsid w:val="00A73051"/>
    <w:rsid w:val="00A74101"/>
    <w:rsid w:val="00A74174"/>
    <w:rsid w:val="00A74F3D"/>
    <w:rsid w:val="00A753FD"/>
    <w:rsid w:val="00A75AA3"/>
    <w:rsid w:val="00A75F2D"/>
    <w:rsid w:val="00A76A96"/>
    <w:rsid w:val="00A77244"/>
    <w:rsid w:val="00A77A27"/>
    <w:rsid w:val="00A80569"/>
    <w:rsid w:val="00A80830"/>
    <w:rsid w:val="00A837C9"/>
    <w:rsid w:val="00A83F17"/>
    <w:rsid w:val="00A84884"/>
    <w:rsid w:val="00A86002"/>
    <w:rsid w:val="00A9069D"/>
    <w:rsid w:val="00A913FA"/>
    <w:rsid w:val="00A933B5"/>
    <w:rsid w:val="00A9593C"/>
    <w:rsid w:val="00AA0A71"/>
    <w:rsid w:val="00AA0C73"/>
    <w:rsid w:val="00AA0F1B"/>
    <w:rsid w:val="00AA2AF8"/>
    <w:rsid w:val="00AA5758"/>
    <w:rsid w:val="00AA6689"/>
    <w:rsid w:val="00AA6A7A"/>
    <w:rsid w:val="00AC10B8"/>
    <w:rsid w:val="00AC171C"/>
    <w:rsid w:val="00AC60D0"/>
    <w:rsid w:val="00AD0A1F"/>
    <w:rsid w:val="00AD298F"/>
    <w:rsid w:val="00AD72FC"/>
    <w:rsid w:val="00AD7657"/>
    <w:rsid w:val="00AE0646"/>
    <w:rsid w:val="00AE0ACF"/>
    <w:rsid w:val="00AE13F6"/>
    <w:rsid w:val="00AE3488"/>
    <w:rsid w:val="00AE46F4"/>
    <w:rsid w:val="00AE53BE"/>
    <w:rsid w:val="00AE5ED9"/>
    <w:rsid w:val="00AF15A9"/>
    <w:rsid w:val="00AF1841"/>
    <w:rsid w:val="00AF1B7B"/>
    <w:rsid w:val="00AF1F1A"/>
    <w:rsid w:val="00AF27EF"/>
    <w:rsid w:val="00AF28C2"/>
    <w:rsid w:val="00AF7346"/>
    <w:rsid w:val="00B00516"/>
    <w:rsid w:val="00B01009"/>
    <w:rsid w:val="00B044C3"/>
    <w:rsid w:val="00B129CE"/>
    <w:rsid w:val="00B16B77"/>
    <w:rsid w:val="00B17805"/>
    <w:rsid w:val="00B2042E"/>
    <w:rsid w:val="00B21A50"/>
    <w:rsid w:val="00B22BBB"/>
    <w:rsid w:val="00B22FED"/>
    <w:rsid w:val="00B242E4"/>
    <w:rsid w:val="00B254FF"/>
    <w:rsid w:val="00B26D22"/>
    <w:rsid w:val="00B305AE"/>
    <w:rsid w:val="00B30978"/>
    <w:rsid w:val="00B30EF0"/>
    <w:rsid w:val="00B316B3"/>
    <w:rsid w:val="00B31CC1"/>
    <w:rsid w:val="00B356B0"/>
    <w:rsid w:val="00B37410"/>
    <w:rsid w:val="00B37A97"/>
    <w:rsid w:val="00B40538"/>
    <w:rsid w:val="00B42CA2"/>
    <w:rsid w:val="00B4456B"/>
    <w:rsid w:val="00B44578"/>
    <w:rsid w:val="00B462E1"/>
    <w:rsid w:val="00B4741C"/>
    <w:rsid w:val="00B515C4"/>
    <w:rsid w:val="00B525F5"/>
    <w:rsid w:val="00B5313E"/>
    <w:rsid w:val="00B53700"/>
    <w:rsid w:val="00B55562"/>
    <w:rsid w:val="00B56988"/>
    <w:rsid w:val="00B57881"/>
    <w:rsid w:val="00B601E6"/>
    <w:rsid w:val="00B616AF"/>
    <w:rsid w:val="00B61B2F"/>
    <w:rsid w:val="00B6395B"/>
    <w:rsid w:val="00B641FF"/>
    <w:rsid w:val="00B75850"/>
    <w:rsid w:val="00B76ABD"/>
    <w:rsid w:val="00B76FFD"/>
    <w:rsid w:val="00B77E54"/>
    <w:rsid w:val="00B8051D"/>
    <w:rsid w:val="00B81EF9"/>
    <w:rsid w:val="00B83E66"/>
    <w:rsid w:val="00B86AE5"/>
    <w:rsid w:val="00B87F39"/>
    <w:rsid w:val="00B9061D"/>
    <w:rsid w:val="00B9066B"/>
    <w:rsid w:val="00B90795"/>
    <w:rsid w:val="00B91F69"/>
    <w:rsid w:val="00B94B24"/>
    <w:rsid w:val="00B972E4"/>
    <w:rsid w:val="00B97EA1"/>
    <w:rsid w:val="00BA01F7"/>
    <w:rsid w:val="00BA04CF"/>
    <w:rsid w:val="00BA07B6"/>
    <w:rsid w:val="00BA0812"/>
    <w:rsid w:val="00BA7841"/>
    <w:rsid w:val="00BA7D2D"/>
    <w:rsid w:val="00BB3E86"/>
    <w:rsid w:val="00BB44DB"/>
    <w:rsid w:val="00BB5842"/>
    <w:rsid w:val="00BB73C8"/>
    <w:rsid w:val="00BB75E0"/>
    <w:rsid w:val="00BB7E9F"/>
    <w:rsid w:val="00BC0F4E"/>
    <w:rsid w:val="00BC1959"/>
    <w:rsid w:val="00BC1A55"/>
    <w:rsid w:val="00BC227D"/>
    <w:rsid w:val="00BC234D"/>
    <w:rsid w:val="00BC47E6"/>
    <w:rsid w:val="00BC5FB5"/>
    <w:rsid w:val="00BC676C"/>
    <w:rsid w:val="00BC7455"/>
    <w:rsid w:val="00BD2F46"/>
    <w:rsid w:val="00BD452B"/>
    <w:rsid w:val="00BD767C"/>
    <w:rsid w:val="00BD79F3"/>
    <w:rsid w:val="00BE0464"/>
    <w:rsid w:val="00BE2278"/>
    <w:rsid w:val="00BE2932"/>
    <w:rsid w:val="00BE39EF"/>
    <w:rsid w:val="00BE4614"/>
    <w:rsid w:val="00BE4640"/>
    <w:rsid w:val="00BE46AB"/>
    <w:rsid w:val="00BE58AD"/>
    <w:rsid w:val="00BE634D"/>
    <w:rsid w:val="00BF0D1E"/>
    <w:rsid w:val="00BF5F23"/>
    <w:rsid w:val="00BF69DE"/>
    <w:rsid w:val="00BF69E5"/>
    <w:rsid w:val="00C01133"/>
    <w:rsid w:val="00C01175"/>
    <w:rsid w:val="00C052D1"/>
    <w:rsid w:val="00C0573F"/>
    <w:rsid w:val="00C0607A"/>
    <w:rsid w:val="00C06188"/>
    <w:rsid w:val="00C10511"/>
    <w:rsid w:val="00C118B2"/>
    <w:rsid w:val="00C16E3D"/>
    <w:rsid w:val="00C17C04"/>
    <w:rsid w:val="00C24E01"/>
    <w:rsid w:val="00C25957"/>
    <w:rsid w:val="00C2639E"/>
    <w:rsid w:val="00C33504"/>
    <w:rsid w:val="00C349FF"/>
    <w:rsid w:val="00C40069"/>
    <w:rsid w:val="00C4016D"/>
    <w:rsid w:val="00C425E7"/>
    <w:rsid w:val="00C43897"/>
    <w:rsid w:val="00C43D03"/>
    <w:rsid w:val="00C4433F"/>
    <w:rsid w:val="00C444A9"/>
    <w:rsid w:val="00C4655C"/>
    <w:rsid w:val="00C46DA3"/>
    <w:rsid w:val="00C47755"/>
    <w:rsid w:val="00C52649"/>
    <w:rsid w:val="00C531A9"/>
    <w:rsid w:val="00C53D60"/>
    <w:rsid w:val="00C55525"/>
    <w:rsid w:val="00C61FBF"/>
    <w:rsid w:val="00C6214D"/>
    <w:rsid w:val="00C6513D"/>
    <w:rsid w:val="00C66947"/>
    <w:rsid w:val="00C6738A"/>
    <w:rsid w:val="00C71F4F"/>
    <w:rsid w:val="00C720F3"/>
    <w:rsid w:val="00C74513"/>
    <w:rsid w:val="00C74DD8"/>
    <w:rsid w:val="00C75469"/>
    <w:rsid w:val="00C7554E"/>
    <w:rsid w:val="00C756F5"/>
    <w:rsid w:val="00C75E55"/>
    <w:rsid w:val="00C80FFA"/>
    <w:rsid w:val="00C84B1B"/>
    <w:rsid w:val="00C8599D"/>
    <w:rsid w:val="00C87BB4"/>
    <w:rsid w:val="00C920BA"/>
    <w:rsid w:val="00C921E3"/>
    <w:rsid w:val="00C92251"/>
    <w:rsid w:val="00C92709"/>
    <w:rsid w:val="00C92DEF"/>
    <w:rsid w:val="00C92F5C"/>
    <w:rsid w:val="00C93EF8"/>
    <w:rsid w:val="00CA313D"/>
    <w:rsid w:val="00CA4DA2"/>
    <w:rsid w:val="00CA55A7"/>
    <w:rsid w:val="00CA6A4A"/>
    <w:rsid w:val="00CA6AF9"/>
    <w:rsid w:val="00CA6C82"/>
    <w:rsid w:val="00CA708A"/>
    <w:rsid w:val="00CB262E"/>
    <w:rsid w:val="00CB4210"/>
    <w:rsid w:val="00CB5EE8"/>
    <w:rsid w:val="00CC0ABC"/>
    <w:rsid w:val="00CC22F1"/>
    <w:rsid w:val="00CC5971"/>
    <w:rsid w:val="00CC6EB6"/>
    <w:rsid w:val="00CC77FF"/>
    <w:rsid w:val="00CD02F4"/>
    <w:rsid w:val="00CD4510"/>
    <w:rsid w:val="00CD4741"/>
    <w:rsid w:val="00CD5012"/>
    <w:rsid w:val="00CD7823"/>
    <w:rsid w:val="00CE0D4B"/>
    <w:rsid w:val="00CE1085"/>
    <w:rsid w:val="00CE1946"/>
    <w:rsid w:val="00CE2005"/>
    <w:rsid w:val="00CE5A65"/>
    <w:rsid w:val="00CE66BC"/>
    <w:rsid w:val="00CE7620"/>
    <w:rsid w:val="00CE7905"/>
    <w:rsid w:val="00CF021A"/>
    <w:rsid w:val="00CF6966"/>
    <w:rsid w:val="00CF6B07"/>
    <w:rsid w:val="00D00E58"/>
    <w:rsid w:val="00D02942"/>
    <w:rsid w:val="00D03EFF"/>
    <w:rsid w:val="00D0459D"/>
    <w:rsid w:val="00D04E3A"/>
    <w:rsid w:val="00D04FC4"/>
    <w:rsid w:val="00D0680B"/>
    <w:rsid w:val="00D06BF8"/>
    <w:rsid w:val="00D06F70"/>
    <w:rsid w:val="00D108EC"/>
    <w:rsid w:val="00D116D6"/>
    <w:rsid w:val="00D15484"/>
    <w:rsid w:val="00D1557D"/>
    <w:rsid w:val="00D15CD5"/>
    <w:rsid w:val="00D16AE9"/>
    <w:rsid w:val="00D24597"/>
    <w:rsid w:val="00D254B1"/>
    <w:rsid w:val="00D25A6E"/>
    <w:rsid w:val="00D3078C"/>
    <w:rsid w:val="00D32BE9"/>
    <w:rsid w:val="00D37169"/>
    <w:rsid w:val="00D40A4A"/>
    <w:rsid w:val="00D41E46"/>
    <w:rsid w:val="00D430FB"/>
    <w:rsid w:val="00D446A0"/>
    <w:rsid w:val="00D475C1"/>
    <w:rsid w:val="00D53B5E"/>
    <w:rsid w:val="00D55867"/>
    <w:rsid w:val="00D63D5E"/>
    <w:rsid w:val="00D6442D"/>
    <w:rsid w:val="00D66165"/>
    <w:rsid w:val="00D674EF"/>
    <w:rsid w:val="00D70131"/>
    <w:rsid w:val="00D71582"/>
    <w:rsid w:val="00D72BD5"/>
    <w:rsid w:val="00D74544"/>
    <w:rsid w:val="00D76376"/>
    <w:rsid w:val="00D77F0D"/>
    <w:rsid w:val="00D818B6"/>
    <w:rsid w:val="00D82B36"/>
    <w:rsid w:val="00D83E8D"/>
    <w:rsid w:val="00D84B92"/>
    <w:rsid w:val="00D86474"/>
    <w:rsid w:val="00D8747B"/>
    <w:rsid w:val="00D92187"/>
    <w:rsid w:val="00D9297C"/>
    <w:rsid w:val="00D93185"/>
    <w:rsid w:val="00D93435"/>
    <w:rsid w:val="00D939F8"/>
    <w:rsid w:val="00D95AB7"/>
    <w:rsid w:val="00D968B4"/>
    <w:rsid w:val="00D97A88"/>
    <w:rsid w:val="00DA475E"/>
    <w:rsid w:val="00DA5C61"/>
    <w:rsid w:val="00DA6C3F"/>
    <w:rsid w:val="00DA777D"/>
    <w:rsid w:val="00DB151D"/>
    <w:rsid w:val="00DB34BB"/>
    <w:rsid w:val="00DB3C6A"/>
    <w:rsid w:val="00DB5BA2"/>
    <w:rsid w:val="00DB6C55"/>
    <w:rsid w:val="00DC065E"/>
    <w:rsid w:val="00DC0C51"/>
    <w:rsid w:val="00DC2200"/>
    <w:rsid w:val="00DC25A9"/>
    <w:rsid w:val="00DC314B"/>
    <w:rsid w:val="00DC392B"/>
    <w:rsid w:val="00DC5F39"/>
    <w:rsid w:val="00DC7B6F"/>
    <w:rsid w:val="00DD1076"/>
    <w:rsid w:val="00DD1DAD"/>
    <w:rsid w:val="00DD424A"/>
    <w:rsid w:val="00DD4A21"/>
    <w:rsid w:val="00DD5354"/>
    <w:rsid w:val="00DD56A9"/>
    <w:rsid w:val="00DD7B84"/>
    <w:rsid w:val="00DE0201"/>
    <w:rsid w:val="00DE0F34"/>
    <w:rsid w:val="00DE1217"/>
    <w:rsid w:val="00DE165B"/>
    <w:rsid w:val="00DE3185"/>
    <w:rsid w:val="00DE3321"/>
    <w:rsid w:val="00DE687B"/>
    <w:rsid w:val="00DE7E32"/>
    <w:rsid w:val="00DF1B9F"/>
    <w:rsid w:val="00DF7A20"/>
    <w:rsid w:val="00E0050A"/>
    <w:rsid w:val="00E029E9"/>
    <w:rsid w:val="00E04B8E"/>
    <w:rsid w:val="00E0564F"/>
    <w:rsid w:val="00E068D5"/>
    <w:rsid w:val="00E07855"/>
    <w:rsid w:val="00E10889"/>
    <w:rsid w:val="00E122B2"/>
    <w:rsid w:val="00E13B8B"/>
    <w:rsid w:val="00E148C7"/>
    <w:rsid w:val="00E160D9"/>
    <w:rsid w:val="00E1653A"/>
    <w:rsid w:val="00E17560"/>
    <w:rsid w:val="00E225BA"/>
    <w:rsid w:val="00E246CF"/>
    <w:rsid w:val="00E24E9A"/>
    <w:rsid w:val="00E263E9"/>
    <w:rsid w:val="00E2640C"/>
    <w:rsid w:val="00E26FF0"/>
    <w:rsid w:val="00E31EF0"/>
    <w:rsid w:val="00E33884"/>
    <w:rsid w:val="00E34296"/>
    <w:rsid w:val="00E343C8"/>
    <w:rsid w:val="00E3460D"/>
    <w:rsid w:val="00E36BE1"/>
    <w:rsid w:val="00E37DE6"/>
    <w:rsid w:val="00E43EF4"/>
    <w:rsid w:val="00E440FF"/>
    <w:rsid w:val="00E45879"/>
    <w:rsid w:val="00E46D48"/>
    <w:rsid w:val="00E46F5E"/>
    <w:rsid w:val="00E475AA"/>
    <w:rsid w:val="00E50CC7"/>
    <w:rsid w:val="00E51B93"/>
    <w:rsid w:val="00E53909"/>
    <w:rsid w:val="00E57E31"/>
    <w:rsid w:val="00E60FD4"/>
    <w:rsid w:val="00E64B1C"/>
    <w:rsid w:val="00E6621B"/>
    <w:rsid w:val="00E674F5"/>
    <w:rsid w:val="00E703B7"/>
    <w:rsid w:val="00E703BD"/>
    <w:rsid w:val="00E71861"/>
    <w:rsid w:val="00E72815"/>
    <w:rsid w:val="00E773BB"/>
    <w:rsid w:val="00E8050B"/>
    <w:rsid w:val="00E80B70"/>
    <w:rsid w:val="00E80E2B"/>
    <w:rsid w:val="00E81F3F"/>
    <w:rsid w:val="00E92F5C"/>
    <w:rsid w:val="00E93B44"/>
    <w:rsid w:val="00E94E92"/>
    <w:rsid w:val="00E976A9"/>
    <w:rsid w:val="00E97FEA"/>
    <w:rsid w:val="00EA0022"/>
    <w:rsid w:val="00EA068D"/>
    <w:rsid w:val="00EA072A"/>
    <w:rsid w:val="00EA21FD"/>
    <w:rsid w:val="00EA4A0C"/>
    <w:rsid w:val="00EA6E64"/>
    <w:rsid w:val="00EB07DC"/>
    <w:rsid w:val="00EB1DF1"/>
    <w:rsid w:val="00EB1F6F"/>
    <w:rsid w:val="00EB21ED"/>
    <w:rsid w:val="00EB448A"/>
    <w:rsid w:val="00EB4C63"/>
    <w:rsid w:val="00EB5C92"/>
    <w:rsid w:val="00EB7271"/>
    <w:rsid w:val="00EB7A8D"/>
    <w:rsid w:val="00EB7F04"/>
    <w:rsid w:val="00EC0F71"/>
    <w:rsid w:val="00EC2086"/>
    <w:rsid w:val="00EC307C"/>
    <w:rsid w:val="00EC585E"/>
    <w:rsid w:val="00EC5FA5"/>
    <w:rsid w:val="00ED0E85"/>
    <w:rsid w:val="00ED15C1"/>
    <w:rsid w:val="00ED25CF"/>
    <w:rsid w:val="00ED328E"/>
    <w:rsid w:val="00ED3E23"/>
    <w:rsid w:val="00ED6176"/>
    <w:rsid w:val="00ED63B2"/>
    <w:rsid w:val="00ED67BA"/>
    <w:rsid w:val="00ED7395"/>
    <w:rsid w:val="00ED7F9E"/>
    <w:rsid w:val="00EE01DA"/>
    <w:rsid w:val="00EE0727"/>
    <w:rsid w:val="00EE08E0"/>
    <w:rsid w:val="00EE0C6A"/>
    <w:rsid w:val="00EE1D02"/>
    <w:rsid w:val="00EE5A5E"/>
    <w:rsid w:val="00EE6D94"/>
    <w:rsid w:val="00EF0331"/>
    <w:rsid w:val="00EF247B"/>
    <w:rsid w:val="00EF25F6"/>
    <w:rsid w:val="00EF2D3D"/>
    <w:rsid w:val="00EF3ED2"/>
    <w:rsid w:val="00EF41CA"/>
    <w:rsid w:val="00EF6AD1"/>
    <w:rsid w:val="00EF6B0F"/>
    <w:rsid w:val="00EF764E"/>
    <w:rsid w:val="00F009D9"/>
    <w:rsid w:val="00F02041"/>
    <w:rsid w:val="00F03CB1"/>
    <w:rsid w:val="00F044FE"/>
    <w:rsid w:val="00F04ED8"/>
    <w:rsid w:val="00F05503"/>
    <w:rsid w:val="00F10964"/>
    <w:rsid w:val="00F120F0"/>
    <w:rsid w:val="00F13965"/>
    <w:rsid w:val="00F17221"/>
    <w:rsid w:val="00F17565"/>
    <w:rsid w:val="00F17DD8"/>
    <w:rsid w:val="00F202CC"/>
    <w:rsid w:val="00F20817"/>
    <w:rsid w:val="00F20B65"/>
    <w:rsid w:val="00F21038"/>
    <w:rsid w:val="00F22C72"/>
    <w:rsid w:val="00F22E52"/>
    <w:rsid w:val="00F23599"/>
    <w:rsid w:val="00F261C2"/>
    <w:rsid w:val="00F26D73"/>
    <w:rsid w:val="00F26EE1"/>
    <w:rsid w:val="00F3413C"/>
    <w:rsid w:val="00F34496"/>
    <w:rsid w:val="00F36062"/>
    <w:rsid w:val="00F36148"/>
    <w:rsid w:val="00F37175"/>
    <w:rsid w:val="00F37B66"/>
    <w:rsid w:val="00F40E08"/>
    <w:rsid w:val="00F41333"/>
    <w:rsid w:val="00F42BC0"/>
    <w:rsid w:val="00F44C7B"/>
    <w:rsid w:val="00F45357"/>
    <w:rsid w:val="00F46011"/>
    <w:rsid w:val="00F47C49"/>
    <w:rsid w:val="00F51CF8"/>
    <w:rsid w:val="00F5280E"/>
    <w:rsid w:val="00F52DC8"/>
    <w:rsid w:val="00F53F28"/>
    <w:rsid w:val="00F54319"/>
    <w:rsid w:val="00F55D5E"/>
    <w:rsid w:val="00F56541"/>
    <w:rsid w:val="00F6003A"/>
    <w:rsid w:val="00F6186F"/>
    <w:rsid w:val="00F634DB"/>
    <w:rsid w:val="00F656EB"/>
    <w:rsid w:val="00F661A1"/>
    <w:rsid w:val="00F668FE"/>
    <w:rsid w:val="00F66EB7"/>
    <w:rsid w:val="00F704CD"/>
    <w:rsid w:val="00F7296E"/>
    <w:rsid w:val="00F7310B"/>
    <w:rsid w:val="00F732F8"/>
    <w:rsid w:val="00F734DC"/>
    <w:rsid w:val="00F7387F"/>
    <w:rsid w:val="00F763EA"/>
    <w:rsid w:val="00F76EB5"/>
    <w:rsid w:val="00F82AFD"/>
    <w:rsid w:val="00F84DF1"/>
    <w:rsid w:val="00F872E5"/>
    <w:rsid w:val="00F90862"/>
    <w:rsid w:val="00F93D7A"/>
    <w:rsid w:val="00F93DD0"/>
    <w:rsid w:val="00F93EFE"/>
    <w:rsid w:val="00F95968"/>
    <w:rsid w:val="00F95A47"/>
    <w:rsid w:val="00F96D2A"/>
    <w:rsid w:val="00FA0025"/>
    <w:rsid w:val="00FA03AB"/>
    <w:rsid w:val="00FA1636"/>
    <w:rsid w:val="00FA37DE"/>
    <w:rsid w:val="00FA52F3"/>
    <w:rsid w:val="00FA5E39"/>
    <w:rsid w:val="00FB018C"/>
    <w:rsid w:val="00FB0BE9"/>
    <w:rsid w:val="00FB38DD"/>
    <w:rsid w:val="00FB4EFF"/>
    <w:rsid w:val="00FB58B1"/>
    <w:rsid w:val="00FB608F"/>
    <w:rsid w:val="00FB614D"/>
    <w:rsid w:val="00FB651A"/>
    <w:rsid w:val="00FB7602"/>
    <w:rsid w:val="00FB7966"/>
    <w:rsid w:val="00FC06EE"/>
    <w:rsid w:val="00FC337B"/>
    <w:rsid w:val="00FC35EB"/>
    <w:rsid w:val="00FC5DB4"/>
    <w:rsid w:val="00FC6055"/>
    <w:rsid w:val="00FC6C32"/>
    <w:rsid w:val="00FD29CE"/>
    <w:rsid w:val="00FD2C86"/>
    <w:rsid w:val="00FD34D7"/>
    <w:rsid w:val="00FD563C"/>
    <w:rsid w:val="00FD57EB"/>
    <w:rsid w:val="00FD69E2"/>
    <w:rsid w:val="00FD72F8"/>
    <w:rsid w:val="00FD7403"/>
    <w:rsid w:val="00FE03B0"/>
    <w:rsid w:val="00FE18A0"/>
    <w:rsid w:val="00FE207E"/>
    <w:rsid w:val="00FE2ADD"/>
    <w:rsid w:val="00FE445A"/>
    <w:rsid w:val="00FE45B2"/>
    <w:rsid w:val="00FE7EC2"/>
    <w:rsid w:val="00FF0DF7"/>
    <w:rsid w:val="00FF5019"/>
    <w:rsid w:val="00FF5EDF"/>
    <w:rsid w:val="00FF6A9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A46EB9"/>
    <w:pPr>
      <w:keepNext/>
      <w:spacing w:after="12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uiPriority w:val="99"/>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link w:val="ESETableChartFigHeadersChar"/>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4C79E8"/>
    <w:pPr>
      <w:tabs>
        <w:tab w:val="right" w:leader="dot" w:pos="9350"/>
      </w:tabs>
      <w:ind w:left="81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character" w:customStyle="1" w:styleId="Heading1Char">
    <w:name w:val="Heading 1 Char"/>
    <w:basedOn w:val="DefaultParagraphFont"/>
    <w:link w:val="Heading1"/>
    <w:rsid w:val="000B2128"/>
    <w:rPr>
      <w:rFonts w:ascii="Arial" w:hAnsi="Arial" w:cs="Arial"/>
      <w:b/>
      <w:bCs/>
      <w:kern w:val="32"/>
      <w:sz w:val="32"/>
      <w:szCs w:val="32"/>
    </w:rPr>
  </w:style>
  <w:style w:type="paragraph" w:styleId="CommentText">
    <w:name w:val="annotation text"/>
    <w:basedOn w:val="Normal"/>
    <w:link w:val="CommentTextChar"/>
    <w:uiPriority w:val="99"/>
    <w:unhideWhenUsed/>
    <w:rsid w:val="0047676C"/>
    <w:rPr>
      <w:sz w:val="20"/>
      <w:szCs w:val="20"/>
    </w:rPr>
  </w:style>
  <w:style w:type="character" w:customStyle="1" w:styleId="CommentTextChar">
    <w:name w:val="Comment Text Char"/>
    <w:basedOn w:val="DefaultParagraphFont"/>
    <w:link w:val="CommentText"/>
    <w:uiPriority w:val="99"/>
    <w:rsid w:val="0047676C"/>
  </w:style>
  <w:style w:type="character" w:styleId="CommentReference">
    <w:name w:val="annotation reference"/>
    <w:basedOn w:val="DefaultParagraphFont"/>
    <w:unhideWhenUsed/>
    <w:rsid w:val="0047676C"/>
    <w:rPr>
      <w:sz w:val="16"/>
      <w:szCs w:val="16"/>
    </w:rPr>
  </w:style>
  <w:style w:type="table" w:styleId="TableGrid">
    <w:name w:val="Table Grid"/>
    <w:basedOn w:val="TableNormal"/>
    <w:rsid w:val="00EF2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06F70"/>
    <w:rPr>
      <w:sz w:val="22"/>
      <w:szCs w:val="20"/>
    </w:rPr>
  </w:style>
  <w:style w:type="character" w:customStyle="1" w:styleId="BodyTextChar">
    <w:name w:val="Body Text Char"/>
    <w:basedOn w:val="DefaultParagraphFont"/>
    <w:link w:val="BodyText"/>
    <w:uiPriority w:val="99"/>
    <w:rsid w:val="00D06F70"/>
    <w:rPr>
      <w:sz w:val="22"/>
    </w:rPr>
  </w:style>
  <w:style w:type="table" w:styleId="TableClassic1">
    <w:name w:val="Table Classic 1"/>
    <w:basedOn w:val="TableNormal"/>
    <w:rsid w:val="006F6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CB262E"/>
    <w:rPr>
      <w:b/>
      <w:bCs/>
    </w:rPr>
  </w:style>
  <w:style w:type="character" w:customStyle="1" w:styleId="CommentSubjectChar">
    <w:name w:val="Comment Subject Char"/>
    <w:basedOn w:val="CommentTextChar"/>
    <w:link w:val="CommentSubject"/>
    <w:rsid w:val="00CB262E"/>
    <w:rPr>
      <w:b/>
      <w:bCs/>
    </w:rPr>
  </w:style>
  <w:style w:type="character" w:customStyle="1" w:styleId="ESETableChartFigHeadersChar">
    <w:name w:val="ESE Table/Chart/Fig Headers Char"/>
    <w:basedOn w:val="DefaultParagraphFont"/>
    <w:link w:val="ESETableChartFigHeaders"/>
    <w:locked/>
    <w:rsid w:val="006B7340"/>
    <w:rPr>
      <w:rFonts w:ascii="Arial" w:hAnsi="Arial"/>
      <w:b/>
      <w:sz w:val="22"/>
      <w:szCs w:val="24"/>
    </w:rPr>
  </w:style>
  <w:style w:type="character" w:styleId="FollowedHyperlink">
    <w:name w:val="FollowedHyperlink"/>
    <w:basedOn w:val="DefaultParagraphFont"/>
    <w:rsid w:val="008A1A3A"/>
    <w:rPr>
      <w:color w:val="800080" w:themeColor="followedHyperlink"/>
      <w:u w:val="single"/>
    </w:rPr>
  </w:style>
  <w:style w:type="paragraph" w:styleId="ListParagraph">
    <w:name w:val="List Paragraph"/>
    <w:basedOn w:val="Normal"/>
    <w:uiPriority w:val="34"/>
    <w:qFormat/>
    <w:rsid w:val="00550C5A"/>
    <w:pPr>
      <w:ind w:left="720"/>
    </w:pPr>
    <w:rPr>
      <w:rFonts w:ascii="Calibri" w:eastAsiaTheme="minorHAnsi" w:hAnsi="Calibri"/>
      <w:sz w:val="22"/>
      <w:szCs w:val="22"/>
    </w:rPr>
  </w:style>
  <w:style w:type="paragraph" w:styleId="BodyTextIndent">
    <w:name w:val="Body Text Indent"/>
    <w:basedOn w:val="Normal"/>
    <w:link w:val="BodyTextIndentChar"/>
    <w:unhideWhenUsed/>
    <w:rsid w:val="006A6079"/>
    <w:pPr>
      <w:spacing w:after="120"/>
      <w:ind w:left="360"/>
    </w:pPr>
  </w:style>
  <w:style w:type="character" w:customStyle="1" w:styleId="BodyTextIndentChar">
    <w:name w:val="Body Text Indent Char"/>
    <w:basedOn w:val="DefaultParagraphFont"/>
    <w:link w:val="BodyTextIndent"/>
    <w:rsid w:val="006A6079"/>
    <w:rPr>
      <w:sz w:val="24"/>
      <w:szCs w:val="24"/>
    </w:rPr>
  </w:style>
  <w:style w:type="paragraph" w:styleId="FootnoteText">
    <w:name w:val="footnote text"/>
    <w:basedOn w:val="Normal"/>
    <w:link w:val="FootnoteTextChar"/>
    <w:unhideWhenUsed/>
    <w:rsid w:val="006024AE"/>
    <w:rPr>
      <w:sz w:val="20"/>
      <w:szCs w:val="20"/>
    </w:rPr>
  </w:style>
  <w:style w:type="character" w:customStyle="1" w:styleId="FootnoteTextChar">
    <w:name w:val="Footnote Text Char"/>
    <w:basedOn w:val="DefaultParagraphFont"/>
    <w:link w:val="FootnoteText"/>
    <w:uiPriority w:val="99"/>
    <w:rsid w:val="006024AE"/>
  </w:style>
  <w:style w:type="character" w:styleId="FootnoteReference">
    <w:name w:val="footnote reference"/>
    <w:unhideWhenUsed/>
    <w:rsid w:val="006024AE"/>
    <w:rPr>
      <w:vertAlign w:val="superscript"/>
    </w:rPr>
  </w:style>
  <w:style w:type="character" w:styleId="Emphasis">
    <w:name w:val="Emphasis"/>
    <w:basedOn w:val="DefaultParagraphFont"/>
    <w:uiPriority w:val="20"/>
    <w:qFormat/>
    <w:rsid w:val="00A5060D"/>
    <w:rPr>
      <w:i/>
      <w:iCs/>
    </w:rPr>
  </w:style>
  <w:style w:type="paragraph" w:styleId="NormalWeb">
    <w:name w:val="Normal (Web)"/>
    <w:basedOn w:val="Normal"/>
    <w:unhideWhenUsed/>
    <w:rsid w:val="00A5060D"/>
    <w:rPr>
      <w:rFonts w:eastAsiaTheme="minorHAnsi"/>
    </w:rPr>
  </w:style>
  <w:style w:type="paragraph" w:styleId="Revision">
    <w:name w:val="Revision"/>
    <w:hidden/>
    <w:uiPriority w:val="99"/>
    <w:semiHidden/>
    <w:rsid w:val="002C2DEC"/>
    <w:rPr>
      <w:sz w:val="24"/>
      <w:szCs w:val="24"/>
    </w:rPr>
  </w:style>
  <w:style w:type="paragraph" w:customStyle="1" w:styleId="Default">
    <w:name w:val="Default"/>
    <w:rsid w:val="009E293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348683">
      <w:bodyDiv w:val="1"/>
      <w:marLeft w:val="0"/>
      <w:marRight w:val="0"/>
      <w:marTop w:val="0"/>
      <w:marBottom w:val="0"/>
      <w:divBdr>
        <w:top w:val="none" w:sz="0" w:space="0" w:color="auto"/>
        <w:left w:val="none" w:sz="0" w:space="0" w:color="auto"/>
        <w:bottom w:val="none" w:sz="0" w:space="0" w:color="auto"/>
        <w:right w:val="none" w:sz="0" w:space="0" w:color="auto"/>
      </w:divBdr>
    </w:div>
    <w:div w:id="217516720">
      <w:bodyDiv w:val="1"/>
      <w:marLeft w:val="0"/>
      <w:marRight w:val="0"/>
      <w:marTop w:val="0"/>
      <w:marBottom w:val="0"/>
      <w:divBdr>
        <w:top w:val="none" w:sz="0" w:space="0" w:color="auto"/>
        <w:left w:val="none" w:sz="0" w:space="0" w:color="auto"/>
        <w:bottom w:val="none" w:sz="0" w:space="0" w:color="auto"/>
        <w:right w:val="none" w:sz="0" w:space="0" w:color="auto"/>
      </w:divBdr>
    </w:div>
    <w:div w:id="269704411">
      <w:bodyDiv w:val="1"/>
      <w:marLeft w:val="0"/>
      <w:marRight w:val="0"/>
      <w:marTop w:val="0"/>
      <w:marBottom w:val="0"/>
      <w:divBdr>
        <w:top w:val="none" w:sz="0" w:space="0" w:color="auto"/>
        <w:left w:val="none" w:sz="0" w:space="0" w:color="auto"/>
        <w:bottom w:val="none" w:sz="0" w:space="0" w:color="auto"/>
        <w:right w:val="none" w:sz="0" w:space="0" w:color="auto"/>
      </w:divBdr>
    </w:div>
    <w:div w:id="346177125">
      <w:bodyDiv w:val="1"/>
      <w:marLeft w:val="0"/>
      <w:marRight w:val="0"/>
      <w:marTop w:val="0"/>
      <w:marBottom w:val="0"/>
      <w:divBdr>
        <w:top w:val="none" w:sz="0" w:space="0" w:color="auto"/>
        <w:left w:val="none" w:sz="0" w:space="0" w:color="auto"/>
        <w:bottom w:val="none" w:sz="0" w:space="0" w:color="auto"/>
        <w:right w:val="none" w:sz="0" w:space="0" w:color="auto"/>
      </w:divBdr>
    </w:div>
    <w:div w:id="353925966">
      <w:bodyDiv w:val="1"/>
      <w:marLeft w:val="0"/>
      <w:marRight w:val="0"/>
      <w:marTop w:val="0"/>
      <w:marBottom w:val="0"/>
      <w:divBdr>
        <w:top w:val="none" w:sz="0" w:space="0" w:color="auto"/>
        <w:left w:val="none" w:sz="0" w:space="0" w:color="auto"/>
        <w:bottom w:val="none" w:sz="0" w:space="0" w:color="auto"/>
        <w:right w:val="none" w:sz="0" w:space="0" w:color="auto"/>
      </w:divBdr>
    </w:div>
    <w:div w:id="434176605">
      <w:bodyDiv w:val="1"/>
      <w:marLeft w:val="0"/>
      <w:marRight w:val="0"/>
      <w:marTop w:val="0"/>
      <w:marBottom w:val="0"/>
      <w:divBdr>
        <w:top w:val="none" w:sz="0" w:space="0" w:color="auto"/>
        <w:left w:val="none" w:sz="0" w:space="0" w:color="auto"/>
        <w:bottom w:val="none" w:sz="0" w:space="0" w:color="auto"/>
        <w:right w:val="none" w:sz="0" w:space="0" w:color="auto"/>
      </w:divBdr>
    </w:div>
    <w:div w:id="483620467">
      <w:bodyDiv w:val="1"/>
      <w:marLeft w:val="0"/>
      <w:marRight w:val="0"/>
      <w:marTop w:val="0"/>
      <w:marBottom w:val="0"/>
      <w:divBdr>
        <w:top w:val="none" w:sz="0" w:space="0" w:color="auto"/>
        <w:left w:val="none" w:sz="0" w:space="0" w:color="auto"/>
        <w:bottom w:val="none" w:sz="0" w:space="0" w:color="auto"/>
        <w:right w:val="none" w:sz="0" w:space="0" w:color="auto"/>
      </w:divBdr>
    </w:div>
    <w:div w:id="597561409">
      <w:bodyDiv w:val="1"/>
      <w:marLeft w:val="0"/>
      <w:marRight w:val="0"/>
      <w:marTop w:val="0"/>
      <w:marBottom w:val="0"/>
      <w:divBdr>
        <w:top w:val="none" w:sz="0" w:space="0" w:color="auto"/>
        <w:left w:val="none" w:sz="0" w:space="0" w:color="auto"/>
        <w:bottom w:val="none" w:sz="0" w:space="0" w:color="auto"/>
        <w:right w:val="none" w:sz="0" w:space="0" w:color="auto"/>
      </w:divBdr>
    </w:div>
    <w:div w:id="735201715">
      <w:bodyDiv w:val="1"/>
      <w:marLeft w:val="0"/>
      <w:marRight w:val="0"/>
      <w:marTop w:val="0"/>
      <w:marBottom w:val="0"/>
      <w:divBdr>
        <w:top w:val="none" w:sz="0" w:space="0" w:color="auto"/>
        <w:left w:val="none" w:sz="0" w:space="0" w:color="auto"/>
        <w:bottom w:val="none" w:sz="0" w:space="0" w:color="auto"/>
        <w:right w:val="none" w:sz="0" w:space="0" w:color="auto"/>
      </w:divBdr>
    </w:div>
    <w:div w:id="869686713">
      <w:bodyDiv w:val="1"/>
      <w:marLeft w:val="0"/>
      <w:marRight w:val="0"/>
      <w:marTop w:val="0"/>
      <w:marBottom w:val="0"/>
      <w:divBdr>
        <w:top w:val="none" w:sz="0" w:space="0" w:color="auto"/>
        <w:left w:val="none" w:sz="0" w:space="0" w:color="auto"/>
        <w:bottom w:val="none" w:sz="0" w:space="0" w:color="auto"/>
        <w:right w:val="none" w:sz="0" w:space="0" w:color="auto"/>
      </w:divBdr>
    </w:div>
    <w:div w:id="896085871">
      <w:bodyDiv w:val="1"/>
      <w:marLeft w:val="0"/>
      <w:marRight w:val="0"/>
      <w:marTop w:val="0"/>
      <w:marBottom w:val="0"/>
      <w:divBdr>
        <w:top w:val="none" w:sz="0" w:space="0" w:color="auto"/>
        <w:left w:val="none" w:sz="0" w:space="0" w:color="auto"/>
        <w:bottom w:val="none" w:sz="0" w:space="0" w:color="auto"/>
        <w:right w:val="none" w:sz="0" w:space="0" w:color="auto"/>
      </w:divBdr>
    </w:div>
    <w:div w:id="964651966">
      <w:bodyDiv w:val="1"/>
      <w:marLeft w:val="0"/>
      <w:marRight w:val="0"/>
      <w:marTop w:val="0"/>
      <w:marBottom w:val="0"/>
      <w:divBdr>
        <w:top w:val="none" w:sz="0" w:space="0" w:color="auto"/>
        <w:left w:val="none" w:sz="0" w:space="0" w:color="auto"/>
        <w:bottom w:val="none" w:sz="0" w:space="0" w:color="auto"/>
        <w:right w:val="none" w:sz="0" w:space="0" w:color="auto"/>
      </w:divBdr>
    </w:div>
    <w:div w:id="976490902">
      <w:bodyDiv w:val="1"/>
      <w:marLeft w:val="0"/>
      <w:marRight w:val="0"/>
      <w:marTop w:val="0"/>
      <w:marBottom w:val="0"/>
      <w:divBdr>
        <w:top w:val="none" w:sz="0" w:space="0" w:color="auto"/>
        <w:left w:val="none" w:sz="0" w:space="0" w:color="auto"/>
        <w:bottom w:val="none" w:sz="0" w:space="0" w:color="auto"/>
        <w:right w:val="none" w:sz="0" w:space="0" w:color="auto"/>
      </w:divBdr>
    </w:div>
    <w:div w:id="1082482871">
      <w:bodyDiv w:val="1"/>
      <w:marLeft w:val="0"/>
      <w:marRight w:val="0"/>
      <w:marTop w:val="0"/>
      <w:marBottom w:val="0"/>
      <w:divBdr>
        <w:top w:val="none" w:sz="0" w:space="0" w:color="auto"/>
        <w:left w:val="none" w:sz="0" w:space="0" w:color="auto"/>
        <w:bottom w:val="none" w:sz="0" w:space="0" w:color="auto"/>
        <w:right w:val="none" w:sz="0" w:space="0" w:color="auto"/>
      </w:divBdr>
    </w:div>
    <w:div w:id="1117020731">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270890">
      <w:bodyDiv w:val="1"/>
      <w:marLeft w:val="0"/>
      <w:marRight w:val="0"/>
      <w:marTop w:val="0"/>
      <w:marBottom w:val="0"/>
      <w:divBdr>
        <w:top w:val="none" w:sz="0" w:space="0" w:color="auto"/>
        <w:left w:val="none" w:sz="0" w:space="0" w:color="auto"/>
        <w:bottom w:val="none" w:sz="0" w:space="0" w:color="auto"/>
        <w:right w:val="none" w:sz="0" w:space="0" w:color="auto"/>
      </w:divBdr>
    </w:div>
    <w:div w:id="1279752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80484483">
      <w:bodyDiv w:val="1"/>
      <w:marLeft w:val="0"/>
      <w:marRight w:val="0"/>
      <w:marTop w:val="0"/>
      <w:marBottom w:val="0"/>
      <w:divBdr>
        <w:top w:val="none" w:sz="0" w:space="0" w:color="auto"/>
        <w:left w:val="none" w:sz="0" w:space="0" w:color="auto"/>
        <w:bottom w:val="none" w:sz="0" w:space="0" w:color="auto"/>
        <w:right w:val="none" w:sz="0" w:space="0" w:color="auto"/>
      </w:divBdr>
    </w:div>
    <w:div w:id="1605308450">
      <w:bodyDiv w:val="1"/>
      <w:marLeft w:val="0"/>
      <w:marRight w:val="0"/>
      <w:marTop w:val="0"/>
      <w:marBottom w:val="0"/>
      <w:divBdr>
        <w:top w:val="none" w:sz="0" w:space="0" w:color="auto"/>
        <w:left w:val="none" w:sz="0" w:space="0" w:color="auto"/>
        <w:bottom w:val="none" w:sz="0" w:space="0" w:color="auto"/>
        <w:right w:val="none" w:sz="0" w:space="0" w:color="auto"/>
      </w:divBdr>
    </w:div>
    <w:div w:id="174151669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93540035">
      <w:bodyDiv w:val="1"/>
      <w:marLeft w:val="0"/>
      <w:marRight w:val="0"/>
      <w:marTop w:val="0"/>
      <w:marBottom w:val="0"/>
      <w:divBdr>
        <w:top w:val="none" w:sz="0" w:space="0" w:color="auto"/>
        <w:left w:val="none" w:sz="0" w:space="0" w:color="auto"/>
        <w:bottom w:val="none" w:sz="0" w:space="0" w:color="auto"/>
        <w:right w:val="none" w:sz="0" w:space="0" w:color="auto"/>
      </w:divBdr>
    </w:div>
    <w:div w:id="2066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ped/2012/0412sped.pdf" TargetMode="External"/><Relationship Id="rId26" Type="http://schemas.openxmlformats.org/officeDocument/2006/relationships/hyperlink" Target="http://www.doe.mass.edu/finance/circuitbreake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hyperlink" Target="http://www.doe.mass.edu/grants/2015/27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research/reports/2014/12sped.pdf" TargetMode="External"/><Relationship Id="rId25" Type="http://schemas.openxmlformats.org/officeDocument/2006/relationships/chart" Target="charts/chart1.xml"/><Relationship Id="rId33" Type="http://schemas.openxmlformats.org/officeDocument/2006/relationships/hyperlink" Target="http://resources21.org/cl" TargetMode="External"/><Relationship Id="rId38" Type="http://schemas.openxmlformats.org/officeDocument/2006/relationships/hyperlink" Target="mailto:mmmittnacht@doe.mass.edu" TargetMode="External"/><Relationship Id="rId2" Type="http://schemas.openxmlformats.org/officeDocument/2006/relationships/customXml" Target="../customXml/item2.xml"/><Relationship Id="rId16" Type="http://schemas.openxmlformats.org/officeDocument/2006/relationships/hyperlink" Target="https://osep.grads360.org/%20-%20communities/pdc/documents/8133" TargetMode="External"/><Relationship Id="rId20" Type="http://schemas.openxmlformats.org/officeDocument/2006/relationships/diagramData" Target="diagrams/data1.xml"/><Relationship Id="rId29" Type="http://schemas.openxmlformats.org/officeDocument/2006/relationships/hyperlink" Target="http://www2.ed.gov/fund/data/report/idea/partbspap/2014/ma-acc-aprltr-2014b.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yperlink" Target="http://resources21.org/cl/transitionintro.asp" TargetMode="External"/><Relationship Id="rId37" Type="http://schemas.openxmlformats.org/officeDocument/2006/relationships/hyperlink" Target="http://www.doe.mass.edu/finance/collaborative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2.ed.gov/fund/data/report/idea/partbspap/allyears.html" TargetMode="External"/><Relationship Id="rId23" Type="http://schemas.openxmlformats.org/officeDocument/2006/relationships/diagramColors" Target="diagrams/colors1.xml"/><Relationship Id="rId28" Type="http://schemas.openxmlformats.org/officeDocument/2006/relationships/hyperlink" Target="http://www.doe.mass.edu/sped/2014/synthesis.pdf" TargetMode="External"/><Relationship Id="rId36" Type="http://schemas.openxmlformats.org/officeDocument/2006/relationships/hyperlink" Target="http://www.doe.mass.edu/grants/2015/420/" TargetMode="External"/><Relationship Id="rId10" Type="http://schemas.openxmlformats.org/officeDocument/2006/relationships/footnotes" Target="footnotes.xml"/><Relationship Id="rId19" Type="http://schemas.openxmlformats.org/officeDocument/2006/relationships/hyperlink" Target="http://www.doe.mass.edu/finance/circuitbreaker" TargetMode="External"/><Relationship Id="rId31" Type="http://schemas.openxmlformats.org/officeDocument/2006/relationships/hyperlink" Target="https://malegislature.gov/Laws/SessionLaws/Acts/2014/Chapter2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diagramQuickStyle" Target="diagrams/quickStyle1.xml"/><Relationship Id="rId27" Type="http://schemas.openxmlformats.org/officeDocument/2006/relationships/hyperlink" Target="http://www.doe.mass.edu/finance/circuitbreaker/fy15reimburse.xlsx" TargetMode="External"/><Relationship Id="rId30" Type="http://schemas.openxmlformats.org/officeDocument/2006/relationships/image" Target="media/image4.jpeg"/><Relationship Id="rId35" Type="http://schemas.openxmlformats.org/officeDocument/2006/relationships/hyperlink" Target="http://www.doe.mass.edu/sped/advisories/2016-2t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research/reports/2014/12sped.pdf" TargetMode="External"/><Relationship Id="rId2" Type="http://schemas.openxmlformats.org/officeDocument/2006/relationships/hyperlink" Target="http://www.cdc.gov/features/dsautismdata/index.html" TargetMode="External"/><Relationship Id="rId1" Type="http://schemas.openxmlformats.org/officeDocument/2006/relationships/hyperlink" Target="http://www.doe.mass.edu/sped/2012/0412sp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g\Desktop\November%20Report%20FY15\Medicaid%20Paid%20Claims%20Emily%20Audette%20Use%20for%20FY15%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'Chart for Report'!$B$1</c:f>
              <c:strCache>
                <c:ptCount val="1"/>
                <c:pt idx="0">
                  <c:v>Dollars Rounded to the Nearest Tenth of a Million</c:v>
                </c:pt>
              </c:strCache>
            </c:strRef>
          </c:tx>
          <c:spPr>
            <a:ln w="3175"/>
          </c:spPr>
          <c:dLbls>
            <c:dLblPos val="outEnd"/>
            <c:showVal val="1"/>
          </c:dLbls>
          <c:cat>
            <c:strRef>
              <c:f>'Chart for Report'!$A$2:$A$9</c:f>
              <c:strCache>
                <c:ptCount val="8"/>
                <c:pt idx="0">
                  <c:v>FY7</c:v>
                </c:pt>
                <c:pt idx="1">
                  <c:v>FY8</c:v>
                </c:pt>
                <c:pt idx="2">
                  <c:v>FY9</c:v>
                </c:pt>
                <c:pt idx="3">
                  <c:v>FY10</c:v>
                </c:pt>
                <c:pt idx="4">
                  <c:v>FY11</c:v>
                </c:pt>
                <c:pt idx="5">
                  <c:v>FY12</c:v>
                </c:pt>
                <c:pt idx="6">
                  <c:v>FY13</c:v>
                </c:pt>
                <c:pt idx="7">
                  <c:v>FY14</c:v>
                </c:pt>
              </c:strCache>
            </c:strRef>
          </c:cat>
          <c:val>
            <c:numRef>
              <c:f>'Chart for Report'!$B$2:$B$9</c:f>
              <c:numCache>
                <c:formatCode>0.0</c:formatCode>
                <c:ptCount val="8"/>
                <c:pt idx="0">
                  <c:v>108</c:v>
                </c:pt>
                <c:pt idx="1">
                  <c:v>111</c:v>
                </c:pt>
                <c:pt idx="2">
                  <c:v>110.8</c:v>
                </c:pt>
                <c:pt idx="3">
                  <c:v>65.099999999999994</c:v>
                </c:pt>
                <c:pt idx="4">
                  <c:v>64.099999999999994</c:v>
                </c:pt>
                <c:pt idx="5">
                  <c:v>65.8</c:v>
                </c:pt>
                <c:pt idx="6">
                  <c:v>73.900000000000006</c:v>
                </c:pt>
                <c:pt idx="7">
                  <c:v>66.3</c:v>
                </c:pt>
              </c:numCache>
            </c:numRef>
          </c:val>
        </c:ser>
        <c:axId val="105829120"/>
        <c:axId val="105830656"/>
      </c:barChart>
      <c:catAx>
        <c:axId val="105829120"/>
        <c:scaling>
          <c:orientation val="minMax"/>
        </c:scaling>
        <c:axPos val="b"/>
        <c:tickLblPos val="nextTo"/>
        <c:crossAx val="105830656"/>
        <c:crosses val="autoZero"/>
        <c:auto val="1"/>
        <c:lblAlgn val="ctr"/>
        <c:lblOffset val="100"/>
      </c:catAx>
      <c:valAx>
        <c:axId val="105830656"/>
        <c:scaling>
          <c:orientation val="minMax"/>
        </c:scaling>
        <c:axPos val="l"/>
        <c:majorGridlines/>
        <c:title>
          <c:tx>
            <c:rich>
              <a:bodyPr rot="-5400000" vert="horz"/>
              <a:lstStyle/>
              <a:p>
                <a:pPr>
                  <a:defRPr/>
                </a:pPr>
                <a:r>
                  <a:rPr lang="en-US"/>
                  <a:t>Dollars Rounded to the Nearest </a:t>
                </a:r>
              </a:p>
              <a:p>
                <a:pPr>
                  <a:defRPr/>
                </a:pPr>
                <a:r>
                  <a:rPr lang="en-US"/>
                  <a:t>Tenth of a Million</a:t>
                </a:r>
              </a:p>
            </c:rich>
          </c:tx>
        </c:title>
        <c:numFmt formatCode="0.0" sourceLinked="1"/>
        <c:tickLblPos val="nextTo"/>
        <c:crossAx val="105829120"/>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96E738-6255-40B4-9560-63B7C79148CB}"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C225DE99-90EB-4FFE-8C72-8FB971C8CC69}">
      <dgm:prSet phldrT="[Text]"/>
      <dgm:spPr>
        <a:solidFill>
          <a:schemeClr val="bg1">
            <a:lumMod val="85000"/>
          </a:schemeClr>
        </a:solidFill>
      </dgm:spPr>
      <dgm:t>
        <a:bodyPr/>
        <a:lstStyle/>
        <a:p>
          <a:r>
            <a:rPr lang="en-US">
              <a:solidFill>
                <a:sysClr val="windowText" lastClr="000000"/>
              </a:solidFill>
              <a:latin typeface="+mn-lt"/>
            </a:rPr>
            <a:t>408 Districts in State</a:t>
          </a:r>
          <a:endParaRPr lang="en-US">
            <a:solidFill>
              <a:sysClr val="windowText" lastClr="000000"/>
            </a:solidFill>
          </a:endParaRPr>
        </a:p>
      </dgm:t>
    </dgm:pt>
    <dgm:pt modelId="{C04A0ED6-E3AE-4164-AB1C-D4F23E819934}" type="parTrans" cxnId="{62F7FF4F-6F82-43A4-BF9B-A0C6A1A4D3F3}">
      <dgm:prSet/>
      <dgm:spPr/>
      <dgm:t>
        <a:bodyPr/>
        <a:lstStyle/>
        <a:p>
          <a:endParaRPr lang="en-US">
            <a:solidFill>
              <a:sysClr val="windowText" lastClr="000000"/>
            </a:solidFill>
          </a:endParaRPr>
        </a:p>
      </dgm:t>
    </dgm:pt>
    <dgm:pt modelId="{8E2B68BE-4B8F-4C76-BE49-A4C34DE88660}" type="sibTrans" cxnId="{62F7FF4F-6F82-43A4-BF9B-A0C6A1A4D3F3}">
      <dgm:prSet/>
      <dgm:spPr/>
      <dgm:t>
        <a:bodyPr/>
        <a:lstStyle/>
        <a:p>
          <a:endParaRPr lang="en-US">
            <a:solidFill>
              <a:sysClr val="windowText" lastClr="000000"/>
            </a:solidFill>
          </a:endParaRPr>
        </a:p>
      </dgm:t>
    </dgm:pt>
    <dgm:pt modelId="{10F7EF5D-A9BB-4877-AB6B-33EB15CC4725}" type="asst">
      <dgm:prSet/>
      <dgm:spPr/>
      <dgm:t>
        <a:bodyPr/>
        <a:lstStyle/>
        <a:p>
          <a:r>
            <a:rPr lang="en-US">
              <a:solidFill>
                <a:sysClr val="windowText" lastClr="000000"/>
              </a:solidFill>
            </a:rPr>
            <a:t>76 Districts Did Not Participate (18.6%)</a:t>
          </a:r>
        </a:p>
      </dgm:t>
    </dgm:pt>
    <dgm:pt modelId="{603D0F55-E3CB-4CF3-B253-FE85B53A69E4}" type="parTrans" cxnId="{4C9F5794-F077-4610-8D30-5EE760753A65}">
      <dgm:prSet/>
      <dgm:spPr/>
      <dgm:t>
        <a:bodyPr/>
        <a:lstStyle/>
        <a:p>
          <a:endParaRPr lang="en-US">
            <a:solidFill>
              <a:sysClr val="windowText" lastClr="000000"/>
            </a:solidFill>
          </a:endParaRPr>
        </a:p>
      </dgm:t>
    </dgm:pt>
    <dgm:pt modelId="{FC33FE64-66BE-4B42-8815-051B104BC094}" type="sibTrans" cxnId="{4C9F5794-F077-4610-8D30-5EE760753A65}">
      <dgm:prSet/>
      <dgm:spPr/>
      <dgm:t>
        <a:bodyPr/>
        <a:lstStyle/>
        <a:p>
          <a:endParaRPr lang="en-US">
            <a:solidFill>
              <a:sysClr val="windowText" lastClr="000000"/>
            </a:solidFill>
          </a:endParaRPr>
        </a:p>
      </dgm:t>
    </dgm:pt>
    <dgm:pt modelId="{EF42854B-F976-4709-9817-D00648FA9A08}">
      <dgm:prSet/>
      <dgm:spPr>
        <a:solidFill>
          <a:schemeClr val="bg1">
            <a:lumMod val="85000"/>
          </a:schemeClr>
        </a:solidFill>
      </dgm:spPr>
      <dgm:t>
        <a:bodyPr/>
        <a:lstStyle/>
        <a:p>
          <a:r>
            <a:rPr lang="en-US">
              <a:solidFill>
                <a:sysClr val="windowText" lastClr="000000"/>
              </a:solidFill>
            </a:rPr>
            <a:t>295 Districts Received Revenue</a:t>
          </a:r>
        </a:p>
      </dgm:t>
    </dgm:pt>
    <dgm:pt modelId="{433F244A-BA52-4CBF-9CAC-273A0EFB1D10}" type="parTrans" cxnId="{3142B2D6-BF64-4AA8-9AC9-CCE4ABB0FA5A}">
      <dgm:prSet/>
      <dgm:spPr/>
      <dgm:t>
        <a:bodyPr/>
        <a:lstStyle/>
        <a:p>
          <a:endParaRPr lang="en-US">
            <a:solidFill>
              <a:sysClr val="windowText" lastClr="000000"/>
            </a:solidFill>
          </a:endParaRPr>
        </a:p>
      </dgm:t>
    </dgm:pt>
    <dgm:pt modelId="{15D32282-4644-4815-8CB5-163ADF8E9D4E}" type="sibTrans" cxnId="{3142B2D6-BF64-4AA8-9AC9-CCE4ABB0FA5A}">
      <dgm:prSet/>
      <dgm:spPr/>
      <dgm:t>
        <a:bodyPr/>
        <a:lstStyle/>
        <a:p>
          <a:endParaRPr lang="en-US">
            <a:solidFill>
              <a:sysClr val="windowText" lastClr="000000"/>
            </a:solidFill>
          </a:endParaRPr>
        </a:p>
      </dgm:t>
    </dgm:pt>
    <dgm:pt modelId="{4B4A28F4-B1F7-45D0-8C80-690FDC9A0175}">
      <dgm:prSet/>
      <dgm:spPr/>
      <dgm:t>
        <a:bodyPr/>
        <a:lstStyle/>
        <a:p>
          <a:r>
            <a:rPr lang="en-US">
              <a:solidFill>
                <a:sysClr val="windowText" lastClr="000000"/>
              </a:solidFill>
            </a:rPr>
            <a:t>37 Districts Received No Revenue</a:t>
          </a:r>
        </a:p>
      </dgm:t>
    </dgm:pt>
    <dgm:pt modelId="{DC60B17A-450F-4436-9A18-43E33C360404}" type="parTrans" cxnId="{FFE333D2-FB3C-475E-87CE-AD5DA183FFE9}">
      <dgm:prSet/>
      <dgm:spPr/>
      <dgm:t>
        <a:bodyPr/>
        <a:lstStyle/>
        <a:p>
          <a:endParaRPr lang="en-US">
            <a:solidFill>
              <a:sysClr val="windowText" lastClr="000000"/>
            </a:solidFill>
          </a:endParaRPr>
        </a:p>
      </dgm:t>
    </dgm:pt>
    <dgm:pt modelId="{DE1720F3-869D-4DAC-95F4-8CC033C2C254}" type="sibTrans" cxnId="{FFE333D2-FB3C-475E-87CE-AD5DA183FFE9}">
      <dgm:prSet/>
      <dgm:spPr/>
      <dgm:t>
        <a:bodyPr/>
        <a:lstStyle/>
        <a:p>
          <a:endParaRPr lang="en-US">
            <a:solidFill>
              <a:sysClr val="windowText" lastClr="000000"/>
            </a:solidFill>
          </a:endParaRPr>
        </a:p>
      </dgm:t>
    </dgm:pt>
    <dgm:pt modelId="{9C95855E-DB23-4744-B405-1CAB66C98170}">
      <dgm:prSet/>
      <dgm:spPr/>
      <dgm:t>
        <a:bodyPr/>
        <a:lstStyle/>
        <a:p>
          <a:r>
            <a:rPr lang="en-US">
              <a:solidFill>
                <a:sysClr val="windowText" lastClr="000000"/>
              </a:solidFill>
            </a:rPr>
            <a:t>94 Districts Received Some Revenue</a:t>
          </a:r>
        </a:p>
      </dgm:t>
    </dgm:pt>
    <dgm:pt modelId="{4B026543-B400-4EC6-8ECA-CEEC527B2926}" type="parTrans" cxnId="{A5A6EF4B-B85A-457E-9DE5-D5C3D3F3701A}">
      <dgm:prSet/>
      <dgm:spPr/>
      <dgm:t>
        <a:bodyPr/>
        <a:lstStyle/>
        <a:p>
          <a:endParaRPr lang="en-US">
            <a:solidFill>
              <a:sysClr val="windowText" lastClr="000000"/>
            </a:solidFill>
          </a:endParaRPr>
        </a:p>
      </dgm:t>
    </dgm:pt>
    <dgm:pt modelId="{5238523C-E6A8-4B1C-B462-2A8AE987A008}" type="sibTrans" cxnId="{A5A6EF4B-B85A-457E-9DE5-D5C3D3F3701A}">
      <dgm:prSet/>
      <dgm:spPr/>
      <dgm:t>
        <a:bodyPr/>
        <a:lstStyle/>
        <a:p>
          <a:endParaRPr lang="en-US">
            <a:solidFill>
              <a:sysClr val="windowText" lastClr="000000"/>
            </a:solidFill>
          </a:endParaRPr>
        </a:p>
      </dgm:t>
    </dgm:pt>
    <dgm:pt modelId="{9D2CD2A3-B8A0-47ED-A7E4-D19121BABA6F}">
      <dgm:prSet/>
      <dgm:spPr>
        <a:solidFill>
          <a:schemeClr val="bg1">
            <a:lumMod val="85000"/>
          </a:schemeClr>
        </a:solidFill>
      </dgm:spPr>
      <dgm:t>
        <a:bodyPr/>
        <a:lstStyle/>
        <a:p>
          <a:r>
            <a:rPr lang="en-US">
              <a:solidFill>
                <a:sysClr val="windowText" lastClr="000000"/>
              </a:solidFill>
            </a:rPr>
            <a:t>201 Districts Received 100% of Claims</a:t>
          </a:r>
        </a:p>
      </dgm:t>
    </dgm:pt>
    <dgm:pt modelId="{72750387-F266-46CC-81D1-4906173B8917}" type="parTrans" cxnId="{362EB4AA-E525-4E9D-8CAE-AF510705C294}">
      <dgm:prSet/>
      <dgm:spPr/>
      <dgm:t>
        <a:bodyPr/>
        <a:lstStyle/>
        <a:p>
          <a:endParaRPr lang="en-US">
            <a:solidFill>
              <a:sysClr val="windowText" lastClr="000000"/>
            </a:solidFill>
          </a:endParaRPr>
        </a:p>
      </dgm:t>
    </dgm:pt>
    <dgm:pt modelId="{196F379D-1C83-411C-A123-4FD0BBE20D32}" type="sibTrans" cxnId="{362EB4AA-E525-4E9D-8CAE-AF510705C294}">
      <dgm:prSet/>
      <dgm:spPr/>
      <dgm:t>
        <a:bodyPr/>
        <a:lstStyle/>
        <a:p>
          <a:endParaRPr lang="en-US">
            <a:solidFill>
              <a:sysClr val="windowText" lastClr="000000"/>
            </a:solidFill>
          </a:endParaRPr>
        </a:p>
      </dgm:t>
    </dgm:pt>
    <dgm:pt modelId="{E6949A7E-292C-424C-97A4-6EAF8A90370E}" type="asst">
      <dgm:prSet phldrT="[Text]"/>
      <dgm:spPr>
        <a:solidFill>
          <a:schemeClr val="bg1">
            <a:lumMod val="85000"/>
          </a:schemeClr>
        </a:solidFill>
      </dgm:spPr>
      <dgm:t>
        <a:bodyPr/>
        <a:lstStyle/>
        <a:p>
          <a:r>
            <a:rPr lang="en-US">
              <a:solidFill>
                <a:sysClr val="windowText" lastClr="000000"/>
              </a:solidFill>
            </a:rPr>
            <a:t>332 School Districts Participated (81.4%)</a:t>
          </a:r>
        </a:p>
      </dgm:t>
    </dgm:pt>
    <dgm:pt modelId="{9A2C3995-4530-454D-85ED-EE1B82CEE2CB}" type="sibTrans" cxnId="{D081E9EF-4BCA-4D4B-B3C1-2CAB6E241F05}">
      <dgm:prSet/>
      <dgm:spPr/>
      <dgm:t>
        <a:bodyPr/>
        <a:lstStyle/>
        <a:p>
          <a:endParaRPr lang="en-US">
            <a:solidFill>
              <a:sysClr val="windowText" lastClr="000000"/>
            </a:solidFill>
          </a:endParaRPr>
        </a:p>
      </dgm:t>
    </dgm:pt>
    <dgm:pt modelId="{DA0C8B97-5893-41C3-902C-8C9946324270}" type="parTrans" cxnId="{D081E9EF-4BCA-4D4B-B3C1-2CAB6E241F05}">
      <dgm:prSet/>
      <dgm:spPr/>
      <dgm:t>
        <a:bodyPr/>
        <a:lstStyle/>
        <a:p>
          <a:endParaRPr lang="en-US">
            <a:solidFill>
              <a:sysClr val="windowText" lastClr="000000"/>
            </a:solidFill>
          </a:endParaRPr>
        </a:p>
      </dgm:t>
    </dgm:pt>
    <dgm:pt modelId="{3F5174BC-5E2B-4F8C-BFBC-B46B1036F45F}" type="pres">
      <dgm:prSet presAssocID="{3796E738-6255-40B4-9560-63B7C79148CB}" presName="mainComposite" presStyleCnt="0">
        <dgm:presLayoutVars>
          <dgm:chPref val="1"/>
          <dgm:dir/>
          <dgm:animOne val="branch"/>
          <dgm:animLvl val="lvl"/>
          <dgm:resizeHandles val="exact"/>
        </dgm:presLayoutVars>
      </dgm:prSet>
      <dgm:spPr/>
      <dgm:t>
        <a:bodyPr/>
        <a:lstStyle/>
        <a:p>
          <a:endParaRPr lang="en-US"/>
        </a:p>
      </dgm:t>
    </dgm:pt>
    <dgm:pt modelId="{662D310E-C0DB-410B-AFF0-4E58239A5A94}" type="pres">
      <dgm:prSet presAssocID="{3796E738-6255-40B4-9560-63B7C79148CB}" presName="hierFlow" presStyleCnt="0"/>
      <dgm:spPr/>
      <dgm:t>
        <a:bodyPr/>
        <a:lstStyle/>
        <a:p>
          <a:endParaRPr lang="en-US"/>
        </a:p>
      </dgm:t>
    </dgm:pt>
    <dgm:pt modelId="{24255BDB-DD52-4BD1-A84B-606475587C91}" type="pres">
      <dgm:prSet presAssocID="{3796E738-6255-40B4-9560-63B7C79148CB}" presName="hierChild1" presStyleCnt="0">
        <dgm:presLayoutVars>
          <dgm:chPref val="1"/>
          <dgm:animOne val="branch"/>
          <dgm:animLvl val="lvl"/>
        </dgm:presLayoutVars>
      </dgm:prSet>
      <dgm:spPr/>
      <dgm:t>
        <a:bodyPr/>
        <a:lstStyle/>
        <a:p>
          <a:endParaRPr lang="en-US"/>
        </a:p>
      </dgm:t>
    </dgm:pt>
    <dgm:pt modelId="{51EA02DA-F502-4C70-B2BE-023268F40CB9}" type="pres">
      <dgm:prSet presAssocID="{C225DE99-90EB-4FFE-8C72-8FB971C8CC69}" presName="Name14" presStyleCnt="0"/>
      <dgm:spPr/>
      <dgm:t>
        <a:bodyPr/>
        <a:lstStyle/>
        <a:p>
          <a:endParaRPr lang="en-US"/>
        </a:p>
      </dgm:t>
    </dgm:pt>
    <dgm:pt modelId="{70038396-408A-4DF8-8B02-BE9BFF2D23F4}" type="pres">
      <dgm:prSet presAssocID="{C225DE99-90EB-4FFE-8C72-8FB971C8CC69}" presName="level1Shape" presStyleLbl="node0" presStyleIdx="0" presStyleCnt="1" custScaleX="75614" custScaleY="69352" custLinFactNeighborX="413" custLinFactNeighborY="619">
        <dgm:presLayoutVars>
          <dgm:chPref val="3"/>
        </dgm:presLayoutVars>
      </dgm:prSet>
      <dgm:spPr/>
      <dgm:t>
        <a:bodyPr/>
        <a:lstStyle/>
        <a:p>
          <a:endParaRPr lang="en-US"/>
        </a:p>
      </dgm:t>
    </dgm:pt>
    <dgm:pt modelId="{21AA2220-A2C6-4602-B178-AE16354A3A23}" type="pres">
      <dgm:prSet presAssocID="{C225DE99-90EB-4FFE-8C72-8FB971C8CC69}" presName="hierChild2" presStyleCnt="0"/>
      <dgm:spPr/>
      <dgm:t>
        <a:bodyPr/>
        <a:lstStyle/>
        <a:p>
          <a:endParaRPr lang="en-US"/>
        </a:p>
      </dgm:t>
    </dgm:pt>
    <dgm:pt modelId="{52D39BAA-D141-44A7-AFC8-78BDB6ED3419}" type="pres">
      <dgm:prSet presAssocID="{603D0F55-E3CB-4CF3-B253-FE85B53A69E4}" presName="Name19" presStyleLbl="parChTrans1D2" presStyleIdx="0" presStyleCnt="2"/>
      <dgm:spPr/>
      <dgm:t>
        <a:bodyPr/>
        <a:lstStyle/>
        <a:p>
          <a:endParaRPr lang="en-US"/>
        </a:p>
      </dgm:t>
    </dgm:pt>
    <dgm:pt modelId="{CCF66381-8169-4A9B-BD0D-5FEF9266C9C1}" type="pres">
      <dgm:prSet presAssocID="{10F7EF5D-A9BB-4877-AB6B-33EB15CC4725}" presName="Name21" presStyleCnt="0"/>
      <dgm:spPr/>
      <dgm:t>
        <a:bodyPr/>
        <a:lstStyle/>
        <a:p>
          <a:endParaRPr lang="en-US"/>
        </a:p>
      </dgm:t>
    </dgm:pt>
    <dgm:pt modelId="{4A141375-2D7A-4633-9345-E9DA980EABB6}" type="pres">
      <dgm:prSet presAssocID="{10F7EF5D-A9BB-4877-AB6B-33EB15CC4725}" presName="level2Shape" presStyleLbl="asst1" presStyleIdx="0" presStyleCnt="2" custScaleX="76858" custScaleY="60698"/>
      <dgm:spPr/>
      <dgm:t>
        <a:bodyPr/>
        <a:lstStyle/>
        <a:p>
          <a:endParaRPr lang="en-US"/>
        </a:p>
      </dgm:t>
    </dgm:pt>
    <dgm:pt modelId="{197600FB-F0A2-406B-BD10-21BCA55E3A49}" type="pres">
      <dgm:prSet presAssocID="{10F7EF5D-A9BB-4877-AB6B-33EB15CC4725}" presName="hierChild3" presStyleCnt="0"/>
      <dgm:spPr/>
      <dgm:t>
        <a:bodyPr/>
        <a:lstStyle/>
        <a:p>
          <a:endParaRPr lang="en-US"/>
        </a:p>
      </dgm:t>
    </dgm:pt>
    <dgm:pt modelId="{B9788B94-52F5-4F72-91DA-D970F80FC3D8}" type="pres">
      <dgm:prSet presAssocID="{DA0C8B97-5893-41C3-902C-8C9946324270}" presName="Name19" presStyleLbl="parChTrans1D2" presStyleIdx="1" presStyleCnt="2"/>
      <dgm:spPr/>
      <dgm:t>
        <a:bodyPr/>
        <a:lstStyle/>
        <a:p>
          <a:endParaRPr lang="en-US"/>
        </a:p>
      </dgm:t>
    </dgm:pt>
    <dgm:pt modelId="{8B0ED2AB-9C10-4459-8AAC-F7915A76C550}" type="pres">
      <dgm:prSet presAssocID="{E6949A7E-292C-424C-97A4-6EAF8A90370E}" presName="Name21" presStyleCnt="0"/>
      <dgm:spPr/>
      <dgm:t>
        <a:bodyPr/>
        <a:lstStyle/>
        <a:p>
          <a:endParaRPr lang="en-US"/>
        </a:p>
      </dgm:t>
    </dgm:pt>
    <dgm:pt modelId="{4EDDB55C-14EF-442C-916A-8A7FA2855BF6}" type="pres">
      <dgm:prSet presAssocID="{E6949A7E-292C-424C-97A4-6EAF8A90370E}" presName="level2Shape" presStyleLbl="asst1" presStyleIdx="1" presStyleCnt="2" custScaleX="73299" custScaleY="45561"/>
      <dgm:spPr/>
      <dgm:t>
        <a:bodyPr/>
        <a:lstStyle/>
        <a:p>
          <a:endParaRPr lang="en-US"/>
        </a:p>
      </dgm:t>
    </dgm:pt>
    <dgm:pt modelId="{115E9457-F9DB-4677-BB00-57F8FC79AE1D}" type="pres">
      <dgm:prSet presAssocID="{E6949A7E-292C-424C-97A4-6EAF8A90370E}" presName="hierChild3" presStyleCnt="0"/>
      <dgm:spPr/>
      <dgm:t>
        <a:bodyPr/>
        <a:lstStyle/>
        <a:p>
          <a:endParaRPr lang="en-US"/>
        </a:p>
      </dgm:t>
    </dgm:pt>
    <dgm:pt modelId="{EE043C36-BAE6-48C7-9138-AAC2DF2FB8F4}" type="pres">
      <dgm:prSet presAssocID="{DC60B17A-450F-4436-9A18-43E33C360404}" presName="Name19" presStyleLbl="parChTrans1D3" presStyleIdx="0" presStyleCnt="2"/>
      <dgm:spPr/>
      <dgm:t>
        <a:bodyPr/>
        <a:lstStyle/>
        <a:p>
          <a:endParaRPr lang="en-US"/>
        </a:p>
      </dgm:t>
    </dgm:pt>
    <dgm:pt modelId="{76E03503-C559-4336-B501-F55FADD6EAFF}" type="pres">
      <dgm:prSet presAssocID="{4B4A28F4-B1F7-45D0-8C80-690FDC9A0175}" presName="Name21" presStyleCnt="0"/>
      <dgm:spPr/>
      <dgm:t>
        <a:bodyPr/>
        <a:lstStyle/>
        <a:p>
          <a:endParaRPr lang="en-US"/>
        </a:p>
      </dgm:t>
    </dgm:pt>
    <dgm:pt modelId="{0CD3AECE-C54E-4E03-B53F-0911AA2B5721}" type="pres">
      <dgm:prSet presAssocID="{4B4A28F4-B1F7-45D0-8C80-690FDC9A0175}" presName="level2Shape" presStyleLbl="node3" presStyleIdx="0" presStyleCnt="2" custScaleX="76557" custScaleY="56687"/>
      <dgm:spPr/>
      <dgm:t>
        <a:bodyPr/>
        <a:lstStyle/>
        <a:p>
          <a:endParaRPr lang="en-US"/>
        </a:p>
      </dgm:t>
    </dgm:pt>
    <dgm:pt modelId="{46944CEC-C1BE-4001-B218-00ECBDF432CF}" type="pres">
      <dgm:prSet presAssocID="{4B4A28F4-B1F7-45D0-8C80-690FDC9A0175}" presName="hierChild3" presStyleCnt="0"/>
      <dgm:spPr/>
      <dgm:t>
        <a:bodyPr/>
        <a:lstStyle/>
        <a:p>
          <a:endParaRPr lang="en-US"/>
        </a:p>
      </dgm:t>
    </dgm:pt>
    <dgm:pt modelId="{4178954A-8392-4469-AABB-8DA71E3BC680}" type="pres">
      <dgm:prSet presAssocID="{433F244A-BA52-4CBF-9CAC-273A0EFB1D10}" presName="Name19" presStyleLbl="parChTrans1D3" presStyleIdx="1" presStyleCnt="2"/>
      <dgm:spPr/>
      <dgm:t>
        <a:bodyPr/>
        <a:lstStyle/>
        <a:p>
          <a:endParaRPr lang="en-US"/>
        </a:p>
      </dgm:t>
    </dgm:pt>
    <dgm:pt modelId="{E425BA47-5F74-4D0B-B307-37482305893E}" type="pres">
      <dgm:prSet presAssocID="{EF42854B-F976-4709-9817-D00648FA9A08}" presName="Name21" presStyleCnt="0"/>
      <dgm:spPr/>
      <dgm:t>
        <a:bodyPr/>
        <a:lstStyle/>
        <a:p>
          <a:endParaRPr lang="en-US"/>
        </a:p>
      </dgm:t>
    </dgm:pt>
    <dgm:pt modelId="{D6F7E802-A8AC-4161-A9B0-480C7D17E259}" type="pres">
      <dgm:prSet presAssocID="{EF42854B-F976-4709-9817-D00648FA9A08}" presName="level2Shape" presStyleLbl="node3" presStyleIdx="1" presStyleCnt="2" custScaleX="69188" custScaleY="65756" custLinFactNeighborY="16"/>
      <dgm:spPr/>
      <dgm:t>
        <a:bodyPr/>
        <a:lstStyle/>
        <a:p>
          <a:endParaRPr lang="en-US"/>
        </a:p>
      </dgm:t>
    </dgm:pt>
    <dgm:pt modelId="{38C4FD8E-2BFB-41DE-8B8E-CC9C74A80BFD}" type="pres">
      <dgm:prSet presAssocID="{EF42854B-F976-4709-9817-D00648FA9A08}" presName="hierChild3" presStyleCnt="0"/>
      <dgm:spPr/>
      <dgm:t>
        <a:bodyPr/>
        <a:lstStyle/>
        <a:p>
          <a:endParaRPr lang="en-US"/>
        </a:p>
      </dgm:t>
    </dgm:pt>
    <dgm:pt modelId="{7CFBD841-2B21-4E3A-A637-1725D78EF286}" type="pres">
      <dgm:prSet presAssocID="{4B026543-B400-4EC6-8ECA-CEEC527B2926}" presName="Name19" presStyleLbl="parChTrans1D4" presStyleIdx="0" presStyleCnt="2"/>
      <dgm:spPr/>
      <dgm:t>
        <a:bodyPr/>
        <a:lstStyle/>
        <a:p>
          <a:endParaRPr lang="en-US"/>
        </a:p>
      </dgm:t>
    </dgm:pt>
    <dgm:pt modelId="{EED28BAA-BE14-43C9-BBA6-901B9BF79271}" type="pres">
      <dgm:prSet presAssocID="{9C95855E-DB23-4744-B405-1CAB66C98170}" presName="Name21" presStyleCnt="0"/>
      <dgm:spPr/>
      <dgm:t>
        <a:bodyPr/>
        <a:lstStyle/>
        <a:p>
          <a:endParaRPr lang="en-US"/>
        </a:p>
      </dgm:t>
    </dgm:pt>
    <dgm:pt modelId="{CB44605C-EAB0-45B4-A876-6DB691F961C2}" type="pres">
      <dgm:prSet presAssocID="{9C95855E-DB23-4744-B405-1CAB66C98170}" presName="level2Shape" presStyleLbl="node4" presStyleIdx="0" presStyleCnt="2" custScaleX="83217" custScaleY="47361"/>
      <dgm:spPr/>
      <dgm:t>
        <a:bodyPr/>
        <a:lstStyle/>
        <a:p>
          <a:endParaRPr lang="en-US"/>
        </a:p>
      </dgm:t>
    </dgm:pt>
    <dgm:pt modelId="{BDB2AA4A-9112-452D-A31C-1BC5A0406395}" type="pres">
      <dgm:prSet presAssocID="{9C95855E-DB23-4744-B405-1CAB66C98170}" presName="hierChild3" presStyleCnt="0"/>
      <dgm:spPr/>
      <dgm:t>
        <a:bodyPr/>
        <a:lstStyle/>
        <a:p>
          <a:endParaRPr lang="en-US"/>
        </a:p>
      </dgm:t>
    </dgm:pt>
    <dgm:pt modelId="{FB89B606-A6E3-48FE-9C79-BBC8E76098C0}" type="pres">
      <dgm:prSet presAssocID="{72750387-F266-46CC-81D1-4906173B8917}" presName="Name19" presStyleLbl="parChTrans1D4" presStyleIdx="1" presStyleCnt="2"/>
      <dgm:spPr/>
      <dgm:t>
        <a:bodyPr/>
        <a:lstStyle/>
        <a:p>
          <a:endParaRPr lang="en-US"/>
        </a:p>
      </dgm:t>
    </dgm:pt>
    <dgm:pt modelId="{B797C848-1F0E-4BAA-9BC4-958406D1A4D7}" type="pres">
      <dgm:prSet presAssocID="{9D2CD2A3-B8A0-47ED-A7E4-D19121BABA6F}" presName="Name21" presStyleCnt="0"/>
      <dgm:spPr/>
      <dgm:t>
        <a:bodyPr/>
        <a:lstStyle/>
        <a:p>
          <a:endParaRPr lang="en-US"/>
        </a:p>
      </dgm:t>
    </dgm:pt>
    <dgm:pt modelId="{C1B3AC6D-2DBC-4E26-AE14-FD882358930B}" type="pres">
      <dgm:prSet presAssocID="{9D2CD2A3-B8A0-47ED-A7E4-D19121BABA6F}" presName="level2Shape" presStyleLbl="node4" presStyleIdx="1" presStyleCnt="2" custScaleX="88439" custScaleY="45537"/>
      <dgm:spPr/>
      <dgm:t>
        <a:bodyPr/>
        <a:lstStyle/>
        <a:p>
          <a:endParaRPr lang="en-US"/>
        </a:p>
      </dgm:t>
    </dgm:pt>
    <dgm:pt modelId="{9458E5F4-17B4-4054-BF46-98156F5E7400}" type="pres">
      <dgm:prSet presAssocID="{9D2CD2A3-B8A0-47ED-A7E4-D19121BABA6F}" presName="hierChild3" presStyleCnt="0"/>
      <dgm:spPr/>
      <dgm:t>
        <a:bodyPr/>
        <a:lstStyle/>
        <a:p>
          <a:endParaRPr lang="en-US"/>
        </a:p>
      </dgm:t>
    </dgm:pt>
    <dgm:pt modelId="{BB9B9C71-73EA-46FB-B4D2-D6787C415CC4}" type="pres">
      <dgm:prSet presAssocID="{3796E738-6255-40B4-9560-63B7C79148CB}" presName="bgShapesFlow" presStyleCnt="0"/>
      <dgm:spPr/>
      <dgm:t>
        <a:bodyPr/>
        <a:lstStyle/>
        <a:p>
          <a:endParaRPr lang="en-US"/>
        </a:p>
      </dgm:t>
    </dgm:pt>
  </dgm:ptLst>
  <dgm:cxnLst>
    <dgm:cxn modelId="{D081E9EF-4BCA-4D4B-B3C1-2CAB6E241F05}" srcId="{C225DE99-90EB-4FFE-8C72-8FB971C8CC69}" destId="{E6949A7E-292C-424C-97A4-6EAF8A90370E}" srcOrd="1" destOrd="0" parTransId="{DA0C8B97-5893-41C3-902C-8C9946324270}" sibTransId="{9A2C3995-4530-454D-85ED-EE1B82CEE2CB}"/>
    <dgm:cxn modelId="{9D8E7DA6-EA98-4F21-9BFA-AF15D826FB58}" type="presOf" srcId="{C225DE99-90EB-4FFE-8C72-8FB971C8CC69}" destId="{70038396-408A-4DF8-8B02-BE9BFF2D23F4}" srcOrd="0" destOrd="0" presId="urn:microsoft.com/office/officeart/2005/8/layout/hierarchy6"/>
    <dgm:cxn modelId="{4C9F5794-F077-4610-8D30-5EE760753A65}" srcId="{C225DE99-90EB-4FFE-8C72-8FB971C8CC69}" destId="{10F7EF5D-A9BB-4877-AB6B-33EB15CC4725}" srcOrd="0" destOrd="0" parTransId="{603D0F55-E3CB-4CF3-B253-FE85B53A69E4}" sibTransId="{FC33FE64-66BE-4B42-8815-051B104BC094}"/>
    <dgm:cxn modelId="{FFE333D2-FB3C-475E-87CE-AD5DA183FFE9}" srcId="{E6949A7E-292C-424C-97A4-6EAF8A90370E}" destId="{4B4A28F4-B1F7-45D0-8C80-690FDC9A0175}" srcOrd="0" destOrd="0" parTransId="{DC60B17A-450F-4436-9A18-43E33C360404}" sibTransId="{DE1720F3-869D-4DAC-95F4-8CC033C2C254}"/>
    <dgm:cxn modelId="{BD2E1EAF-F195-490D-AD7C-558F80735DB6}" type="presOf" srcId="{EF42854B-F976-4709-9817-D00648FA9A08}" destId="{D6F7E802-A8AC-4161-A9B0-480C7D17E259}" srcOrd="0" destOrd="0" presId="urn:microsoft.com/office/officeart/2005/8/layout/hierarchy6"/>
    <dgm:cxn modelId="{4B4CC38B-8EDA-4BDC-90FF-3CDEA2C39971}" type="presOf" srcId="{9D2CD2A3-B8A0-47ED-A7E4-D19121BABA6F}" destId="{C1B3AC6D-2DBC-4E26-AE14-FD882358930B}" srcOrd="0" destOrd="0" presId="urn:microsoft.com/office/officeart/2005/8/layout/hierarchy6"/>
    <dgm:cxn modelId="{013D790D-AD1E-4062-BE9B-E5B620E9D510}" type="presOf" srcId="{72750387-F266-46CC-81D1-4906173B8917}" destId="{FB89B606-A6E3-48FE-9C79-BBC8E76098C0}" srcOrd="0" destOrd="0" presId="urn:microsoft.com/office/officeart/2005/8/layout/hierarchy6"/>
    <dgm:cxn modelId="{CFFC52CA-6259-49ED-A1FD-3ED0CCCB8032}" type="presOf" srcId="{10F7EF5D-A9BB-4877-AB6B-33EB15CC4725}" destId="{4A141375-2D7A-4633-9345-E9DA980EABB6}" srcOrd="0" destOrd="0" presId="urn:microsoft.com/office/officeart/2005/8/layout/hierarchy6"/>
    <dgm:cxn modelId="{62F7FF4F-6F82-43A4-BF9B-A0C6A1A4D3F3}" srcId="{3796E738-6255-40B4-9560-63B7C79148CB}" destId="{C225DE99-90EB-4FFE-8C72-8FB971C8CC69}" srcOrd="0" destOrd="0" parTransId="{C04A0ED6-E3AE-4164-AB1C-D4F23E819934}" sibTransId="{8E2B68BE-4B8F-4C76-BE49-A4C34DE88660}"/>
    <dgm:cxn modelId="{3142B2D6-BF64-4AA8-9AC9-CCE4ABB0FA5A}" srcId="{E6949A7E-292C-424C-97A4-6EAF8A90370E}" destId="{EF42854B-F976-4709-9817-D00648FA9A08}" srcOrd="1" destOrd="0" parTransId="{433F244A-BA52-4CBF-9CAC-273A0EFB1D10}" sibTransId="{15D32282-4644-4815-8CB5-163ADF8E9D4E}"/>
    <dgm:cxn modelId="{BDA45267-3B6A-4EA2-A5B8-869F0F839979}" type="presOf" srcId="{433F244A-BA52-4CBF-9CAC-273A0EFB1D10}" destId="{4178954A-8392-4469-AABB-8DA71E3BC680}" srcOrd="0" destOrd="0" presId="urn:microsoft.com/office/officeart/2005/8/layout/hierarchy6"/>
    <dgm:cxn modelId="{F02604F7-B347-46EB-A856-A521FC8CFB93}" type="presOf" srcId="{4B026543-B400-4EC6-8ECA-CEEC527B2926}" destId="{7CFBD841-2B21-4E3A-A637-1725D78EF286}" srcOrd="0" destOrd="0" presId="urn:microsoft.com/office/officeart/2005/8/layout/hierarchy6"/>
    <dgm:cxn modelId="{A5A6EF4B-B85A-457E-9DE5-D5C3D3F3701A}" srcId="{EF42854B-F976-4709-9817-D00648FA9A08}" destId="{9C95855E-DB23-4744-B405-1CAB66C98170}" srcOrd="0" destOrd="0" parTransId="{4B026543-B400-4EC6-8ECA-CEEC527B2926}" sibTransId="{5238523C-E6A8-4B1C-B462-2A8AE987A008}"/>
    <dgm:cxn modelId="{496F5789-F0A9-4B41-BEE0-1F79E54B7781}" type="presOf" srcId="{3796E738-6255-40B4-9560-63B7C79148CB}" destId="{3F5174BC-5E2B-4F8C-BFBC-B46B1036F45F}" srcOrd="0" destOrd="0" presId="urn:microsoft.com/office/officeart/2005/8/layout/hierarchy6"/>
    <dgm:cxn modelId="{64AB13D5-2410-401B-A71D-C4E04ED46D24}" type="presOf" srcId="{603D0F55-E3CB-4CF3-B253-FE85B53A69E4}" destId="{52D39BAA-D141-44A7-AFC8-78BDB6ED3419}" srcOrd="0" destOrd="0" presId="urn:microsoft.com/office/officeart/2005/8/layout/hierarchy6"/>
    <dgm:cxn modelId="{9138362D-EC83-4DBA-8109-F3592231C927}" type="presOf" srcId="{DA0C8B97-5893-41C3-902C-8C9946324270}" destId="{B9788B94-52F5-4F72-91DA-D970F80FC3D8}" srcOrd="0" destOrd="0" presId="urn:microsoft.com/office/officeart/2005/8/layout/hierarchy6"/>
    <dgm:cxn modelId="{BC8E091C-2148-4CFA-B18A-CF42E63F3D6A}" type="presOf" srcId="{4B4A28F4-B1F7-45D0-8C80-690FDC9A0175}" destId="{0CD3AECE-C54E-4E03-B53F-0911AA2B5721}" srcOrd="0" destOrd="0" presId="urn:microsoft.com/office/officeart/2005/8/layout/hierarchy6"/>
    <dgm:cxn modelId="{362EB4AA-E525-4E9D-8CAE-AF510705C294}" srcId="{EF42854B-F976-4709-9817-D00648FA9A08}" destId="{9D2CD2A3-B8A0-47ED-A7E4-D19121BABA6F}" srcOrd="1" destOrd="0" parTransId="{72750387-F266-46CC-81D1-4906173B8917}" sibTransId="{196F379D-1C83-411C-A123-4FD0BBE20D32}"/>
    <dgm:cxn modelId="{EE5E4C23-A126-45F6-8937-FE4DEA3A0329}" type="presOf" srcId="{DC60B17A-450F-4436-9A18-43E33C360404}" destId="{EE043C36-BAE6-48C7-9138-AAC2DF2FB8F4}" srcOrd="0" destOrd="0" presId="urn:microsoft.com/office/officeart/2005/8/layout/hierarchy6"/>
    <dgm:cxn modelId="{86A48294-B5BA-4673-A7BC-A42517A8389D}" type="presOf" srcId="{9C95855E-DB23-4744-B405-1CAB66C98170}" destId="{CB44605C-EAB0-45B4-A876-6DB691F961C2}" srcOrd="0" destOrd="0" presId="urn:microsoft.com/office/officeart/2005/8/layout/hierarchy6"/>
    <dgm:cxn modelId="{AED0978D-8681-456C-90D0-A40D2806325D}" type="presOf" srcId="{E6949A7E-292C-424C-97A4-6EAF8A90370E}" destId="{4EDDB55C-14EF-442C-916A-8A7FA2855BF6}" srcOrd="0" destOrd="0" presId="urn:microsoft.com/office/officeart/2005/8/layout/hierarchy6"/>
    <dgm:cxn modelId="{FD6E8D63-A0DA-4709-95BB-A68CC8A8BF21}" type="presParOf" srcId="{3F5174BC-5E2B-4F8C-BFBC-B46B1036F45F}" destId="{662D310E-C0DB-410B-AFF0-4E58239A5A94}" srcOrd="0" destOrd="0" presId="urn:microsoft.com/office/officeart/2005/8/layout/hierarchy6"/>
    <dgm:cxn modelId="{C0A8AF84-B6EE-40C5-BA9A-98D13C1F5B6A}" type="presParOf" srcId="{662D310E-C0DB-410B-AFF0-4E58239A5A94}" destId="{24255BDB-DD52-4BD1-A84B-606475587C91}" srcOrd="0" destOrd="0" presId="urn:microsoft.com/office/officeart/2005/8/layout/hierarchy6"/>
    <dgm:cxn modelId="{EDC611DB-AC2E-407F-ACFE-F556E48C647E}" type="presParOf" srcId="{24255BDB-DD52-4BD1-A84B-606475587C91}" destId="{51EA02DA-F502-4C70-B2BE-023268F40CB9}" srcOrd="0" destOrd="0" presId="urn:microsoft.com/office/officeart/2005/8/layout/hierarchy6"/>
    <dgm:cxn modelId="{86F1085B-CB04-42B7-9B21-40102CF96716}" type="presParOf" srcId="{51EA02DA-F502-4C70-B2BE-023268F40CB9}" destId="{70038396-408A-4DF8-8B02-BE9BFF2D23F4}" srcOrd="0" destOrd="0" presId="urn:microsoft.com/office/officeart/2005/8/layout/hierarchy6"/>
    <dgm:cxn modelId="{859BAE09-957E-4C25-A4B3-73C14D78B57C}" type="presParOf" srcId="{51EA02DA-F502-4C70-B2BE-023268F40CB9}" destId="{21AA2220-A2C6-4602-B178-AE16354A3A23}" srcOrd="1" destOrd="0" presId="urn:microsoft.com/office/officeart/2005/8/layout/hierarchy6"/>
    <dgm:cxn modelId="{C0FA9C37-1252-463A-AC6E-8250E5A26302}" type="presParOf" srcId="{21AA2220-A2C6-4602-B178-AE16354A3A23}" destId="{52D39BAA-D141-44A7-AFC8-78BDB6ED3419}" srcOrd="0" destOrd="0" presId="urn:microsoft.com/office/officeart/2005/8/layout/hierarchy6"/>
    <dgm:cxn modelId="{41D1FA65-D429-4147-9E37-37C2609FE03E}" type="presParOf" srcId="{21AA2220-A2C6-4602-B178-AE16354A3A23}" destId="{CCF66381-8169-4A9B-BD0D-5FEF9266C9C1}" srcOrd="1" destOrd="0" presId="urn:microsoft.com/office/officeart/2005/8/layout/hierarchy6"/>
    <dgm:cxn modelId="{47578203-BF33-4D2D-9A51-50E317BEE0A6}" type="presParOf" srcId="{CCF66381-8169-4A9B-BD0D-5FEF9266C9C1}" destId="{4A141375-2D7A-4633-9345-E9DA980EABB6}" srcOrd="0" destOrd="0" presId="urn:microsoft.com/office/officeart/2005/8/layout/hierarchy6"/>
    <dgm:cxn modelId="{117D9D67-4258-4973-B739-F58712F3D5B1}" type="presParOf" srcId="{CCF66381-8169-4A9B-BD0D-5FEF9266C9C1}" destId="{197600FB-F0A2-406B-BD10-21BCA55E3A49}" srcOrd="1" destOrd="0" presId="urn:microsoft.com/office/officeart/2005/8/layout/hierarchy6"/>
    <dgm:cxn modelId="{05481FE3-15C0-46A9-9BEE-4190D29AF9F7}" type="presParOf" srcId="{21AA2220-A2C6-4602-B178-AE16354A3A23}" destId="{B9788B94-52F5-4F72-91DA-D970F80FC3D8}" srcOrd="2" destOrd="0" presId="urn:microsoft.com/office/officeart/2005/8/layout/hierarchy6"/>
    <dgm:cxn modelId="{C49E15DF-213A-4B98-A60C-B651BD14985F}" type="presParOf" srcId="{21AA2220-A2C6-4602-B178-AE16354A3A23}" destId="{8B0ED2AB-9C10-4459-8AAC-F7915A76C550}" srcOrd="3" destOrd="0" presId="urn:microsoft.com/office/officeart/2005/8/layout/hierarchy6"/>
    <dgm:cxn modelId="{4CF68FC5-F4E8-489A-A4D3-119EEE75CA2B}" type="presParOf" srcId="{8B0ED2AB-9C10-4459-8AAC-F7915A76C550}" destId="{4EDDB55C-14EF-442C-916A-8A7FA2855BF6}" srcOrd="0" destOrd="0" presId="urn:microsoft.com/office/officeart/2005/8/layout/hierarchy6"/>
    <dgm:cxn modelId="{BD79CA11-5167-44C1-B9BF-065B0DD0F594}" type="presParOf" srcId="{8B0ED2AB-9C10-4459-8AAC-F7915A76C550}" destId="{115E9457-F9DB-4677-BB00-57F8FC79AE1D}" srcOrd="1" destOrd="0" presId="urn:microsoft.com/office/officeart/2005/8/layout/hierarchy6"/>
    <dgm:cxn modelId="{4B225F30-5F2A-4E15-8A3F-41B23C74072B}" type="presParOf" srcId="{115E9457-F9DB-4677-BB00-57F8FC79AE1D}" destId="{EE043C36-BAE6-48C7-9138-AAC2DF2FB8F4}" srcOrd="0" destOrd="0" presId="urn:microsoft.com/office/officeart/2005/8/layout/hierarchy6"/>
    <dgm:cxn modelId="{54712E21-CB98-4C39-8E49-AE76CA2884AC}" type="presParOf" srcId="{115E9457-F9DB-4677-BB00-57F8FC79AE1D}" destId="{76E03503-C559-4336-B501-F55FADD6EAFF}" srcOrd="1" destOrd="0" presId="urn:microsoft.com/office/officeart/2005/8/layout/hierarchy6"/>
    <dgm:cxn modelId="{CC03462A-FC01-48DE-9075-DEBE4A758D13}" type="presParOf" srcId="{76E03503-C559-4336-B501-F55FADD6EAFF}" destId="{0CD3AECE-C54E-4E03-B53F-0911AA2B5721}" srcOrd="0" destOrd="0" presId="urn:microsoft.com/office/officeart/2005/8/layout/hierarchy6"/>
    <dgm:cxn modelId="{7F17971D-E6B3-41DE-A0C4-0D8079BB5809}" type="presParOf" srcId="{76E03503-C559-4336-B501-F55FADD6EAFF}" destId="{46944CEC-C1BE-4001-B218-00ECBDF432CF}" srcOrd="1" destOrd="0" presId="urn:microsoft.com/office/officeart/2005/8/layout/hierarchy6"/>
    <dgm:cxn modelId="{DD557DE7-F7AD-4340-B8A3-B7F84A2D71F3}" type="presParOf" srcId="{115E9457-F9DB-4677-BB00-57F8FC79AE1D}" destId="{4178954A-8392-4469-AABB-8DA71E3BC680}" srcOrd="2" destOrd="0" presId="urn:microsoft.com/office/officeart/2005/8/layout/hierarchy6"/>
    <dgm:cxn modelId="{5BBE8E5E-44C0-422B-B9F9-2AE56626EC08}" type="presParOf" srcId="{115E9457-F9DB-4677-BB00-57F8FC79AE1D}" destId="{E425BA47-5F74-4D0B-B307-37482305893E}" srcOrd="3" destOrd="0" presId="urn:microsoft.com/office/officeart/2005/8/layout/hierarchy6"/>
    <dgm:cxn modelId="{B0AE2121-2CF8-4183-B615-6154B012CD24}" type="presParOf" srcId="{E425BA47-5F74-4D0B-B307-37482305893E}" destId="{D6F7E802-A8AC-4161-A9B0-480C7D17E259}" srcOrd="0" destOrd="0" presId="urn:microsoft.com/office/officeart/2005/8/layout/hierarchy6"/>
    <dgm:cxn modelId="{BF5F22B4-38E7-4B77-8F97-F4C5CBD6EDD7}" type="presParOf" srcId="{E425BA47-5F74-4D0B-B307-37482305893E}" destId="{38C4FD8E-2BFB-41DE-8B8E-CC9C74A80BFD}" srcOrd="1" destOrd="0" presId="urn:microsoft.com/office/officeart/2005/8/layout/hierarchy6"/>
    <dgm:cxn modelId="{2450ABA2-195C-4B21-BB48-73A90AB8A199}" type="presParOf" srcId="{38C4FD8E-2BFB-41DE-8B8E-CC9C74A80BFD}" destId="{7CFBD841-2B21-4E3A-A637-1725D78EF286}" srcOrd="0" destOrd="0" presId="urn:microsoft.com/office/officeart/2005/8/layout/hierarchy6"/>
    <dgm:cxn modelId="{F5EA50C0-4AD5-47B2-BBD1-A4AFD2ACF8C1}" type="presParOf" srcId="{38C4FD8E-2BFB-41DE-8B8E-CC9C74A80BFD}" destId="{EED28BAA-BE14-43C9-BBA6-901B9BF79271}" srcOrd="1" destOrd="0" presId="urn:microsoft.com/office/officeart/2005/8/layout/hierarchy6"/>
    <dgm:cxn modelId="{803DB023-2966-444F-9B31-333440722131}" type="presParOf" srcId="{EED28BAA-BE14-43C9-BBA6-901B9BF79271}" destId="{CB44605C-EAB0-45B4-A876-6DB691F961C2}" srcOrd="0" destOrd="0" presId="urn:microsoft.com/office/officeart/2005/8/layout/hierarchy6"/>
    <dgm:cxn modelId="{A87A0306-3042-4FA2-A617-F288D99EA7FF}" type="presParOf" srcId="{EED28BAA-BE14-43C9-BBA6-901B9BF79271}" destId="{BDB2AA4A-9112-452D-A31C-1BC5A0406395}" srcOrd="1" destOrd="0" presId="urn:microsoft.com/office/officeart/2005/8/layout/hierarchy6"/>
    <dgm:cxn modelId="{D3B5875F-2BD9-4940-B89B-4B02EA0E0686}" type="presParOf" srcId="{38C4FD8E-2BFB-41DE-8B8E-CC9C74A80BFD}" destId="{FB89B606-A6E3-48FE-9C79-BBC8E76098C0}" srcOrd="2" destOrd="0" presId="urn:microsoft.com/office/officeart/2005/8/layout/hierarchy6"/>
    <dgm:cxn modelId="{FA9D3C8F-B18A-45A3-9C25-C16B6DCF4304}" type="presParOf" srcId="{38C4FD8E-2BFB-41DE-8B8E-CC9C74A80BFD}" destId="{B797C848-1F0E-4BAA-9BC4-958406D1A4D7}" srcOrd="3" destOrd="0" presId="urn:microsoft.com/office/officeart/2005/8/layout/hierarchy6"/>
    <dgm:cxn modelId="{E61CA6E1-6CCB-48CB-93BD-EE9C652CDC62}" type="presParOf" srcId="{B797C848-1F0E-4BAA-9BC4-958406D1A4D7}" destId="{C1B3AC6D-2DBC-4E26-AE14-FD882358930B}" srcOrd="0" destOrd="0" presId="urn:microsoft.com/office/officeart/2005/8/layout/hierarchy6"/>
    <dgm:cxn modelId="{2120258F-82B3-4B91-8F10-C415EE0CD9C2}" type="presParOf" srcId="{B797C848-1F0E-4BAA-9BC4-958406D1A4D7}" destId="{9458E5F4-17B4-4054-BF46-98156F5E7400}" srcOrd="1" destOrd="0" presId="urn:microsoft.com/office/officeart/2005/8/layout/hierarchy6"/>
    <dgm:cxn modelId="{34566EA9-756F-4082-9404-92C590E507AD}" type="presParOf" srcId="{3F5174BC-5E2B-4F8C-BFBC-B46B1036F45F}" destId="{BB9B9C71-73EA-46FB-B4D2-D6787C415CC4}" srcOrd="1" destOrd="0" presId="urn:microsoft.com/office/officeart/2005/8/layout/hierarchy6"/>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038396-408A-4DF8-8B02-BE9BFF2D23F4}">
      <dsp:nvSpPr>
        <dsp:cNvPr id="0" name=""/>
        <dsp:cNvSpPr/>
      </dsp:nvSpPr>
      <dsp:spPr>
        <a:xfrm>
          <a:off x="1646262" y="205873"/>
          <a:ext cx="1133355" cy="692997"/>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mn-lt"/>
            </a:rPr>
            <a:t>408 Districts in State</a:t>
          </a:r>
          <a:endParaRPr lang="en-US" sz="900" kern="1200">
            <a:solidFill>
              <a:sysClr val="windowText" lastClr="000000"/>
            </a:solidFill>
          </a:endParaRPr>
        </a:p>
      </dsp:txBody>
      <dsp:txXfrm>
        <a:off x="1646262" y="205873"/>
        <a:ext cx="1133355" cy="692997"/>
      </dsp:txXfrm>
    </dsp:sp>
    <dsp:sp modelId="{52D39BAA-D141-44A7-AFC8-78BDB6ED3419}">
      <dsp:nvSpPr>
        <dsp:cNvPr id="0" name=""/>
        <dsp:cNvSpPr/>
      </dsp:nvSpPr>
      <dsp:spPr>
        <a:xfrm>
          <a:off x="1432591" y="898871"/>
          <a:ext cx="780349" cy="393513"/>
        </a:xfrm>
        <a:custGeom>
          <a:avLst/>
          <a:gdLst/>
          <a:ahLst/>
          <a:cxnLst/>
          <a:rect l="0" t="0" r="0" b="0"/>
          <a:pathLst>
            <a:path>
              <a:moveTo>
                <a:pt x="780349" y="0"/>
              </a:moveTo>
              <a:lnTo>
                <a:pt x="780349" y="196756"/>
              </a:lnTo>
              <a:lnTo>
                <a:pt x="0" y="196756"/>
              </a:lnTo>
              <a:lnTo>
                <a:pt x="0" y="3935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41375-2D7A-4633-9345-E9DA980EABB6}">
      <dsp:nvSpPr>
        <dsp:cNvPr id="0" name=""/>
        <dsp:cNvSpPr/>
      </dsp:nvSpPr>
      <dsp:spPr>
        <a:xfrm>
          <a:off x="856590" y="1292385"/>
          <a:ext cx="1152001" cy="6065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76 Districts Did Not Participate (18.6%)</a:t>
          </a:r>
        </a:p>
      </dsp:txBody>
      <dsp:txXfrm>
        <a:off x="856590" y="1292385"/>
        <a:ext cx="1152001" cy="606522"/>
      </dsp:txXfrm>
    </dsp:sp>
    <dsp:sp modelId="{B9788B94-52F5-4F72-91DA-D970F80FC3D8}">
      <dsp:nvSpPr>
        <dsp:cNvPr id="0" name=""/>
        <dsp:cNvSpPr/>
      </dsp:nvSpPr>
      <dsp:spPr>
        <a:xfrm>
          <a:off x="2212940" y="898871"/>
          <a:ext cx="794641" cy="393513"/>
        </a:xfrm>
        <a:custGeom>
          <a:avLst/>
          <a:gdLst/>
          <a:ahLst/>
          <a:cxnLst/>
          <a:rect l="0" t="0" r="0" b="0"/>
          <a:pathLst>
            <a:path>
              <a:moveTo>
                <a:pt x="0" y="0"/>
              </a:moveTo>
              <a:lnTo>
                <a:pt x="0" y="196756"/>
              </a:lnTo>
              <a:lnTo>
                <a:pt x="794641" y="196756"/>
              </a:lnTo>
              <a:lnTo>
                <a:pt x="794641" y="3935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DB55C-14EF-442C-916A-8A7FA2855BF6}">
      <dsp:nvSpPr>
        <dsp:cNvPr id="0" name=""/>
        <dsp:cNvSpPr/>
      </dsp:nvSpPr>
      <dsp:spPr>
        <a:xfrm>
          <a:off x="2458253" y="1292385"/>
          <a:ext cx="1098656" cy="455266"/>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332 School Districts Participated (81.4%)</a:t>
          </a:r>
        </a:p>
      </dsp:txBody>
      <dsp:txXfrm>
        <a:off x="2458253" y="1292385"/>
        <a:ext cx="1098656" cy="455266"/>
      </dsp:txXfrm>
    </dsp:sp>
    <dsp:sp modelId="{EE043C36-BAE6-48C7-9138-AAC2DF2FB8F4}">
      <dsp:nvSpPr>
        <dsp:cNvPr id="0" name=""/>
        <dsp:cNvSpPr/>
      </dsp:nvSpPr>
      <dsp:spPr>
        <a:xfrm>
          <a:off x="2264232" y="1747651"/>
          <a:ext cx="743349" cy="399698"/>
        </a:xfrm>
        <a:custGeom>
          <a:avLst/>
          <a:gdLst/>
          <a:ahLst/>
          <a:cxnLst/>
          <a:rect l="0" t="0" r="0" b="0"/>
          <a:pathLst>
            <a:path>
              <a:moveTo>
                <a:pt x="743349" y="0"/>
              </a:moveTo>
              <a:lnTo>
                <a:pt x="743349" y="199849"/>
              </a:lnTo>
              <a:lnTo>
                <a:pt x="0" y="199849"/>
              </a:lnTo>
              <a:lnTo>
                <a:pt x="0" y="39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3AECE-C54E-4E03-B53F-0911AA2B5721}">
      <dsp:nvSpPr>
        <dsp:cNvPr id="0" name=""/>
        <dsp:cNvSpPr/>
      </dsp:nvSpPr>
      <dsp:spPr>
        <a:xfrm>
          <a:off x="1690487" y="2147350"/>
          <a:ext cx="1147490" cy="5664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37 Districts Received No Revenue</a:t>
          </a:r>
        </a:p>
      </dsp:txBody>
      <dsp:txXfrm>
        <a:off x="1690487" y="2147350"/>
        <a:ext cx="1147490" cy="566443"/>
      </dsp:txXfrm>
    </dsp:sp>
    <dsp:sp modelId="{4178954A-8392-4469-AABB-8DA71E3BC680}">
      <dsp:nvSpPr>
        <dsp:cNvPr id="0" name=""/>
        <dsp:cNvSpPr/>
      </dsp:nvSpPr>
      <dsp:spPr>
        <a:xfrm>
          <a:off x="3007581" y="1747651"/>
          <a:ext cx="798575" cy="399858"/>
        </a:xfrm>
        <a:custGeom>
          <a:avLst/>
          <a:gdLst/>
          <a:ahLst/>
          <a:cxnLst/>
          <a:rect l="0" t="0" r="0" b="0"/>
          <a:pathLst>
            <a:path>
              <a:moveTo>
                <a:pt x="0" y="0"/>
              </a:moveTo>
              <a:lnTo>
                <a:pt x="0" y="199929"/>
              </a:lnTo>
              <a:lnTo>
                <a:pt x="798575" y="199929"/>
              </a:lnTo>
              <a:lnTo>
                <a:pt x="798575" y="3998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7E802-A8AC-4161-A9B0-480C7D17E259}">
      <dsp:nvSpPr>
        <dsp:cNvPr id="0" name=""/>
        <dsp:cNvSpPr/>
      </dsp:nvSpPr>
      <dsp:spPr>
        <a:xfrm>
          <a:off x="3287638" y="2147510"/>
          <a:ext cx="1037038" cy="657064"/>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295 Districts Received Revenue</a:t>
          </a:r>
        </a:p>
      </dsp:txBody>
      <dsp:txXfrm>
        <a:off x="3287638" y="2147510"/>
        <a:ext cx="1037038" cy="657064"/>
      </dsp:txXfrm>
    </dsp:sp>
    <dsp:sp modelId="{7CFBD841-2B21-4E3A-A637-1725D78EF286}">
      <dsp:nvSpPr>
        <dsp:cNvPr id="0" name=""/>
        <dsp:cNvSpPr/>
      </dsp:nvSpPr>
      <dsp:spPr>
        <a:xfrm>
          <a:off x="2918533" y="2804575"/>
          <a:ext cx="887623" cy="399538"/>
        </a:xfrm>
        <a:custGeom>
          <a:avLst/>
          <a:gdLst/>
          <a:ahLst/>
          <a:cxnLst/>
          <a:rect l="0" t="0" r="0" b="0"/>
          <a:pathLst>
            <a:path>
              <a:moveTo>
                <a:pt x="887623" y="0"/>
              </a:moveTo>
              <a:lnTo>
                <a:pt x="887623" y="199769"/>
              </a:lnTo>
              <a:lnTo>
                <a:pt x="0" y="199769"/>
              </a:lnTo>
              <a:lnTo>
                <a:pt x="0" y="3995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44605C-EAB0-45B4-A876-6DB691F961C2}">
      <dsp:nvSpPr>
        <dsp:cNvPr id="0" name=""/>
        <dsp:cNvSpPr/>
      </dsp:nvSpPr>
      <dsp:spPr>
        <a:xfrm>
          <a:off x="2294876" y="3204114"/>
          <a:ext cx="1247314" cy="4732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94 Districts Received Some Revenue</a:t>
          </a:r>
        </a:p>
      </dsp:txBody>
      <dsp:txXfrm>
        <a:off x="2294876" y="3204114"/>
        <a:ext cx="1247314" cy="473253"/>
      </dsp:txXfrm>
    </dsp:sp>
    <dsp:sp modelId="{FB89B606-A6E3-48FE-9C79-BBC8E76098C0}">
      <dsp:nvSpPr>
        <dsp:cNvPr id="0" name=""/>
        <dsp:cNvSpPr/>
      </dsp:nvSpPr>
      <dsp:spPr>
        <a:xfrm>
          <a:off x="3806157" y="2804575"/>
          <a:ext cx="848487" cy="399538"/>
        </a:xfrm>
        <a:custGeom>
          <a:avLst/>
          <a:gdLst/>
          <a:ahLst/>
          <a:cxnLst/>
          <a:rect l="0" t="0" r="0" b="0"/>
          <a:pathLst>
            <a:path>
              <a:moveTo>
                <a:pt x="0" y="0"/>
              </a:moveTo>
              <a:lnTo>
                <a:pt x="0" y="199769"/>
              </a:lnTo>
              <a:lnTo>
                <a:pt x="848487" y="199769"/>
              </a:lnTo>
              <a:lnTo>
                <a:pt x="848487" y="3995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3AC6D-2DBC-4E26-AE14-FD882358930B}">
      <dsp:nvSpPr>
        <dsp:cNvPr id="0" name=""/>
        <dsp:cNvSpPr/>
      </dsp:nvSpPr>
      <dsp:spPr>
        <a:xfrm>
          <a:off x="3991852" y="3204114"/>
          <a:ext cx="1325585" cy="455027"/>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201 Districts Received 100% of Claims</a:t>
          </a:r>
        </a:p>
      </dsp:txBody>
      <dsp:txXfrm>
        <a:off x="3991852" y="3204114"/>
        <a:ext cx="1325585" cy="4550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DESE-231-24521</_dlc_DocId>
    <_dlc_DocIdUrl xmlns="733efe1c-5bbe-4968-87dc-d400e65c879f">
      <Url>https://sharepoint.doemass.org/ese/webteam/cps/_layouts/DocIdRedir.aspx?ID=DESE-231-24521</Url>
      <Description>DESE-231-24521</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FBF5-07B0-4288-83A0-EC56902ADE9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0E2AD5F6-5D24-449A-B707-84AC00C26AD3}">
  <ds:schemaRefs>
    <ds:schemaRef ds:uri="http://schemas.microsoft.com/sharepoint/events"/>
  </ds:schemaRefs>
</ds:datastoreItem>
</file>

<file path=customXml/itemProps3.xml><?xml version="1.0" encoding="utf-8"?>
<ds:datastoreItem xmlns:ds="http://schemas.openxmlformats.org/officeDocument/2006/customXml" ds:itemID="{83A71153-D217-4893-844E-E19A1AAD992E}">
  <ds:schemaRefs>
    <ds:schemaRef ds:uri="http://schemas.microsoft.com/sharepoint/v3/contenttype/forms"/>
  </ds:schemaRefs>
</ds:datastoreItem>
</file>

<file path=customXml/itemProps4.xml><?xml version="1.0" encoding="utf-8"?>
<ds:datastoreItem xmlns:ds="http://schemas.openxmlformats.org/officeDocument/2006/customXml" ds:itemID="{B66714E8-D24D-4F8D-8CA1-9ED3062B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684D8-43CD-46BF-B258-841EEC30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15</TotalTime>
  <Pages>15</Pages>
  <Words>5561</Words>
  <Characters>33201</Characters>
  <Application>Microsoft Office Word</Application>
  <DocSecurity>0</DocSecurity>
  <Lines>809</Lines>
  <Paragraphs>456</Paragraphs>
  <ScaleCrop>false</ScaleCrop>
  <HeadingPairs>
    <vt:vector size="2" baseType="variant">
      <vt:variant>
        <vt:lpstr>Title</vt:lpstr>
      </vt:variant>
      <vt:variant>
        <vt:i4>1</vt:i4>
      </vt:variant>
    </vt:vector>
  </HeadingPairs>
  <TitlesOfParts>
    <vt:vector size="1" baseType="lpstr">
      <vt:lpstr>Students with Disabilities Annual Report 2014-2015</vt:lpstr>
    </vt:vector>
  </TitlesOfParts>
  <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Annual Report 2014-2015</dc:title>
  <dc:subject/>
  <dc:creator>ESE</dc:creator>
  <cp:keywords>Disabilities, Special Education</cp:keywords>
  <cp:lastModifiedBy>dzou</cp:lastModifiedBy>
  <cp:revision>7</cp:revision>
  <cp:lastPrinted>2016-04-26T22:57:00Z</cp:lastPrinted>
  <dcterms:created xsi:type="dcterms:W3CDTF">2016-04-22T14:49:00Z</dcterms:created>
  <dcterms:modified xsi:type="dcterms:W3CDTF">2016-04-27T15:47:00Z</dcterms:modified>
  <cp:category>Students with Disabilities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2016</vt:lpwstr>
  </property>
</Properties>
</file>