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335" w:type="dxa"/>
        <w:tblLayout w:type="fixed"/>
        <w:tblCellMar>
          <w:left w:w="115" w:type="dxa"/>
          <w:right w:w="115" w:type="dxa"/>
        </w:tblCellMar>
        <w:tblLook w:val="00A0" w:firstRow="1" w:lastRow="0" w:firstColumn="1" w:lastColumn="0" w:noHBand="0" w:noVBand="0"/>
      </w:tblPr>
      <w:tblGrid>
        <w:gridCol w:w="990"/>
        <w:gridCol w:w="7020"/>
        <w:gridCol w:w="2070"/>
      </w:tblGrid>
      <w:tr w:rsidR="005F037D" w14:paraId="0AD2BD68" w14:textId="77777777" w:rsidTr="0077761F">
        <w:trPr>
          <w:gridAfter w:val="1"/>
          <w:wAfter w:w="2070" w:type="dxa"/>
          <w:trHeight w:val="5040"/>
        </w:trPr>
        <w:tc>
          <w:tcPr>
            <w:tcW w:w="8010" w:type="dxa"/>
            <w:gridSpan w:val="2"/>
          </w:tcPr>
          <w:p w14:paraId="0AD2BD66" w14:textId="77777777" w:rsidR="005F037D" w:rsidRDefault="005F037D">
            <w:pPr>
              <w:keepNext/>
            </w:pPr>
          </w:p>
          <w:p w14:paraId="0AD2BD67" w14:textId="77777777" w:rsidR="005F037D" w:rsidRDefault="00741DF2" w:rsidP="00CE1085">
            <w:r>
              <w:rPr>
                <w:noProof/>
                <w:lang w:eastAsia="zh-CN"/>
              </w:rPr>
              <w:drawing>
                <wp:inline distT="0" distB="0" distL="0" distR="0" wp14:anchorId="0AD2BF27" wp14:editId="0AD2BF28">
                  <wp:extent cx="2790825" cy="1352550"/>
                  <wp:effectExtent l="0" t="0" r="9525" b="0"/>
                  <wp:docPr id="1" name="Picture 1"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 logo"/>
                          <pic:cNvPicPr>
                            <a:picLocks noChangeAspect="1" noChangeArrowheads="1"/>
                          </pic:cNvPicPr>
                        </pic:nvPicPr>
                        <pic:blipFill>
                          <a:blip r:embed="rId12" cstate="print"/>
                          <a:srcRect/>
                          <a:stretch>
                            <a:fillRect/>
                          </a:stretch>
                        </pic:blipFill>
                        <pic:spPr bwMode="auto">
                          <a:xfrm>
                            <a:off x="0" y="0"/>
                            <a:ext cx="2790825" cy="1352550"/>
                          </a:xfrm>
                          <a:prstGeom prst="rect">
                            <a:avLst/>
                          </a:prstGeom>
                          <a:noFill/>
                          <a:ln w="9525">
                            <a:noFill/>
                            <a:miter lim="800000"/>
                            <a:headEnd/>
                            <a:tailEnd/>
                          </a:ln>
                        </pic:spPr>
                      </pic:pic>
                    </a:graphicData>
                  </a:graphic>
                </wp:inline>
              </w:drawing>
            </w:r>
          </w:p>
        </w:tc>
      </w:tr>
      <w:tr w:rsidR="005F037D" w14:paraId="0AD2BD6C" w14:textId="77777777" w:rsidTr="0077761F">
        <w:trPr>
          <w:gridAfter w:val="1"/>
          <w:wAfter w:w="2070" w:type="dxa"/>
          <w:cantSplit/>
          <w:trHeight w:val="200"/>
        </w:trPr>
        <w:tc>
          <w:tcPr>
            <w:tcW w:w="990" w:type="dxa"/>
            <w:vMerge w:val="restart"/>
            <w:vAlign w:val="bottom"/>
          </w:tcPr>
          <w:p w14:paraId="0AD2BD69" w14:textId="77777777" w:rsidR="005F037D" w:rsidRPr="00274356" w:rsidRDefault="005F037D" w:rsidP="00274356"/>
        </w:tc>
        <w:tc>
          <w:tcPr>
            <w:tcW w:w="7020" w:type="dxa"/>
            <w:vAlign w:val="bottom"/>
          </w:tcPr>
          <w:p w14:paraId="0AD2BD6A" w14:textId="77777777" w:rsidR="005F037D" w:rsidRDefault="000C38BE" w:rsidP="00F66EB7">
            <w:pPr>
              <w:pStyle w:val="ESEReportName"/>
              <w:rPr>
                <w:rFonts w:ascii="Times New Roman" w:hAnsi="Times New Roman"/>
                <w:sz w:val="40"/>
                <w:szCs w:val="40"/>
              </w:rPr>
            </w:pPr>
            <w:r>
              <w:rPr>
                <w:rFonts w:ascii="Times New Roman" w:hAnsi="Times New Roman"/>
                <w:sz w:val="40"/>
                <w:szCs w:val="40"/>
              </w:rPr>
              <w:t>Report to the Legislature</w:t>
            </w:r>
            <w:r w:rsidR="0037656A">
              <w:rPr>
                <w:rFonts w:ascii="Times New Roman" w:hAnsi="Times New Roman"/>
                <w:sz w:val="40"/>
                <w:szCs w:val="40"/>
              </w:rPr>
              <w:t>:</w:t>
            </w:r>
          </w:p>
          <w:p w14:paraId="0AD2BD6B" w14:textId="77777777" w:rsidR="0037656A" w:rsidRPr="0037656A" w:rsidRDefault="0037656A" w:rsidP="0037656A">
            <w:pPr>
              <w:pStyle w:val="ESEReportName"/>
              <w:rPr>
                <w:rFonts w:ascii="Times New Roman" w:hAnsi="Times New Roman"/>
                <w:sz w:val="40"/>
                <w:szCs w:val="40"/>
              </w:rPr>
            </w:pPr>
            <w:r w:rsidRPr="0037656A">
              <w:rPr>
                <w:rFonts w:ascii="Times New Roman" w:hAnsi="Times New Roman"/>
                <w:sz w:val="40"/>
                <w:szCs w:val="40"/>
              </w:rPr>
              <w:t>Annual Report on Students with Disabilities 2015-2016</w:t>
            </w:r>
          </w:p>
        </w:tc>
      </w:tr>
      <w:tr w:rsidR="005F037D" w14:paraId="0AD2BD6F" w14:textId="77777777" w:rsidTr="0077761F">
        <w:trPr>
          <w:gridAfter w:val="1"/>
          <w:wAfter w:w="2070" w:type="dxa"/>
          <w:cantSplit/>
          <w:trHeight w:val="240"/>
        </w:trPr>
        <w:tc>
          <w:tcPr>
            <w:tcW w:w="990" w:type="dxa"/>
            <w:vMerge/>
            <w:vAlign w:val="bottom"/>
          </w:tcPr>
          <w:p w14:paraId="0AD2BD6D" w14:textId="77777777" w:rsidR="005F037D" w:rsidRDefault="005F037D">
            <w:pPr>
              <w:spacing w:line="400" w:lineRule="exact"/>
              <w:rPr>
                <w:rFonts w:ascii="Arial" w:hAnsi="Arial"/>
                <w:color w:val="000000"/>
              </w:rPr>
            </w:pPr>
          </w:p>
        </w:tc>
        <w:tc>
          <w:tcPr>
            <w:tcW w:w="7020" w:type="dxa"/>
          </w:tcPr>
          <w:p w14:paraId="0AD2BD6E" w14:textId="77777777" w:rsidR="005F037D" w:rsidRPr="00EB1F6F" w:rsidRDefault="004215EF">
            <w:r>
              <w:pict w14:anchorId="0AD2BF29">
                <v:rect id="_x0000_i1025" style="width:0;height:1.5pt" o:hrstd="t" o:hr="t" fillcolor="#aaa" stroked="f"/>
              </w:pict>
            </w:r>
          </w:p>
        </w:tc>
      </w:tr>
      <w:tr w:rsidR="005F037D" w14:paraId="0AD2BD73" w14:textId="77777777" w:rsidTr="0077761F">
        <w:trPr>
          <w:gridAfter w:val="1"/>
          <w:wAfter w:w="2070" w:type="dxa"/>
          <w:cantSplit/>
          <w:trHeight w:val="760"/>
        </w:trPr>
        <w:tc>
          <w:tcPr>
            <w:tcW w:w="990" w:type="dxa"/>
            <w:vMerge/>
            <w:vAlign w:val="bottom"/>
          </w:tcPr>
          <w:p w14:paraId="0AD2BD70" w14:textId="77777777" w:rsidR="005F037D" w:rsidRDefault="005F037D">
            <w:pPr>
              <w:spacing w:line="400" w:lineRule="exact"/>
              <w:rPr>
                <w:rFonts w:ascii="Arial" w:hAnsi="Arial"/>
                <w:color w:val="000000"/>
              </w:rPr>
            </w:pPr>
          </w:p>
        </w:tc>
        <w:tc>
          <w:tcPr>
            <w:tcW w:w="7020" w:type="dxa"/>
          </w:tcPr>
          <w:p w14:paraId="0AD2BD71" w14:textId="77777777" w:rsidR="00F66EB7" w:rsidRPr="009A5EBB" w:rsidRDefault="000C38BE" w:rsidP="00EB1F6F">
            <w:pPr>
              <w:pStyle w:val="arial9"/>
              <w:rPr>
                <w:rFonts w:ascii="Times New Roman" w:hAnsi="Times New Roman"/>
                <w:sz w:val="20"/>
                <w:szCs w:val="20"/>
              </w:rPr>
            </w:pPr>
            <w:r>
              <w:rPr>
                <w:rFonts w:ascii="Times New Roman" w:hAnsi="Times New Roman"/>
                <w:sz w:val="20"/>
                <w:szCs w:val="20"/>
              </w:rPr>
              <w:t>Chapter 159, Acts of 2000</w:t>
            </w:r>
          </w:p>
          <w:p w14:paraId="0AD2BD72" w14:textId="77777777" w:rsidR="005F037D" w:rsidRPr="009A5EBB" w:rsidRDefault="008374A1" w:rsidP="00236DB3">
            <w:pPr>
              <w:pStyle w:val="arial9"/>
              <w:rPr>
                <w:rFonts w:ascii="Times New Roman" w:hAnsi="Times New Roman"/>
                <w:sz w:val="20"/>
                <w:szCs w:val="20"/>
              </w:rPr>
            </w:pPr>
            <w:r>
              <w:rPr>
                <w:rFonts w:ascii="Times New Roman" w:hAnsi="Times New Roman"/>
                <w:sz w:val="20"/>
                <w:szCs w:val="20"/>
              </w:rPr>
              <w:t>September</w:t>
            </w:r>
            <w:r w:rsidR="005B2FDD">
              <w:rPr>
                <w:rFonts w:ascii="Times New Roman" w:hAnsi="Times New Roman"/>
                <w:sz w:val="20"/>
                <w:szCs w:val="20"/>
              </w:rPr>
              <w:t xml:space="preserve"> 2017</w:t>
            </w:r>
          </w:p>
        </w:tc>
      </w:tr>
      <w:tr w:rsidR="005F037D" w14:paraId="0AD2BD79" w14:textId="77777777" w:rsidTr="0077761F">
        <w:trPr>
          <w:gridAfter w:val="1"/>
          <w:wAfter w:w="2070" w:type="dxa"/>
          <w:cantSplit/>
          <w:trHeight w:val="6246"/>
        </w:trPr>
        <w:tc>
          <w:tcPr>
            <w:tcW w:w="990" w:type="dxa"/>
            <w:vMerge/>
            <w:vAlign w:val="bottom"/>
          </w:tcPr>
          <w:p w14:paraId="0AD2BD74" w14:textId="77777777" w:rsidR="005F037D" w:rsidRDefault="005F037D">
            <w:pPr>
              <w:spacing w:line="400" w:lineRule="exact"/>
              <w:rPr>
                <w:rFonts w:ascii="Arial" w:hAnsi="Arial"/>
                <w:color w:val="000000"/>
              </w:rPr>
            </w:pPr>
          </w:p>
        </w:tc>
        <w:tc>
          <w:tcPr>
            <w:tcW w:w="7020" w:type="dxa"/>
            <w:vAlign w:val="bottom"/>
          </w:tcPr>
          <w:p w14:paraId="0AD2BD75" w14:textId="77777777" w:rsidR="005F037D" w:rsidRPr="009A5EBB" w:rsidRDefault="005F037D" w:rsidP="004E0CA6">
            <w:pPr>
              <w:pStyle w:val="AgencyTitle"/>
              <w:rPr>
                <w:rFonts w:ascii="Times New Roman" w:hAnsi="Times New Roman"/>
                <w:sz w:val="20"/>
                <w:szCs w:val="20"/>
              </w:rPr>
            </w:pPr>
            <w:r w:rsidRPr="009A5EBB">
              <w:rPr>
                <w:rFonts w:ascii="Times New Roman" w:hAnsi="Times New Roman"/>
                <w:sz w:val="20"/>
                <w:szCs w:val="20"/>
              </w:rPr>
              <w:t xml:space="preserve">Massachusetts Department of </w:t>
            </w:r>
            <w:r w:rsidR="00440BAB" w:rsidRPr="009A5EBB">
              <w:rPr>
                <w:rFonts w:ascii="Times New Roman" w:hAnsi="Times New Roman"/>
                <w:sz w:val="20"/>
                <w:szCs w:val="20"/>
              </w:rPr>
              <w:t xml:space="preserve">Elementary and Secondary </w:t>
            </w:r>
            <w:r w:rsidRPr="009A5EBB">
              <w:rPr>
                <w:rFonts w:ascii="Times New Roman" w:hAnsi="Times New Roman"/>
                <w:sz w:val="20"/>
                <w:szCs w:val="20"/>
              </w:rPr>
              <w:t>Education</w:t>
            </w:r>
          </w:p>
          <w:p w14:paraId="0AD2BD76" w14:textId="77777777" w:rsidR="005F037D" w:rsidRPr="009A5EBB" w:rsidRDefault="005152E7" w:rsidP="00EB1F6F">
            <w:pPr>
              <w:pStyle w:val="arial9"/>
              <w:rPr>
                <w:rFonts w:ascii="Times New Roman" w:hAnsi="Times New Roman"/>
                <w:snapToGrid w:val="0"/>
                <w:sz w:val="20"/>
                <w:szCs w:val="20"/>
              </w:rPr>
            </w:pPr>
            <w:r w:rsidRPr="009A5EBB">
              <w:rPr>
                <w:rFonts w:ascii="Times New Roman" w:hAnsi="Times New Roman"/>
                <w:snapToGrid w:val="0"/>
                <w:sz w:val="20"/>
                <w:szCs w:val="20"/>
              </w:rPr>
              <w:t>75 Pleasant</w:t>
            </w:r>
            <w:r w:rsidR="005F037D" w:rsidRPr="009A5EBB">
              <w:rPr>
                <w:rFonts w:ascii="Times New Roman" w:hAnsi="Times New Roman"/>
                <w:snapToGrid w:val="0"/>
                <w:sz w:val="20"/>
                <w:szCs w:val="20"/>
              </w:rPr>
              <w:t xml:space="preserve"> Street, Malden, MA 02148</w:t>
            </w:r>
            <w:r w:rsidR="00740C0D" w:rsidRPr="009A5EBB">
              <w:rPr>
                <w:rFonts w:ascii="Times New Roman" w:hAnsi="Times New Roman"/>
                <w:snapToGrid w:val="0"/>
                <w:sz w:val="20"/>
                <w:szCs w:val="20"/>
              </w:rPr>
              <w:t>-4906</w:t>
            </w:r>
          </w:p>
          <w:p w14:paraId="0AD2BD77" w14:textId="77777777" w:rsidR="0020780F" w:rsidRPr="009A5EBB" w:rsidRDefault="0020780F" w:rsidP="00EB1F6F">
            <w:pPr>
              <w:pStyle w:val="arial9"/>
              <w:rPr>
                <w:rFonts w:ascii="Times New Roman" w:hAnsi="Times New Roman"/>
                <w:snapToGrid w:val="0"/>
                <w:sz w:val="20"/>
                <w:szCs w:val="20"/>
              </w:rPr>
            </w:pPr>
            <w:r w:rsidRPr="009A5EBB">
              <w:rPr>
                <w:rFonts w:ascii="Times New Roman" w:hAnsi="Times New Roman"/>
                <w:snapToGrid w:val="0"/>
                <w:sz w:val="20"/>
                <w:szCs w:val="20"/>
              </w:rPr>
              <w:t xml:space="preserve">Phone </w:t>
            </w:r>
            <w:r w:rsidR="005F037D" w:rsidRPr="009A5EBB">
              <w:rPr>
                <w:rFonts w:ascii="Times New Roman" w:hAnsi="Times New Roman"/>
                <w:snapToGrid w:val="0"/>
                <w:sz w:val="20"/>
                <w:szCs w:val="20"/>
              </w:rPr>
              <w:t xml:space="preserve">781-338-3000  </w:t>
            </w:r>
            <w:r w:rsidRPr="009A5EBB">
              <w:rPr>
                <w:rFonts w:ascii="Times New Roman" w:hAnsi="Times New Roman"/>
                <w:snapToGrid w:val="0"/>
                <w:sz w:val="20"/>
                <w:szCs w:val="20"/>
              </w:rPr>
              <w:t>TTY: N.E.T. Relay 800-439-2370</w:t>
            </w:r>
          </w:p>
          <w:p w14:paraId="0AD2BD78" w14:textId="77777777" w:rsidR="005F037D" w:rsidRDefault="004215EF" w:rsidP="00EB1F6F">
            <w:pPr>
              <w:pStyle w:val="arial9"/>
            </w:pPr>
            <w:hyperlink r:id="rId13" w:history="1">
              <w:r w:rsidR="00236DB3" w:rsidRPr="004D2E41">
                <w:rPr>
                  <w:rStyle w:val="Hyperlink"/>
                  <w:rFonts w:ascii="Times New Roman" w:hAnsi="Times New Roman"/>
                  <w:snapToGrid w:val="0"/>
                  <w:sz w:val="20"/>
                  <w:szCs w:val="20"/>
                </w:rPr>
                <w:t>www.doe.mass.edu</w:t>
              </w:r>
            </w:hyperlink>
          </w:p>
        </w:tc>
      </w:tr>
      <w:tr w:rsidR="00BE2C57" w14:paraId="0AD2BDA4" w14:textId="77777777" w:rsidTr="00365B11">
        <w:trPr>
          <w:trHeight w:val="13491"/>
        </w:trPr>
        <w:tc>
          <w:tcPr>
            <w:tcW w:w="10080" w:type="dxa"/>
            <w:gridSpan w:val="3"/>
          </w:tcPr>
          <w:p w14:paraId="0AD2BD7A" w14:textId="77777777" w:rsidR="00BE2C57" w:rsidRPr="00345DE2" w:rsidRDefault="00BE2C57" w:rsidP="00365B11">
            <w:pPr>
              <w:jc w:val="center"/>
            </w:pPr>
            <w:r>
              <w:rPr>
                <w:noProof/>
                <w:lang w:eastAsia="zh-CN"/>
              </w:rPr>
              <w:lastRenderedPageBreak/>
              <w:drawing>
                <wp:inline distT="0" distB="0" distL="0" distR="0" wp14:anchorId="0AD2BF2A" wp14:editId="0AD2BF2B">
                  <wp:extent cx="1838325" cy="885825"/>
                  <wp:effectExtent l="19050" t="0" r="9525" b="0"/>
                  <wp:docPr id="6"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2" cstate="print"/>
                          <a:srcRect/>
                          <a:stretch>
                            <a:fillRect/>
                          </a:stretch>
                        </pic:blipFill>
                        <pic:spPr bwMode="auto">
                          <a:xfrm>
                            <a:off x="0" y="0"/>
                            <a:ext cx="1838325" cy="885825"/>
                          </a:xfrm>
                          <a:prstGeom prst="rect">
                            <a:avLst/>
                          </a:prstGeom>
                          <a:noFill/>
                          <a:ln w="9525">
                            <a:noFill/>
                            <a:miter lim="800000"/>
                            <a:headEnd/>
                            <a:tailEnd/>
                          </a:ln>
                        </pic:spPr>
                      </pic:pic>
                    </a:graphicData>
                  </a:graphic>
                </wp:inline>
              </w:drawing>
            </w:r>
          </w:p>
          <w:p w14:paraId="0AD2BD7B" w14:textId="77777777" w:rsidR="00BE2C57" w:rsidRPr="00B826C7" w:rsidRDefault="00BE2C57" w:rsidP="00365B11">
            <w:pPr>
              <w:rPr>
                <w:sz w:val="20"/>
                <w:szCs w:val="20"/>
              </w:rPr>
            </w:pPr>
          </w:p>
          <w:p w14:paraId="0AD2BD7C" w14:textId="77777777" w:rsidR="00BE2C57" w:rsidRPr="00B826C7" w:rsidRDefault="002E4E28" w:rsidP="00365B11">
            <w:pPr>
              <w:pStyle w:val="BoardMembers"/>
              <w:rPr>
                <w:rFonts w:ascii="Times New Roman" w:hAnsi="Times New Roman"/>
              </w:rPr>
            </w:pPr>
            <w:r w:rsidRPr="002E4E28">
              <w:rPr>
                <w:rFonts w:ascii="Times New Roman" w:hAnsi="Times New Roman"/>
              </w:rPr>
              <w:t xml:space="preserve">This document was prepared by the </w:t>
            </w:r>
            <w:r w:rsidRPr="002E4E28">
              <w:rPr>
                <w:rFonts w:ascii="Times New Roman" w:hAnsi="Times New Roman"/>
              </w:rPr>
              <w:br/>
              <w:t>Massachusetts Department of Elementary and Secondary Education</w:t>
            </w:r>
          </w:p>
          <w:p w14:paraId="0AD2BD7D" w14:textId="77777777" w:rsidR="00BE2C57" w:rsidRPr="00B826C7" w:rsidRDefault="002E4E28" w:rsidP="00365B11">
            <w:pPr>
              <w:pStyle w:val="BoardMembers"/>
              <w:rPr>
                <w:rFonts w:ascii="Times New Roman" w:hAnsi="Times New Roman"/>
              </w:rPr>
            </w:pPr>
            <w:r w:rsidRPr="002E4E28">
              <w:rPr>
                <w:rFonts w:ascii="Times New Roman" w:hAnsi="Times New Roman"/>
              </w:rPr>
              <w:t>Jeff Wulfson</w:t>
            </w:r>
          </w:p>
          <w:p w14:paraId="0AD2BD7E" w14:textId="41DDE16F" w:rsidR="00BE2C57" w:rsidRPr="00B826C7" w:rsidRDefault="002E4E28" w:rsidP="00365B11">
            <w:pPr>
              <w:pStyle w:val="BoardMembers"/>
              <w:rPr>
                <w:rFonts w:ascii="Times New Roman" w:hAnsi="Times New Roman"/>
              </w:rPr>
            </w:pPr>
            <w:r w:rsidRPr="002E4E28">
              <w:rPr>
                <w:rFonts w:ascii="Times New Roman" w:hAnsi="Times New Roman"/>
              </w:rPr>
              <w:t>Acting Commissioner</w:t>
            </w:r>
          </w:p>
          <w:p w14:paraId="0AD2BD7F" w14:textId="77777777" w:rsidR="00BE2C57" w:rsidRPr="00B826C7" w:rsidRDefault="00BE2C57" w:rsidP="00365B11">
            <w:pPr>
              <w:pStyle w:val="BoardMembers"/>
              <w:rPr>
                <w:rFonts w:ascii="Times New Roman" w:hAnsi="Times New Roman"/>
              </w:rPr>
            </w:pPr>
          </w:p>
          <w:p w14:paraId="0AD2BD80" w14:textId="77777777" w:rsidR="00BE2C57" w:rsidRPr="00B826C7" w:rsidRDefault="00BE2C57" w:rsidP="00365B11">
            <w:pPr>
              <w:rPr>
                <w:sz w:val="20"/>
                <w:szCs w:val="20"/>
              </w:rPr>
            </w:pPr>
          </w:p>
          <w:p w14:paraId="0AD2BD81" w14:textId="77777777" w:rsidR="00BE2C57" w:rsidRPr="00B826C7" w:rsidRDefault="002E4E28" w:rsidP="00365B11">
            <w:pPr>
              <w:pStyle w:val="BoardMembers"/>
              <w:rPr>
                <w:rFonts w:ascii="Times New Roman" w:hAnsi="Times New Roman"/>
                <w:b/>
                <w:sz w:val="24"/>
                <w:szCs w:val="24"/>
              </w:rPr>
            </w:pPr>
            <w:r w:rsidRPr="002E4E28">
              <w:rPr>
                <w:rFonts w:ascii="Times New Roman" w:hAnsi="Times New Roman"/>
                <w:b/>
                <w:sz w:val="24"/>
                <w:szCs w:val="24"/>
              </w:rPr>
              <w:t>Board of Elementary and Secondary Education Members</w:t>
            </w:r>
          </w:p>
          <w:p w14:paraId="0AD2BD82" w14:textId="77777777" w:rsidR="00BE2C57" w:rsidRPr="00B826C7" w:rsidRDefault="002E4E28" w:rsidP="00365B11">
            <w:pPr>
              <w:jc w:val="center"/>
            </w:pPr>
            <w:r w:rsidRPr="002E4E28">
              <w:t>Mr. Paul Sagan, Chair, Cambridge</w:t>
            </w:r>
          </w:p>
          <w:p w14:paraId="0AD2BD83" w14:textId="77777777" w:rsidR="00BE2C57" w:rsidRPr="00B826C7" w:rsidRDefault="002E4E28" w:rsidP="00365B11">
            <w:pPr>
              <w:jc w:val="center"/>
            </w:pPr>
            <w:r w:rsidRPr="002E4E28">
              <w:t>Ms. Katherine Craven, Brookline</w:t>
            </w:r>
          </w:p>
          <w:p w14:paraId="0AD2BD84" w14:textId="77777777" w:rsidR="00BE2C57" w:rsidRPr="00B826C7" w:rsidRDefault="002E4E28" w:rsidP="00365B11">
            <w:pPr>
              <w:jc w:val="center"/>
            </w:pPr>
            <w:r w:rsidRPr="002E4E28">
              <w:t>Mr. Edward Doherty, Hyde Park</w:t>
            </w:r>
          </w:p>
          <w:p w14:paraId="0AD2BD85" w14:textId="77777777" w:rsidR="00BE2C57" w:rsidRPr="00B826C7" w:rsidRDefault="002E4E28" w:rsidP="00365B11">
            <w:pPr>
              <w:jc w:val="center"/>
            </w:pPr>
            <w:r w:rsidRPr="002E4E28">
              <w:t>Ms. Margaret McKenna, Boston</w:t>
            </w:r>
          </w:p>
          <w:p w14:paraId="0AD2BD86" w14:textId="77777777" w:rsidR="00BE2C57" w:rsidRPr="00B826C7" w:rsidRDefault="002E4E28" w:rsidP="00365B11">
            <w:pPr>
              <w:jc w:val="center"/>
            </w:pPr>
            <w:r w:rsidRPr="002E4E28">
              <w:t>Mr. Michael Moriarty, Holyoke</w:t>
            </w:r>
          </w:p>
          <w:p w14:paraId="0AD2BD87" w14:textId="77777777" w:rsidR="00BE2C57" w:rsidRPr="00B826C7" w:rsidRDefault="002E4E28" w:rsidP="00365B11">
            <w:pPr>
              <w:jc w:val="center"/>
            </w:pPr>
            <w:r w:rsidRPr="002E4E28">
              <w:t>Mr. James Morton, Vice Chair, Springfield</w:t>
            </w:r>
          </w:p>
          <w:p w14:paraId="0AD2BD88" w14:textId="77777777" w:rsidR="00BE2C57" w:rsidRPr="00B826C7" w:rsidRDefault="002E4E28" w:rsidP="00365B11">
            <w:pPr>
              <w:jc w:val="center"/>
            </w:pPr>
            <w:r w:rsidRPr="002E4E28">
              <w:t>Dr. Pendred Noyce, Boston</w:t>
            </w:r>
          </w:p>
          <w:p w14:paraId="0AD2BD89" w14:textId="77777777" w:rsidR="00BE2C57" w:rsidRPr="00B826C7" w:rsidRDefault="002E4E28" w:rsidP="00365B11">
            <w:pPr>
              <w:jc w:val="center"/>
            </w:pPr>
            <w:r w:rsidRPr="002E4E28">
              <w:t>Mr. James Peyser, Secretary of Education, Milton</w:t>
            </w:r>
          </w:p>
          <w:p w14:paraId="0AD2BD8A" w14:textId="77777777" w:rsidR="00BE2C57" w:rsidRPr="00B826C7" w:rsidRDefault="002E4E28" w:rsidP="00365B11">
            <w:pPr>
              <w:jc w:val="center"/>
            </w:pPr>
            <w:r w:rsidRPr="002E4E28">
              <w:t>Ms. Mary Ann Stewart, Lexington</w:t>
            </w:r>
          </w:p>
          <w:p w14:paraId="0AD2BD8B" w14:textId="77777777" w:rsidR="00BE2C57" w:rsidRPr="00B826C7" w:rsidRDefault="002E4E28" w:rsidP="00365B11">
            <w:pPr>
              <w:jc w:val="center"/>
            </w:pPr>
            <w:r w:rsidRPr="002E4E28">
              <w:t>Ms. Hannah Trimarchi, Chair, Student Advisory Council, Marblehead</w:t>
            </w:r>
          </w:p>
          <w:p w14:paraId="0AD2BD8C" w14:textId="77777777" w:rsidR="00BE2C57" w:rsidRPr="00B826C7" w:rsidRDefault="00BE2C57" w:rsidP="00365B11">
            <w:pPr>
              <w:jc w:val="center"/>
            </w:pPr>
          </w:p>
          <w:p w14:paraId="0AD2BD8D" w14:textId="77777777" w:rsidR="00BE2C57" w:rsidRPr="00B826C7" w:rsidRDefault="00BE2C57" w:rsidP="00365B11">
            <w:pPr>
              <w:jc w:val="center"/>
            </w:pPr>
          </w:p>
          <w:p w14:paraId="0AD2BD8E" w14:textId="77777777" w:rsidR="00BE2C57" w:rsidRPr="00B826C7" w:rsidRDefault="002E4E28" w:rsidP="00365B11">
            <w:pPr>
              <w:jc w:val="center"/>
            </w:pPr>
            <w:r w:rsidRPr="002E4E28">
              <w:t>Jeff Wulfson, Acting Commissioner</w:t>
            </w:r>
          </w:p>
          <w:p w14:paraId="0AD2BD8F" w14:textId="77777777" w:rsidR="00BE2C57" w:rsidRPr="00B826C7" w:rsidRDefault="002E4E28" w:rsidP="00365B11">
            <w:pPr>
              <w:jc w:val="center"/>
            </w:pPr>
            <w:r w:rsidRPr="002E4E28">
              <w:t>Secretary to the Board</w:t>
            </w:r>
          </w:p>
          <w:p w14:paraId="0AD2BD90" w14:textId="77777777" w:rsidR="00BE2C57" w:rsidRPr="00B826C7" w:rsidRDefault="00BE2C57" w:rsidP="00365B11">
            <w:pPr>
              <w:autoSpaceDE w:val="0"/>
              <w:autoSpaceDN w:val="0"/>
              <w:adjustRightInd w:val="0"/>
              <w:jc w:val="center"/>
            </w:pPr>
          </w:p>
          <w:p w14:paraId="0AD2BD91" w14:textId="77777777" w:rsidR="00BE2C57" w:rsidRPr="00B826C7" w:rsidRDefault="00BE2C57" w:rsidP="00365B11">
            <w:pPr>
              <w:autoSpaceDE w:val="0"/>
              <w:autoSpaceDN w:val="0"/>
              <w:adjustRightInd w:val="0"/>
              <w:jc w:val="center"/>
            </w:pPr>
          </w:p>
          <w:p w14:paraId="0AD2BD92" w14:textId="77777777" w:rsidR="00BE2C57" w:rsidRPr="00B826C7" w:rsidRDefault="002E4E28" w:rsidP="00365B11">
            <w:pPr>
              <w:pStyle w:val="BoardMembers"/>
              <w:rPr>
                <w:rFonts w:ascii="Times New Roman" w:hAnsi="Times New Roman"/>
              </w:rPr>
            </w:pPr>
            <w:r w:rsidRPr="002E4E28">
              <w:rPr>
                <w:rFonts w:ascii="Times New Roman" w:hAnsi="Times New Roman"/>
              </w:rPr>
              <w:t xml:space="preserve">The Massachusetts Department of Elementary and Secondary Education, an affirmative action employer, is committed to ensuring that all of its programs and facilities are accessible to all members of the public. </w:t>
            </w:r>
          </w:p>
          <w:p w14:paraId="0AD2BD93" w14:textId="77777777" w:rsidR="00BE2C57" w:rsidRPr="00B826C7" w:rsidRDefault="002E4E28" w:rsidP="00365B11">
            <w:pPr>
              <w:pStyle w:val="BoardMembers"/>
              <w:rPr>
                <w:rFonts w:ascii="Times New Roman" w:hAnsi="Times New Roman"/>
              </w:rPr>
            </w:pPr>
            <w:r w:rsidRPr="002E4E28">
              <w:rPr>
                <w:rFonts w:ascii="Times New Roman" w:hAnsi="Times New Roman"/>
              </w:rPr>
              <w:t xml:space="preserve">We do not discriminate on the basis of age, color, disability, national origin, race, religion, sex, gender identity, or sexual orientation. </w:t>
            </w:r>
          </w:p>
          <w:p w14:paraId="0AD2BD94" w14:textId="77777777" w:rsidR="00BE2C57" w:rsidRPr="00B826C7" w:rsidRDefault="00BE2C57" w:rsidP="00365B11">
            <w:pPr>
              <w:pStyle w:val="BoardMembers"/>
              <w:rPr>
                <w:rFonts w:ascii="Times New Roman" w:hAnsi="Times New Roman"/>
              </w:rPr>
            </w:pPr>
          </w:p>
          <w:p w14:paraId="0AD2BD95" w14:textId="77777777" w:rsidR="00BE2C57" w:rsidRPr="00B826C7" w:rsidRDefault="002E4E28" w:rsidP="00365B11">
            <w:pPr>
              <w:pStyle w:val="BoardMembers"/>
              <w:rPr>
                <w:rFonts w:ascii="Times New Roman" w:hAnsi="Times New Roman"/>
              </w:rPr>
            </w:pPr>
            <w:r w:rsidRPr="002E4E28">
              <w:rPr>
                <w:rFonts w:ascii="Times New Roman" w:hAnsi="Times New Roman"/>
              </w:rPr>
              <w:t xml:space="preserve">Inquiries regarding the Department’s compliance with Title IX and other civil rights laws may be directed to the </w:t>
            </w:r>
          </w:p>
          <w:p w14:paraId="0AD2BD96" w14:textId="77777777" w:rsidR="00BE2C57" w:rsidRPr="00B826C7" w:rsidRDefault="002E4E28" w:rsidP="00365B11">
            <w:pPr>
              <w:pStyle w:val="BoardMembers"/>
              <w:rPr>
                <w:rFonts w:ascii="Times New Roman" w:hAnsi="Times New Roman"/>
              </w:rPr>
            </w:pPr>
            <w:r w:rsidRPr="002E4E28">
              <w:rPr>
                <w:rFonts w:ascii="Times New Roman" w:hAnsi="Times New Roman"/>
              </w:rPr>
              <w:t xml:space="preserve">Human Resources Director, </w:t>
            </w:r>
            <w:r w:rsidRPr="002E4E28">
              <w:rPr>
                <w:rFonts w:ascii="Times New Roman" w:hAnsi="Times New Roman"/>
                <w:snapToGrid w:val="0"/>
              </w:rPr>
              <w:t xml:space="preserve">75 Pleasant </w:t>
            </w:r>
            <w:r w:rsidRPr="002E4E28">
              <w:rPr>
                <w:rFonts w:ascii="Times New Roman" w:hAnsi="Times New Roman"/>
              </w:rPr>
              <w:t>St., Malden, MA 02148-4906. Phone: 781-338-6105.</w:t>
            </w:r>
          </w:p>
          <w:p w14:paraId="0AD2BD97" w14:textId="77777777" w:rsidR="00BE2C57" w:rsidRPr="00B826C7" w:rsidRDefault="00BE2C57" w:rsidP="00365B11">
            <w:pPr>
              <w:rPr>
                <w:sz w:val="20"/>
                <w:szCs w:val="20"/>
              </w:rPr>
            </w:pPr>
          </w:p>
          <w:p w14:paraId="0AD2BD98" w14:textId="77777777" w:rsidR="00BE2C57" w:rsidRPr="00B826C7" w:rsidRDefault="00BE2C57" w:rsidP="00365B11">
            <w:pPr>
              <w:rPr>
                <w:sz w:val="20"/>
                <w:szCs w:val="20"/>
              </w:rPr>
            </w:pPr>
          </w:p>
          <w:p w14:paraId="0AD2BD99" w14:textId="77777777" w:rsidR="00BE2C57" w:rsidRPr="00B826C7" w:rsidRDefault="002E4E28" w:rsidP="00365B11">
            <w:pPr>
              <w:pStyle w:val="BoardMembers"/>
              <w:rPr>
                <w:rFonts w:ascii="Times New Roman" w:hAnsi="Times New Roman"/>
              </w:rPr>
            </w:pPr>
            <w:r w:rsidRPr="002E4E28">
              <w:rPr>
                <w:rFonts w:ascii="Times New Roman" w:hAnsi="Times New Roman"/>
              </w:rPr>
              <w:t>© 2017 Massachusetts Department of Elementary and Secondary Education</w:t>
            </w:r>
          </w:p>
          <w:p w14:paraId="0AD2BD9A" w14:textId="77777777" w:rsidR="00BE2C57" w:rsidRPr="00B826C7" w:rsidRDefault="002E4E28" w:rsidP="00365B11">
            <w:pPr>
              <w:pStyle w:val="Permission"/>
              <w:rPr>
                <w:rFonts w:ascii="Times New Roman" w:hAnsi="Times New Roman"/>
              </w:rPr>
            </w:pPr>
            <w:r w:rsidRPr="002E4E28">
              <w:rPr>
                <w:rFonts w:ascii="Times New Roman" w:hAnsi="Times New Roman"/>
              </w:rPr>
              <w:t>Permission is hereby granted to copy any or all parts of this document for non-commercial educational purposes. Please credit the “Massachusetts Department of Elementary and Secondary Education.”</w:t>
            </w:r>
          </w:p>
          <w:p w14:paraId="0AD2BD9B" w14:textId="77777777" w:rsidR="00BE2C57" w:rsidRPr="00B826C7" w:rsidRDefault="00BE2C57" w:rsidP="00365B11"/>
          <w:p w14:paraId="0AD2BD9C" w14:textId="77777777" w:rsidR="00BE2C57" w:rsidRPr="00B826C7" w:rsidRDefault="002E4E28" w:rsidP="00365B11">
            <w:pPr>
              <w:pStyle w:val="Permission"/>
              <w:rPr>
                <w:rFonts w:ascii="Times New Roman" w:hAnsi="Times New Roman"/>
              </w:rPr>
            </w:pPr>
            <w:r w:rsidRPr="002E4E28">
              <w:rPr>
                <w:rFonts w:ascii="Times New Roman" w:hAnsi="Times New Roman"/>
              </w:rPr>
              <w:t>This document printed on recycled paper</w:t>
            </w:r>
          </w:p>
          <w:p w14:paraId="0AD2BD9D" w14:textId="77777777" w:rsidR="00BE2C57" w:rsidRPr="00B826C7" w:rsidRDefault="00BE2C57" w:rsidP="00365B11"/>
          <w:p w14:paraId="0AD2BD9E" w14:textId="77777777" w:rsidR="00BE2C57" w:rsidRPr="00B826C7" w:rsidRDefault="002E4E28" w:rsidP="00365B11">
            <w:pPr>
              <w:pStyle w:val="BoardMembers"/>
              <w:rPr>
                <w:rFonts w:ascii="Times New Roman" w:hAnsi="Times New Roman"/>
              </w:rPr>
            </w:pPr>
            <w:r w:rsidRPr="002E4E28">
              <w:rPr>
                <w:rFonts w:ascii="Times New Roman" w:hAnsi="Times New Roman"/>
              </w:rPr>
              <w:t>Massachusetts Department of Elementary and Secondary Education</w:t>
            </w:r>
          </w:p>
          <w:p w14:paraId="0AD2BD9F" w14:textId="77777777" w:rsidR="00BE2C57" w:rsidRPr="00B826C7" w:rsidRDefault="002E4E28" w:rsidP="00365B11">
            <w:pPr>
              <w:pStyle w:val="BoardMembers"/>
              <w:rPr>
                <w:rFonts w:ascii="Times New Roman" w:hAnsi="Times New Roman"/>
              </w:rPr>
            </w:pPr>
            <w:r w:rsidRPr="002E4E28">
              <w:rPr>
                <w:rFonts w:ascii="Times New Roman" w:hAnsi="Times New Roman"/>
                <w:snapToGrid w:val="0"/>
              </w:rPr>
              <w:t xml:space="preserve">75 Pleasant </w:t>
            </w:r>
            <w:r w:rsidRPr="002E4E28">
              <w:rPr>
                <w:rFonts w:ascii="Times New Roman" w:hAnsi="Times New Roman"/>
              </w:rPr>
              <w:t xml:space="preserve">Street, </w:t>
            </w:r>
            <w:smartTag w:uri="urn:schemas-microsoft-com:office:smarttags" w:element="place">
              <w:smartTag w:uri="urn:schemas-microsoft-com:office:smarttags" w:element="City">
                <w:r w:rsidRPr="002E4E28">
                  <w:rPr>
                    <w:rFonts w:ascii="Times New Roman" w:hAnsi="Times New Roman"/>
                  </w:rPr>
                  <w:t>Malden</w:t>
                </w:r>
              </w:smartTag>
              <w:r w:rsidRPr="002E4E28">
                <w:rPr>
                  <w:rFonts w:ascii="Times New Roman" w:hAnsi="Times New Roman"/>
                </w:rPr>
                <w:t xml:space="preserve">, </w:t>
              </w:r>
              <w:smartTag w:uri="urn:schemas-microsoft-com:office:smarttags" w:element="State">
                <w:r w:rsidRPr="002E4E28">
                  <w:rPr>
                    <w:rFonts w:ascii="Times New Roman" w:hAnsi="Times New Roman"/>
                  </w:rPr>
                  <w:t>MA</w:t>
                </w:r>
              </w:smartTag>
              <w:r w:rsidRPr="002E4E28">
                <w:rPr>
                  <w:rFonts w:ascii="Times New Roman" w:hAnsi="Times New Roman"/>
                </w:rPr>
                <w:t xml:space="preserve"> </w:t>
              </w:r>
              <w:smartTag w:uri="urn:schemas-microsoft-com:office:smarttags" w:element="PostalCode">
                <w:r w:rsidRPr="002E4E28">
                  <w:rPr>
                    <w:rFonts w:ascii="Times New Roman" w:hAnsi="Times New Roman"/>
                  </w:rPr>
                  <w:t>02148</w:t>
                </w:r>
              </w:smartTag>
            </w:smartTag>
            <w:r w:rsidRPr="002E4E28">
              <w:rPr>
                <w:rFonts w:ascii="Times New Roman" w:hAnsi="Times New Roman"/>
              </w:rPr>
              <w:t>-4906</w:t>
            </w:r>
          </w:p>
          <w:p w14:paraId="0AD2BDA0" w14:textId="77777777" w:rsidR="00BE2C57" w:rsidRPr="00B826C7" w:rsidRDefault="002E4E28" w:rsidP="00365B11">
            <w:pPr>
              <w:pStyle w:val="BoardMembers"/>
              <w:rPr>
                <w:rFonts w:ascii="Times New Roman" w:hAnsi="Times New Roman"/>
              </w:rPr>
            </w:pPr>
            <w:r w:rsidRPr="002E4E28">
              <w:rPr>
                <w:rFonts w:ascii="Times New Roman" w:hAnsi="Times New Roman"/>
              </w:rPr>
              <w:t>Phone 781-338-3000  TTY: N.E.T. Relay 800-439-2370</w:t>
            </w:r>
          </w:p>
          <w:p w14:paraId="0AD2BDA1" w14:textId="77777777" w:rsidR="00BE2C57" w:rsidRPr="00B826C7" w:rsidRDefault="002E4E28" w:rsidP="00365B11">
            <w:pPr>
              <w:pStyle w:val="BoardMembers"/>
              <w:rPr>
                <w:rFonts w:ascii="Times New Roman" w:hAnsi="Times New Roman"/>
              </w:rPr>
            </w:pPr>
            <w:r w:rsidRPr="002E4E28">
              <w:rPr>
                <w:rFonts w:ascii="Times New Roman" w:hAnsi="Times New Roman"/>
              </w:rPr>
              <w:t>www.doe.mass.edu</w:t>
            </w:r>
          </w:p>
          <w:p w14:paraId="0AD2BDA2" w14:textId="77777777" w:rsidR="00BE2C57" w:rsidRPr="00345DE2" w:rsidRDefault="00BE2C57" w:rsidP="00365B11"/>
          <w:p w14:paraId="0AD2BDA3" w14:textId="77777777" w:rsidR="00BE2C57" w:rsidRDefault="00BE2C57" w:rsidP="00365B11">
            <w:pPr>
              <w:jc w:val="center"/>
              <w:rPr>
                <w:sz w:val="18"/>
              </w:rPr>
            </w:pPr>
            <w:r>
              <w:rPr>
                <w:noProof/>
                <w:lang w:eastAsia="zh-CN"/>
              </w:rPr>
              <w:drawing>
                <wp:inline distT="0" distB="0" distL="0" distR="0" wp14:anchorId="0AD2BF2C" wp14:editId="0AD2BF2D">
                  <wp:extent cx="1028700" cy="1019175"/>
                  <wp:effectExtent l="19050" t="0" r="0" b="0"/>
                  <wp:docPr id="7"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4"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14:paraId="0AD2BDA5" w14:textId="77777777" w:rsidR="004D45D4" w:rsidRDefault="004D45D4" w:rsidP="00C118B2"/>
    <w:p w14:paraId="0AD2BDA6" w14:textId="77777777" w:rsidR="00442D67" w:rsidRDefault="00741DF2">
      <w:pPr>
        <w:ind w:left="1260" w:firstLine="720"/>
        <w:rPr>
          <w:rFonts w:ascii="Arial" w:hAnsi="Arial" w:cs="Arial"/>
        </w:rPr>
      </w:pPr>
      <w:r>
        <w:rPr>
          <w:rFonts w:ascii="Arial" w:hAnsi="Arial" w:cs="Arial"/>
          <w:i/>
          <w:noProof/>
          <w:sz w:val="40"/>
          <w:lang w:eastAsia="zh-CN"/>
        </w:rPr>
        <w:drawing>
          <wp:anchor distT="0" distB="0" distL="114300" distR="274320" simplePos="0" relativeHeight="251658240" behindDoc="1" locked="0" layoutInCell="0" allowOverlap="1" wp14:anchorId="0AD2BF2E" wp14:editId="0AD2BF2F">
            <wp:simplePos x="0" y="0"/>
            <wp:positionH relativeFrom="column">
              <wp:posOffset>-502920</wp:posOffset>
            </wp:positionH>
            <wp:positionV relativeFrom="paragraph">
              <wp:posOffset>-274320</wp:posOffset>
            </wp:positionV>
            <wp:extent cx="1090930" cy="1371600"/>
            <wp:effectExtent l="19050" t="0" r="0" b="0"/>
            <wp:wrapNone/>
            <wp:docPr id="23" name="Picture 23"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ssachusetts State Seal"/>
                    <pic:cNvPicPr>
                      <a:picLocks noChangeAspect="1" noChangeArrowheads="1"/>
                    </pic:cNvPicPr>
                  </pic:nvPicPr>
                  <pic:blipFill>
                    <a:blip r:embed="rId15" cstate="print">
                      <a:lum bright="18000"/>
                    </a:blip>
                    <a:srcRect/>
                    <a:stretch>
                      <a:fillRect/>
                    </a:stretch>
                  </pic:blipFill>
                  <pic:spPr bwMode="auto">
                    <a:xfrm>
                      <a:off x="0" y="0"/>
                      <a:ext cx="1090930" cy="1371600"/>
                    </a:xfrm>
                    <a:prstGeom prst="rect">
                      <a:avLst/>
                    </a:prstGeom>
                    <a:noFill/>
                  </pic:spPr>
                </pic:pic>
              </a:graphicData>
            </a:graphic>
          </wp:anchor>
        </w:drawing>
      </w:r>
      <w:r w:rsidR="00FA0025" w:rsidRPr="003B1D70">
        <w:rPr>
          <w:rFonts w:ascii="Arial" w:hAnsi="Arial" w:cs="Arial"/>
          <w:b/>
          <w:i/>
          <w:sz w:val="40"/>
        </w:rPr>
        <w:t>Massachusetts Department of</w:t>
      </w:r>
    </w:p>
    <w:p w14:paraId="0AD2BDA7" w14:textId="77777777" w:rsidR="00FA0025" w:rsidRPr="004C1FFA" w:rsidRDefault="00FA0025" w:rsidP="004C1FFA">
      <w:pPr>
        <w:ind w:left="1260"/>
        <w:rPr>
          <w:rFonts w:ascii="Century Schoolbook" w:hAnsi="Century Schoolbook"/>
        </w:rPr>
      </w:pPr>
      <w:r w:rsidRPr="003B1D70">
        <w:rPr>
          <w:rFonts w:ascii="Arial" w:hAnsi="Arial" w:cs="Arial"/>
          <w:b/>
          <w:i/>
          <w:sz w:val="40"/>
        </w:rPr>
        <w:t xml:space="preserve">Elementary </w:t>
      </w:r>
      <w:r w:rsidR="002C2113" w:rsidRPr="003B1D70">
        <w:rPr>
          <w:rFonts w:ascii="Arial" w:hAnsi="Arial" w:cs="Arial"/>
          <w:b/>
          <w:i/>
          <w:sz w:val="40"/>
        </w:rPr>
        <w:t>&amp;</w:t>
      </w:r>
      <w:r w:rsidRPr="003B1D70">
        <w:rPr>
          <w:rFonts w:ascii="Arial" w:hAnsi="Arial" w:cs="Arial"/>
          <w:b/>
          <w:i/>
          <w:sz w:val="40"/>
        </w:rPr>
        <w:t xml:space="preserve"> Secondary Education</w:t>
      </w:r>
    </w:p>
    <w:p w14:paraId="0AD2BDA8" w14:textId="286E22BA" w:rsidR="00FA0025" w:rsidRPr="00FA0025" w:rsidRDefault="00EF464F" w:rsidP="002C2113">
      <w:pPr>
        <w:ind w:left="1260"/>
      </w:pPr>
      <w:r>
        <w:rPr>
          <w:noProof/>
          <w:lang w:eastAsia="zh-CN"/>
        </w:rPr>
        <mc:AlternateContent>
          <mc:Choice Requires="wps">
            <w:drawing>
              <wp:anchor distT="4294967294" distB="4294967294" distL="114300" distR="114300" simplePos="0" relativeHeight="251657216" behindDoc="0" locked="0" layoutInCell="0" allowOverlap="1" wp14:anchorId="0AD2BF30" wp14:editId="5C364125">
                <wp:simplePos x="0" y="0"/>
                <wp:positionH relativeFrom="column">
                  <wp:posOffset>792480</wp:posOffset>
                </wp:positionH>
                <wp:positionV relativeFrom="paragraph">
                  <wp:posOffset>64769</wp:posOffset>
                </wp:positionV>
                <wp:extent cx="5219065" cy="0"/>
                <wp:effectExtent l="0" t="0" r="635" b="0"/>
                <wp:wrapNone/>
                <wp:docPr id="2" name="Line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065" cy="0"/>
                        </a:xfrm>
                        <a:prstGeom prst="line">
                          <a:avLst/>
                        </a:prstGeom>
                        <a:noFill/>
                        <a:ln w="1270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046426B8" id="Line 2" o:spid="_x0000_s1026" alt="Horizontal line"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4pt,5.1pt" to="473.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" o:allowincell="f" strokeweight="1pt"/>
            </w:pict>
          </mc:Fallback>
        </mc:AlternateContent>
      </w:r>
    </w:p>
    <w:p w14:paraId="0AD2BDA9" w14:textId="77777777" w:rsidR="00FA0025" w:rsidRPr="00FA0025" w:rsidRDefault="003B1D70" w:rsidP="002C2113">
      <w:pPr>
        <w:tabs>
          <w:tab w:val="right" w:pos="9360"/>
        </w:tabs>
        <w:ind w:left="1260"/>
        <w:rPr>
          <w:rFonts w:ascii="Arial" w:hAnsi="Arial" w:cs="Arial"/>
          <w:i/>
          <w:sz w:val="16"/>
          <w:szCs w:val="16"/>
        </w:rPr>
      </w:pPr>
      <w:r>
        <w:rPr>
          <w:rFonts w:ascii="Arial" w:hAnsi="Arial" w:cs="Arial"/>
          <w:i/>
          <w:sz w:val="16"/>
          <w:szCs w:val="16"/>
        </w:rPr>
        <w:t xml:space="preserve">75 Pleasant </w:t>
      </w:r>
      <w:r w:rsidR="002C2113">
        <w:rPr>
          <w:rFonts w:ascii="Arial" w:hAnsi="Arial" w:cs="Arial"/>
          <w:i/>
          <w:sz w:val="16"/>
          <w:szCs w:val="16"/>
        </w:rPr>
        <w:t>Street</w:t>
      </w:r>
      <w:r>
        <w:rPr>
          <w:rFonts w:ascii="Arial" w:hAnsi="Arial" w:cs="Arial"/>
          <w:i/>
          <w:sz w:val="16"/>
          <w:szCs w:val="16"/>
        </w:rPr>
        <w:t>, Malden, Massachusetts 02148-4906</w:t>
      </w:r>
      <w:r w:rsidR="00FA0025" w:rsidRPr="00FA0025">
        <w:rPr>
          <w:rFonts w:ascii="Arial" w:hAnsi="Arial" w:cs="Arial"/>
          <w:i/>
          <w:sz w:val="16"/>
          <w:szCs w:val="16"/>
        </w:rPr>
        <w:tab/>
        <w:t>Telephone: (781) 338-3000</w:t>
      </w:r>
    </w:p>
    <w:p w14:paraId="0AD2BDAA" w14:textId="77777777" w:rsidR="00FA0025" w:rsidRPr="00FA0025" w:rsidRDefault="00FA0025" w:rsidP="002C2113">
      <w:pPr>
        <w:tabs>
          <w:tab w:val="right" w:pos="9360"/>
        </w:tabs>
        <w:ind w:left="1260"/>
        <w:rPr>
          <w:rFonts w:ascii="Arial" w:hAnsi="Arial" w:cs="Arial"/>
          <w:i/>
          <w:sz w:val="16"/>
          <w:szCs w:val="16"/>
        </w:rPr>
      </w:pPr>
      <w:r>
        <w:rPr>
          <w:rFonts w:ascii="Arial" w:hAnsi="Arial" w:cs="Arial"/>
          <w:i/>
          <w:sz w:val="16"/>
          <w:szCs w:val="16"/>
        </w:rPr>
        <w:tab/>
      </w:r>
      <w:r w:rsidRPr="00FA0025">
        <w:rPr>
          <w:rFonts w:ascii="Arial" w:hAnsi="Arial" w:cs="Arial"/>
          <w:i/>
          <w:sz w:val="16"/>
          <w:szCs w:val="16"/>
        </w:rPr>
        <w:t>TTY: N.E.T. Relay 1-800-439-2370</w:t>
      </w:r>
    </w:p>
    <w:p w14:paraId="0AD2BDAB" w14:textId="77777777" w:rsidR="00FA0025" w:rsidRPr="00C974A6" w:rsidRDefault="00FA0025" w:rsidP="00FA0025">
      <w:pPr>
        <w:ind w:left="720"/>
        <w:rPr>
          <w:rFonts w:ascii="Arial" w:hAnsi="Arial"/>
          <w:i/>
          <w:sz w:val="16"/>
          <w:szCs w:val="16"/>
        </w:rPr>
      </w:pPr>
    </w:p>
    <w:p w14:paraId="0AD2BDAC" w14:textId="77777777" w:rsidR="00FA0025" w:rsidRDefault="00FA0025" w:rsidP="00FA0025">
      <w:pPr>
        <w:ind w:left="720"/>
        <w:rPr>
          <w:rFonts w:ascii="Arial" w:hAnsi="Arial"/>
          <w:i/>
          <w:sz w:val="18"/>
        </w:rPr>
        <w:sectPr w:rsidR="00FA0025" w:rsidSect="003F31D5">
          <w:endnotePr>
            <w:numFmt w:val="decimal"/>
          </w:endnotePr>
          <w:pgSz w:w="12240" w:h="15840"/>
          <w:pgMar w:top="864" w:right="1080" w:bottom="1440" w:left="1800" w:header="1440" w:footer="1440" w:gutter="0"/>
          <w:cols w:space="720"/>
          <w:noEndnote/>
          <w:docGrid w:linePitch="326"/>
        </w:sectPr>
      </w:pPr>
    </w:p>
    <w:tbl>
      <w:tblPr>
        <w:tblStyle w:val="TableGrid"/>
        <w:tblpPr w:leftFromText="180" w:rightFromText="180" w:vertAnchor="text" w:horzAnchor="page" w:tblpX="523"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commissioner heading"/>
      </w:tblPr>
      <w:tblGrid>
        <w:gridCol w:w="2603"/>
        <w:gridCol w:w="6757"/>
      </w:tblGrid>
      <w:tr w:rsidR="00E253B2" w:rsidRPr="00C974A6" w14:paraId="0AD2BDB1" w14:textId="77777777" w:rsidTr="00C07E91">
        <w:trPr>
          <w:tblHeader/>
        </w:trPr>
        <w:tc>
          <w:tcPr>
            <w:tcW w:w="2640" w:type="dxa"/>
          </w:tcPr>
          <w:p w14:paraId="0AD2BDAD" w14:textId="77777777" w:rsidR="00E253B2" w:rsidRPr="00FA7DF8" w:rsidRDefault="00E253B2" w:rsidP="00E253B2">
            <w:pPr>
              <w:jc w:val="center"/>
              <w:rPr>
                <w:rFonts w:ascii="Arial" w:hAnsi="Arial" w:cs="Arial"/>
                <w:sz w:val="14"/>
                <w:szCs w:val="14"/>
              </w:rPr>
            </w:pPr>
          </w:p>
          <w:p w14:paraId="0AD2BDAE" w14:textId="77777777" w:rsidR="00BE2C57" w:rsidRPr="009C084A" w:rsidRDefault="00BE2C57" w:rsidP="00BE2C57">
            <w:pPr>
              <w:jc w:val="center"/>
              <w:rPr>
                <w:rFonts w:ascii="Arial" w:hAnsi="Arial" w:cs="Arial"/>
                <w:sz w:val="16"/>
                <w:szCs w:val="16"/>
              </w:rPr>
            </w:pPr>
            <w:r>
              <w:rPr>
                <w:rFonts w:ascii="Arial" w:hAnsi="Arial" w:cs="Arial"/>
                <w:sz w:val="16"/>
                <w:szCs w:val="16"/>
              </w:rPr>
              <w:t>Jeff Wulfson</w:t>
            </w:r>
          </w:p>
          <w:p w14:paraId="0AD2BDAF" w14:textId="77777777" w:rsidR="00E253B2" w:rsidRPr="00E90934" w:rsidRDefault="00BE2C57" w:rsidP="00BE2C57">
            <w:pPr>
              <w:jc w:val="center"/>
              <w:rPr>
                <w:rFonts w:ascii="Arial" w:hAnsi="Arial"/>
                <w:i/>
                <w:sz w:val="16"/>
                <w:szCs w:val="16"/>
              </w:rPr>
            </w:pPr>
            <w:r>
              <w:rPr>
                <w:rFonts w:ascii="Arial" w:hAnsi="Arial"/>
                <w:i/>
                <w:sz w:val="16"/>
                <w:szCs w:val="16"/>
              </w:rPr>
              <w:t xml:space="preserve">Acting </w:t>
            </w:r>
            <w:r w:rsidRPr="009C084A">
              <w:rPr>
                <w:rFonts w:ascii="Arial" w:hAnsi="Arial"/>
                <w:i/>
                <w:sz w:val="16"/>
                <w:szCs w:val="16"/>
              </w:rPr>
              <w:t>Commissioner</w:t>
            </w:r>
          </w:p>
        </w:tc>
        <w:tc>
          <w:tcPr>
            <w:tcW w:w="6936" w:type="dxa"/>
          </w:tcPr>
          <w:p w14:paraId="0AD2BDB0" w14:textId="77777777" w:rsidR="00E253B2" w:rsidRPr="00C974A6" w:rsidRDefault="00E253B2" w:rsidP="00E253B2">
            <w:pPr>
              <w:jc w:val="center"/>
              <w:rPr>
                <w:rFonts w:ascii="Arial" w:hAnsi="Arial"/>
                <w:i/>
                <w:sz w:val="16"/>
                <w:szCs w:val="16"/>
              </w:rPr>
            </w:pPr>
          </w:p>
        </w:tc>
      </w:tr>
    </w:tbl>
    <w:p w14:paraId="0AD2BDB2" w14:textId="77777777" w:rsidR="00FA0025" w:rsidRPr="00C974A6" w:rsidRDefault="00FA0025" w:rsidP="00FA0025">
      <w:pPr>
        <w:ind w:left="720"/>
        <w:jc w:val="center"/>
        <w:rPr>
          <w:rFonts w:ascii="Arial" w:hAnsi="Arial"/>
          <w:i/>
          <w:sz w:val="16"/>
          <w:szCs w:val="16"/>
        </w:rPr>
      </w:pPr>
    </w:p>
    <w:p w14:paraId="0AD2BDB3" w14:textId="77777777" w:rsidR="00FA0025" w:rsidRDefault="00FA0025" w:rsidP="00FA0025">
      <w:pPr>
        <w:rPr>
          <w:rFonts w:ascii="Arial" w:hAnsi="Arial"/>
          <w:i/>
          <w:sz w:val="18"/>
        </w:rPr>
      </w:pPr>
    </w:p>
    <w:p w14:paraId="0AD2BDB4" w14:textId="77777777" w:rsidR="00E253B2" w:rsidRDefault="00E253B2" w:rsidP="00FA0025"/>
    <w:p w14:paraId="0AD2BDB5" w14:textId="77777777" w:rsidR="006B1961" w:rsidRDefault="00270233" w:rsidP="006B1961">
      <w:pPr>
        <w:spacing w:before="120" w:after="240"/>
      </w:pPr>
      <w:r>
        <w:t xml:space="preserve">September </w:t>
      </w:r>
      <w:r w:rsidR="00937E57">
        <w:t>2017</w:t>
      </w:r>
    </w:p>
    <w:p w14:paraId="0AD2BDB6" w14:textId="77777777" w:rsidR="006B1961" w:rsidRDefault="006B1961" w:rsidP="006B1961">
      <w:pPr>
        <w:spacing w:before="120" w:after="240"/>
      </w:pPr>
      <w:r>
        <w:t>Dear Members of the General Court:</w:t>
      </w:r>
    </w:p>
    <w:p w14:paraId="0AD2BDB7" w14:textId="77777777" w:rsidR="002C2113" w:rsidRDefault="006B1961" w:rsidP="006B1961">
      <w:pPr>
        <w:spacing w:before="120" w:after="240"/>
      </w:pPr>
      <w:r>
        <w:t>I am pleased to submit this Report to the Legislature: Annual Report on Students with Disabilities 2015-</w:t>
      </w:r>
      <w:r w:rsidR="00456909">
        <w:t>2</w:t>
      </w:r>
      <w:r>
        <w:t xml:space="preserve">016. </w:t>
      </w:r>
      <w:r w:rsidR="00365B11">
        <w:t>Similar reports have</w:t>
      </w:r>
      <w:r>
        <w:t xml:space="preserve"> been provided to the Legislature on an annual basis since the year 2000.</w:t>
      </w:r>
    </w:p>
    <w:p w14:paraId="0AD2BDB8" w14:textId="77777777" w:rsidR="001740D7" w:rsidRDefault="001740D7" w:rsidP="001740D7">
      <w:pPr>
        <w:spacing w:before="120" w:after="240"/>
      </w:pPr>
      <w:r>
        <w:t>In June 2016</w:t>
      </w:r>
      <w:r w:rsidRPr="001740D7">
        <w:t xml:space="preserve">, </w:t>
      </w:r>
      <w:r w:rsidR="00E5114D" w:rsidRPr="001740D7">
        <w:t>the U.S. Office of Special Education Programs (OSEP)</w:t>
      </w:r>
      <w:r w:rsidR="00E5114D">
        <w:t xml:space="preserve"> </w:t>
      </w:r>
      <w:r w:rsidRPr="001740D7">
        <w:t xml:space="preserve">notified the </w:t>
      </w:r>
      <w:r w:rsidR="00365B11">
        <w:t xml:space="preserve">Massachusetts </w:t>
      </w:r>
      <w:r w:rsidRPr="001740D7">
        <w:t xml:space="preserve">Department of Elementary and Secondary Education (“the Department”) that, for the </w:t>
      </w:r>
      <w:r w:rsidR="00E5114D">
        <w:t>third</w:t>
      </w:r>
      <w:r w:rsidRPr="001740D7">
        <w:t xml:space="preserve"> year in a row, Massa</w:t>
      </w:r>
      <w:r w:rsidR="00A60561">
        <w:t>chusetts met</w:t>
      </w:r>
      <w:r w:rsidRPr="001740D7">
        <w:t xml:space="preserve"> the requirements of </w:t>
      </w:r>
      <w:r w:rsidR="00365B11">
        <w:t>the Individuals with Disabilities Education Act (IDEA)</w:t>
      </w:r>
      <w:r w:rsidRPr="001740D7">
        <w:t>. This is the highest accolade tha</w:t>
      </w:r>
      <w:r w:rsidR="00E5114D">
        <w:t xml:space="preserve">t a state can receive from OSEP and is based on the totality of the </w:t>
      </w:r>
      <w:r w:rsidR="005C1711">
        <w:t>Commonwealth’s</w:t>
      </w:r>
      <w:r w:rsidR="00E5114D">
        <w:t xml:space="preserve"> data on student participation and performance. At the same time that </w:t>
      </w:r>
      <w:r w:rsidR="00365B11">
        <w:t>our state is</w:t>
      </w:r>
      <w:r w:rsidR="00E5114D">
        <w:t xml:space="preserve"> </w:t>
      </w:r>
      <w:r w:rsidR="005C1711">
        <w:t>meeting these high standards, we seek continuous improvement to prepare all students for success after high school.</w:t>
      </w:r>
    </w:p>
    <w:p w14:paraId="0AD2BDB9" w14:textId="77777777" w:rsidR="00574CA4" w:rsidRDefault="0079520D" w:rsidP="00937E57">
      <w:pPr>
        <w:spacing w:before="120" w:after="240"/>
      </w:pPr>
      <w:r>
        <w:t>In 2015,</w:t>
      </w:r>
      <w:r w:rsidR="00937E57">
        <w:t xml:space="preserve"> </w:t>
      </w:r>
      <w:r w:rsidR="00F4520B">
        <w:t xml:space="preserve">the Department experienced a significant reduction in staff, in large part due to </w:t>
      </w:r>
      <w:r w:rsidR="00365B11">
        <w:t xml:space="preserve">an </w:t>
      </w:r>
      <w:r w:rsidR="00F4520B">
        <w:t xml:space="preserve">early retirement incentive program </w:t>
      </w:r>
      <w:r w:rsidR="00365B11">
        <w:t xml:space="preserve">for staff </w:t>
      </w:r>
      <w:r w:rsidR="00F4520B">
        <w:t xml:space="preserve">and the end of our federal </w:t>
      </w:r>
      <w:r w:rsidR="002E4E28" w:rsidRPr="002E4E28">
        <w:rPr>
          <w:i/>
        </w:rPr>
        <w:t xml:space="preserve">Race to the </w:t>
      </w:r>
      <w:proofErr w:type="gramStart"/>
      <w:r w:rsidR="002E4E28" w:rsidRPr="002E4E28">
        <w:rPr>
          <w:i/>
        </w:rPr>
        <w:t>Top</w:t>
      </w:r>
      <w:proofErr w:type="gramEnd"/>
      <w:r w:rsidR="00F4520B">
        <w:t xml:space="preserve"> funding. </w:t>
      </w:r>
      <w:r w:rsidR="00365B11">
        <w:t>The Department then</w:t>
      </w:r>
      <w:r>
        <w:t xml:space="preserve"> launched a</w:t>
      </w:r>
      <w:r w:rsidR="00365B11">
        <w:t xml:space="preserve"> </w:t>
      </w:r>
      <w:r>
        <w:t>n</w:t>
      </w:r>
      <w:r w:rsidR="00365B11">
        <w:t>ew</w:t>
      </w:r>
      <w:r>
        <w:t xml:space="preserve"> initiative</w:t>
      </w:r>
      <w:r w:rsidR="0070743D">
        <w:t xml:space="preserve"> with the assistance of Parthenon-EY, a strategic consulting firm,</w:t>
      </w:r>
      <w:r>
        <w:t xml:space="preserve"> </w:t>
      </w:r>
      <w:r w:rsidR="00937E57">
        <w:t xml:space="preserve">to take stock of </w:t>
      </w:r>
      <w:r w:rsidR="00365B11">
        <w:t>its</w:t>
      </w:r>
      <w:r w:rsidR="00937E57">
        <w:t xml:space="preserve"> organizational structure and identify changes that </w:t>
      </w:r>
      <w:r w:rsidR="00365B11">
        <w:t>could be made</w:t>
      </w:r>
      <w:r w:rsidR="00937E57">
        <w:t xml:space="preserve"> to enhance coordination and planning while helping </w:t>
      </w:r>
      <w:r w:rsidR="00574CA4">
        <w:t xml:space="preserve">its staff and leadership </w:t>
      </w:r>
      <w:r w:rsidR="00937E57">
        <w:t>work more efficiently and effectively.</w:t>
      </w:r>
      <w:r>
        <w:t xml:space="preserve"> </w:t>
      </w:r>
      <w:r w:rsidR="00937E57">
        <w:t>Parthenon-EY</w:t>
      </w:r>
      <w:r w:rsidR="0070743D">
        <w:t xml:space="preserve">’s </w:t>
      </w:r>
      <w:hyperlink r:id="rId16" w:history="1">
        <w:r w:rsidR="0070743D" w:rsidRPr="0070743D">
          <w:rPr>
            <w:rStyle w:val="Hyperlink"/>
          </w:rPr>
          <w:t>re</w:t>
        </w:r>
        <w:r w:rsidR="007333C9">
          <w:rPr>
            <w:rStyle w:val="Hyperlink"/>
          </w:rPr>
          <w:t>commendations</w:t>
        </w:r>
        <w:r w:rsidR="0070743D" w:rsidRPr="0070743D">
          <w:rPr>
            <w:rStyle w:val="Hyperlink"/>
          </w:rPr>
          <w:t>,</w:t>
        </w:r>
      </w:hyperlink>
      <w:r w:rsidR="0070743D">
        <w:t xml:space="preserve"> submitted to the Board of Elementary and Secondary Education in March 2016,</w:t>
      </w:r>
      <w:r w:rsidR="00937E57">
        <w:t xml:space="preserve"> focus</w:t>
      </w:r>
      <w:r w:rsidR="00574CA4">
        <w:t>ed</w:t>
      </w:r>
      <w:r w:rsidR="00937E57">
        <w:t xml:space="preserve"> on integrating and aligning work across the agency, </w:t>
      </w:r>
      <w:r w:rsidR="009E66C6">
        <w:t xml:space="preserve">including </w:t>
      </w:r>
      <w:r w:rsidR="00937E57">
        <w:t>combining related functions into a</w:t>
      </w:r>
      <w:r w:rsidR="007C0CC1">
        <w:t>n</w:t>
      </w:r>
      <w:r w:rsidR="00574CA4">
        <w:t xml:space="preserve"> Office of</w:t>
      </w:r>
      <w:r w:rsidR="00937E57">
        <w:t xml:space="preserve"> Student </w:t>
      </w:r>
      <w:r w:rsidR="00574CA4">
        <w:t xml:space="preserve">and Family </w:t>
      </w:r>
      <w:r w:rsidR="007C0CC1">
        <w:t xml:space="preserve">Support </w:t>
      </w:r>
      <w:r w:rsidR="009E66C6">
        <w:t>to</w:t>
      </w:r>
      <w:r w:rsidR="00574CA4">
        <w:t xml:space="preserve"> help provide programs and supports that help all students gain the knowledge, skills and values needed to be well prepared for post secondary options as well as a career and citizenship.</w:t>
      </w:r>
      <w:r w:rsidR="007333C9">
        <w:t xml:space="preserve"> </w:t>
      </w:r>
    </w:p>
    <w:p w14:paraId="0AD2BDBA" w14:textId="77777777" w:rsidR="00E20CF6" w:rsidRDefault="00E20CF6" w:rsidP="00937E57">
      <w:pPr>
        <w:spacing w:before="120" w:after="240"/>
      </w:pPr>
      <w:r w:rsidRPr="00507912">
        <w:t xml:space="preserve">This report highlights our </w:t>
      </w:r>
      <w:r w:rsidR="00507912">
        <w:t xml:space="preserve">2015-2016 </w:t>
      </w:r>
      <w:r w:rsidR="00031ED8">
        <w:t>achievements</w:t>
      </w:r>
      <w:r w:rsidRPr="00507912">
        <w:t xml:space="preserve"> and </w:t>
      </w:r>
      <w:r w:rsidR="00574CA4">
        <w:t>continuing efforts made</w:t>
      </w:r>
      <w:r w:rsidR="00507912">
        <w:t xml:space="preserve"> toward maintaining our record of </w:t>
      </w:r>
      <w:r w:rsidR="001B428C">
        <w:t xml:space="preserve">meeting requirements under IDEA, </w:t>
      </w:r>
      <w:r w:rsidR="00574CA4">
        <w:t xml:space="preserve">reorganizing </w:t>
      </w:r>
      <w:r w:rsidR="001B428C">
        <w:t xml:space="preserve">our system of student </w:t>
      </w:r>
      <w:r w:rsidR="00574CA4">
        <w:t xml:space="preserve">and family </w:t>
      </w:r>
      <w:r w:rsidR="001B428C">
        <w:t>supports, and</w:t>
      </w:r>
      <w:r w:rsidR="003341DD">
        <w:t xml:space="preserve"> improving </w:t>
      </w:r>
      <w:r w:rsidR="00A60561">
        <w:t xml:space="preserve">outcomes for students with disabilities. </w:t>
      </w:r>
      <w:r w:rsidRPr="00507912">
        <w:t>If you</w:t>
      </w:r>
      <w:r w:rsidRPr="00E20CF6">
        <w:t xml:space="preserve"> have any questions, please feel free to contact me.</w:t>
      </w:r>
    </w:p>
    <w:p w14:paraId="0AD2BDBB" w14:textId="77777777" w:rsidR="001740D7" w:rsidRDefault="001740D7" w:rsidP="0014018E">
      <w:pPr>
        <w:spacing w:before="120" w:after="840"/>
      </w:pPr>
      <w:r>
        <w:t>Sincerely,</w:t>
      </w:r>
    </w:p>
    <w:p w14:paraId="0AD2BDBC" w14:textId="77777777" w:rsidR="00A253EF" w:rsidRDefault="00BE2C57" w:rsidP="00A253EF">
      <w:pPr>
        <w:spacing w:before="120"/>
      </w:pPr>
      <w:r>
        <w:t>Jeff Wulfson</w:t>
      </w:r>
    </w:p>
    <w:p w14:paraId="0AD2BDBD" w14:textId="77777777" w:rsidR="001740D7" w:rsidRDefault="00B31DF8" w:rsidP="00A253EF">
      <w:pPr>
        <w:spacing w:before="120"/>
        <w:contextualSpacing/>
      </w:pPr>
      <w:r w:rsidRPr="00B31DF8">
        <w:t>Acting Commissioner of Elementary and Secondary Education</w:t>
      </w:r>
    </w:p>
    <w:p w14:paraId="0AD2BDBE" w14:textId="77777777" w:rsidR="006B1961" w:rsidRDefault="006B1961" w:rsidP="00FA0025"/>
    <w:p w14:paraId="0AD2BDBF" w14:textId="77777777" w:rsidR="00FA0025" w:rsidRDefault="00FA0025" w:rsidP="00FA0025"/>
    <w:p w14:paraId="0AD2BDC0" w14:textId="77777777" w:rsidR="003F3636" w:rsidRPr="009A5EBB" w:rsidRDefault="003F3636" w:rsidP="005A367D">
      <w:pPr>
        <w:pStyle w:val="ESETOCHeading"/>
        <w:rPr>
          <w:rFonts w:ascii="Times New Roman" w:hAnsi="Times New Roman"/>
        </w:rPr>
      </w:pPr>
      <w:r w:rsidRPr="009A5EBB">
        <w:rPr>
          <w:rFonts w:ascii="Times New Roman" w:hAnsi="Times New Roman"/>
        </w:rPr>
        <w:t>Table of Contents</w:t>
      </w:r>
    </w:p>
    <w:p w14:paraId="0AD2BDC1" w14:textId="77777777" w:rsidR="005133F5" w:rsidRDefault="00661E08">
      <w:pPr>
        <w:pStyle w:val="TOC1"/>
        <w:rPr>
          <w:rFonts w:asciiTheme="minorHAnsi" w:eastAsiaTheme="minorEastAsia" w:hAnsiTheme="minorHAnsi" w:cstheme="minorBidi"/>
          <w:b w:val="0"/>
          <w:noProof/>
          <w:sz w:val="22"/>
          <w:szCs w:val="22"/>
        </w:rPr>
      </w:pPr>
      <w:r>
        <w:fldChar w:fldCharType="begin"/>
      </w:r>
      <w:r w:rsidR="003F3636">
        <w:instrText xml:space="preserve"> TOC \o "1-3" \h \z \u </w:instrText>
      </w:r>
      <w:r>
        <w:fldChar w:fldCharType="separate"/>
      </w:r>
      <w:hyperlink w:anchor="_Toc484008157" w:history="1">
        <w:r w:rsidR="005133F5" w:rsidRPr="0033293B">
          <w:rPr>
            <w:rStyle w:val="Hyperlink"/>
            <w:noProof/>
          </w:rPr>
          <w:t>I. Introduction</w:t>
        </w:r>
        <w:r w:rsidR="005133F5">
          <w:rPr>
            <w:noProof/>
            <w:webHidden/>
          </w:rPr>
          <w:tab/>
        </w:r>
        <w:r>
          <w:rPr>
            <w:noProof/>
            <w:webHidden/>
          </w:rPr>
          <w:fldChar w:fldCharType="begin"/>
        </w:r>
        <w:r w:rsidR="005133F5">
          <w:rPr>
            <w:noProof/>
            <w:webHidden/>
          </w:rPr>
          <w:instrText xml:space="preserve"> PAGEREF _Toc484008157 \h </w:instrText>
        </w:r>
        <w:r>
          <w:rPr>
            <w:noProof/>
            <w:webHidden/>
          </w:rPr>
        </w:r>
        <w:r>
          <w:rPr>
            <w:noProof/>
            <w:webHidden/>
          </w:rPr>
          <w:fldChar w:fldCharType="separate"/>
        </w:r>
        <w:r w:rsidR="00C034DC">
          <w:rPr>
            <w:noProof/>
            <w:webHidden/>
          </w:rPr>
          <w:t>1</w:t>
        </w:r>
        <w:r>
          <w:rPr>
            <w:noProof/>
            <w:webHidden/>
          </w:rPr>
          <w:fldChar w:fldCharType="end"/>
        </w:r>
      </w:hyperlink>
    </w:p>
    <w:p w14:paraId="0AD2BDC2" w14:textId="77777777" w:rsidR="005133F5" w:rsidRDefault="004215EF">
      <w:pPr>
        <w:pStyle w:val="TOC1"/>
        <w:rPr>
          <w:rFonts w:asciiTheme="minorHAnsi" w:eastAsiaTheme="minorEastAsia" w:hAnsiTheme="minorHAnsi" w:cstheme="minorBidi"/>
          <w:b w:val="0"/>
          <w:noProof/>
          <w:sz w:val="22"/>
          <w:szCs w:val="22"/>
        </w:rPr>
      </w:pPr>
      <w:hyperlink w:anchor="_Toc484008158" w:history="1">
        <w:r w:rsidR="005133F5" w:rsidRPr="0033293B">
          <w:rPr>
            <w:rStyle w:val="Hyperlink"/>
            <w:noProof/>
          </w:rPr>
          <w:t>II. Background: Enrollment and Finances</w:t>
        </w:r>
        <w:r w:rsidR="005133F5">
          <w:rPr>
            <w:noProof/>
            <w:webHidden/>
          </w:rPr>
          <w:tab/>
        </w:r>
        <w:r w:rsidR="00661E08">
          <w:rPr>
            <w:noProof/>
            <w:webHidden/>
          </w:rPr>
          <w:fldChar w:fldCharType="begin"/>
        </w:r>
        <w:r w:rsidR="005133F5">
          <w:rPr>
            <w:noProof/>
            <w:webHidden/>
          </w:rPr>
          <w:instrText xml:space="preserve"> PAGEREF _Toc484008158 \h </w:instrText>
        </w:r>
        <w:r w:rsidR="00661E08">
          <w:rPr>
            <w:noProof/>
            <w:webHidden/>
          </w:rPr>
        </w:r>
        <w:r w:rsidR="00661E08">
          <w:rPr>
            <w:noProof/>
            <w:webHidden/>
          </w:rPr>
          <w:fldChar w:fldCharType="separate"/>
        </w:r>
        <w:r w:rsidR="00C034DC">
          <w:rPr>
            <w:noProof/>
            <w:webHidden/>
          </w:rPr>
          <w:t>1</w:t>
        </w:r>
        <w:r w:rsidR="00661E08">
          <w:rPr>
            <w:noProof/>
            <w:webHidden/>
          </w:rPr>
          <w:fldChar w:fldCharType="end"/>
        </w:r>
      </w:hyperlink>
    </w:p>
    <w:p w14:paraId="0AD2BDC3" w14:textId="77777777" w:rsidR="005133F5" w:rsidRDefault="004215EF">
      <w:pPr>
        <w:pStyle w:val="TOC2"/>
        <w:tabs>
          <w:tab w:val="left" w:pos="720"/>
          <w:tab w:val="right" w:leader="dot" w:pos="9350"/>
        </w:tabs>
        <w:rPr>
          <w:rFonts w:asciiTheme="minorHAnsi" w:eastAsiaTheme="minorEastAsia" w:hAnsiTheme="minorHAnsi" w:cstheme="minorBidi"/>
          <w:noProof/>
          <w:sz w:val="22"/>
          <w:szCs w:val="22"/>
        </w:rPr>
      </w:pPr>
      <w:hyperlink w:anchor="_Toc484008159" w:history="1">
        <w:r w:rsidR="005133F5" w:rsidRPr="0033293B">
          <w:rPr>
            <w:rStyle w:val="Hyperlink"/>
            <w:noProof/>
          </w:rPr>
          <w:t>A.</w:t>
        </w:r>
        <w:r w:rsidR="005133F5">
          <w:rPr>
            <w:rFonts w:asciiTheme="minorHAnsi" w:eastAsiaTheme="minorEastAsia" w:hAnsiTheme="minorHAnsi" w:cstheme="minorBidi"/>
            <w:noProof/>
            <w:sz w:val="22"/>
            <w:szCs w:val="22"/>
          </w:rPr>
          <w:tab/>
        </w:r>
        <w:r w:rsidR="005133F5" w:rsidRPr="0033293B">
          <w:rPr>
            <w:rStyle w:val="Hyperlink"/>
            <w:noProof/>
          </w:rPr>
          <w:t>Longitudinal Enrollment</w:t>
        </w:r>
        <w:r w:rsidR="005133F5">
          <w:rPr>
            <w:noProof/>
            <w:webHidden/>
          </w:rPr>
          <w:tab/>
        </w:r>
        <w:r w:rsidR="00661E08">
          <w:rPr>
            <w:noProof/>
            <w:webHidden/>
          </w:rPr>
          <w:fldChar w:fldCharType="begin"/>
        </w:r>
        <w:r w:rsidR="005133F5">
          <w:rPr>
            <w:noProof/>
            <w:webHidden/>
          </w:rPr>
          <w:instrText xml:space="preserve"> PAGEREF _Toc484008159 \h </w:instrText>
        </w:r>
        <w:r w:rsidR="00661E08">
          <w:rPr>
            <w:noProof/>
            <w:webHidden/>
          </w:rPr>
        </w:r>
        <w:r w:rsidR="00661E08">
          <w:rPr>
            <w:noProof/>
            <w:webHidden/>
          </w:rPr>
          <w:fldChar w:fldCharType="separate"/>
        </w:r>
        <w:r w:rsidR="00C034DC">
          <w:rPr>
            <w:noProof/>
            <w:webHidden/>
          </w:rPr>
          <w:t>1</w:t>
        </w:r>
        <w:r w:rsidR="00661E08">
          <w:rPr>
            <w:noProof/>
            <w:webHidden/>
          </w:rPr>
          <w:fldChar w:fldCharType="end"/>
        </w:r>
      </w:hyperlink>
    </w:p>
    <w:p w14:paraId="0AD2BDC4" w14:textId="77777777" w:rsidR="005133F5" w:rsidRDefault="004215EF">
      <w:pPr>
        <w:pStyle w:val="TOC2"/>
        <w:tabs>
          <w:tab w:val="left" w:pos="720"/>
          <w:tab w:val="right" w:leader="dot" w:pos="9350"/>
        </w:tabs>
        <w:rPr>
          <w:rFonts w:asciiTheme="minorHAnsi" w:eastAsiaTheme="minorEastAsia" w:hAnsiTheme="minorHAnsi" w:cstheme="minorBidi"/>
          <w:noProof/>
          <w:sz w:val="22"/>
          <w:szCs w:val="22"/>
        </w:rPr>
      </w:pPr>
      <w:hyperlink w:anchor="_Toc484008160" w:history="1">
        <w:r w:rsidR="005133F5" w:rsidRPr="0033293B">
          <w:rPr>
            <w:rStyle w:val="Hyperlink"/>
            <w:noProof/>
          </w:rPr>
          <w:t>B.</w:t>
        </w:r>
        <w:r w:rsidR="005133F5">
          <w:rPr>
            <w:rFonts w:asciiTheme="minorHAnsi" w:eastAsiaTheme="minorEastAsia" w:hAnsiTheme="minorHAnsi" w:cstheme="minorBidi"/>
            <w:noProof/>
            <w:sz w:val="22"/>
            <w:szCs w:val="22"/>
          </w:rPr>
          <w:tab/>
        </w:r>
        <w:r w:rsidR="005133F5" w:rsidRPr="0033293B">
          <w:rPr>
            <w:rStyle w:val="Hyperlink"/>
            <w:noProof/>
          </w:rPr>
          <w:t>Student Identification by Disability Category</w:t>
        </w:r>
        <w:r w:rsidR="005133F5">
          <w:rPr>
            <w:noProof/>
            <w:webHidden/>
          </w:rPr>
          <w:tab/>
        </w:r>
        <w:r w:rsidR="00661E08">
          <w:rPr>
            <w:noProof/>
            <w:webHidden/>
          </w:rPr>
          <w:fldChar w:fldCharType="begin"/>
        </w:r>
        <w:r w:rsidR="005133F5">
          <w:rPr>
            <w:noProof/>
            <w:webHidden/>
          </w:rPr>
          <w:instrText xml:space="preserve"> PAGEREF _Toc484008160 \h </w:instrText>
        </w:r>
        <w:r w:rsidR="00661E08">
          <w:rPr>
            <w:noProof/>
            <w:webHidden/>
          </w:rPr>
        </w:r>
        <w:r w:rsidR="00661E08">
          <w:rPr>
            <w:noProof/>
            <w:webHidden/>
          </w:rPr>
          <w:fldChar w:fldCharType="separate"/>
        </w:r>
        <w:r w:rsidR="00C034DC">
          <w:rPr>
            <w:noProof/>
            <w:webHidden/>
          </w:rPr>
          <w:t>2</w:t>
        </w:r>
        <w:r w:rsidR="00661E08">
          <w:rPr>
            <w:noProof/>
            <w:webHidden/>
          </w:rPr>
          <w:fldChar w:fldCharType="end"/>
        </w:r>
      </w:hyperlink>
    </w:p>
    <w:p w14:paraId="0AD2BDC5" w14:textId="77777777" w:rsidR="005133F5" w:rsidRDefault="004215EF">
      <w:pPr>
        <w:pStyle w:val="TOC2"/>
        <w:tabs>
          <w:tab w:val="left" w:pos="720"/>
          <w:tab w:val="right" w:leader="dot" w:pos="9350"/>
        </w:tabs>
        <w:rPr>
          <w:rFonts w:asciiTheme="minorHAnsi" w:eastAsiaTheme="minorEastAsia" w:hAnsiTheme="minorHAnsi" w:cstheme="minorBidi"/>
          <w:noProof/>
          <w:sz w:val="22"/>
          <w:szCs w:val="22"/>
        </w:rPr>
      </w:pPr>
      <w:hyperlink w:anchor="_Toc484008161" w:history="1">
        <w:r w:rsidR="005133F5" w:rsidRPr="0033293B">
          <w:rPr>
            <w:rStyle w:val="Hyperlink"/>
            <w:noProof/>
          </w:rPr>
          <w:t>C.</w:t>
        </w:r>
        <w:r w:rsidR="005133F5">
          <w:rPr>
            <w:rFonts w:asciiTheme="minorHAnsi" w:eastAsiaTheme="minorEastAsia" w:hAnsiTheme="minorHAnsi" w:cstheme="minorBidi"/>
            <w:noProof/>
            <w:sz w:val="22"/>
            <w:szCs w:val="22"/>
          </w:rPr>
          <w:tab/>
        </w:r>
        <w:r w:rsidR="005133F5" w:rsidRPr="0033293B">
          <w:rPr>
            <w:rStyle w:val="Hyperlink"/>
            <w:noProof/>
          </w:rPr>
          <w:t>Financial Summary</w:t>
        </w:r>
        <w:r w:rsidR="005133F5">
          <w:rPr>
            <w:noProof/>
            <w:webHidden/>
          </w:rPr>
          <w:tab/>
        </w:r>
        <w:r w:rsidR="00661E08">
          <w:rPr>
            <w:noProof/>
            <w:webHidden/>
          </w:rPr>
          <w:fldChar w:fldCharType="begin"/>
        </w:r>
        <w:r w:rsidR="005133F5">
          <w:rPr>
            <w:noProof/>
            <w:webHidden/>
          </w:rPr>
          <w:instrText xml:space="preserve"> PAGEREF _Toc484008161 \h </w:instrText>
        </w:r>
        <w:r w:rsidR="00661E08">
          <w:rPr>
            <w:noProof/>
            <w:webHidden/>
          </w:rPr>
        </w:r>
        <w:r w:rsidR="00661E08">
          <w:rPr>
            <w:noProof/>
            <w:webHidden/>
          </w:rPr>
          <w:fldChar w:fldCharType="separate"/>
        </w:r>
        <w:r w:rsidR="00C034DC">
          <w:rPr>
            <w:noProof/>
            <w:webHidden/>
          </w:rPr>
          <w:t>3</w:t>
        </w:r>
        <w:r w:rsidR="00661E08">
          <w:rPr>
            <w:noProof/>
            <w:webHidden/>
          </w:rPr>
          <w:fldChar w:fldCharType="end"/>
        </w:r>
      </w:hyperlink>
    </w:p>
    <w:p w14:paraId="0AD2BDC6" w14:textId="77777777" w:rsidR="005133F5" w:rsidRDefault="004215EF">
      <w:pPr>
        <w:pStyle w:val="TOC2"/>
        <w:tabs>
          <w:tab w:val="left" w:pos="720"/>
          <w:tab w:val="right" w:leader="dot" w:pos="9350"/>
        </w:tabs>
        <w:rPr>
          <w:rFonts w:asciiTheme="minorHAnsi" w:eastAsiaTheme="minorEastAsia" w:hAnsiTheme="minorHAnsi" w:cstheme="minorBidi"/>
          <w:noProof/>
          <w:sz w:val="22"/>
          <w:szCs w:val="22"/>
        </w:rPr>
      </w:pPr>
      <w:hyperlink w:anchor="_Toc484008162" w:history="1">
        <w:r w:rsidR="005133F5" w:rsidRPr="0033293B">
          <w:rPr>
            <w:rStyle w:val="Hyperlink"/>
            <w:noProof/>
          </w:rPr>
          <w:t>D.</w:t>
        </w:r>
        <w:r w:rsidR="005133F5">
          <w:rPr>
            <w:rFonts w:asciiTheme="minorHAnsi" w:eastAsiaTheme="minorEastAsia" w:hAnsiTheme="minorHAnsi" w:cstheme="minorBidi"/>
            <w:noProof/>
            <w:sz w:val="22"/>
            <w:szCs w:val="22"/>
          </w:rPr>
          <w:tab/>
        </w:r>
        <w:r w:rsidR="005133F5" w:rsidRPr="0033293B">
          <w:rPr>
            <w:rStyle w:val="Hyperlink"/>
            <w:noProof/>
          </w:rPr>
          <w:t>School-Based Medicaid</w:t>
        </w:r>
        <w:r w:rsidR="005133F5">
          <w:rPr>
            <w:noProof/>
            <w:webHidden/>
          </w:rPr>
          <w:tab/>
        </w:r>
        <w:r w:rsidR="00661E08">
          <w:rPr>
            <w:noProof/>
            <w:webHidden/>
          </w:rPr>
          <w:fldChar w:fldCharType="begin"/>
        </w:r>
        <w:r w:rsidR="005133F5">
          <w:rPr>
            <w:noProof/>
            <w:webHidden/>
          </w:rPr>
          <w:instrText xml:space="preserve"> PAGEREF _Toc484008162 \h </w:instrText>
        </w:r>
        <w:r w:rsidR="00661E08">
          <w:rPr>
            <w:noProof/>
            <w:webHidden/>
          </w:rPr>
        </w:r>
        <w:r w:rsidR="00661E08">
          <w:rPr>
            <w:noProof/>
            <w:webHidden/>
          </w:rPr>
          <w:fldChar w:fldCharType="separate"/>
        </w:r>
        <w:r w:rsidR="00C034DC">
          <w:rPr>
            <w:noProof/>
            <w:webHidden/>
          </w:rPr>
          <w:t>4</w:t>
        </w:r>
        <w:r w:rsidR="00661E08">
          <w:rPr>
            <w:noProof/>
            <w:webHidden/>
          </w:rPr>
          <w:fldChar w:fldCharType="end"/>
        </w:r>
      </w:hyperlink>
    </w:p>
    <w:p w14:paraId="0AD2BDC7" w14:textId="77777777" w:rsidR="005133F5" w:rsidRDefault="004215EF">
      <w:pPr>
        <w:pStyle w:val="TOC2"/>
        <w:tabs>
          <w:tab w:val="left" w:pos="720"/>
          <w:tab w:val="right" w:leader="dot" w:pos="9350"/>
        </w:tabs>
        <w:rPr>
          <w:rFonts w:asciiTheme="minorHAnsi" w:eastAsiaTheme="minorEastAsia" w:hAnsiTheme="minorHAnsi" w:cstheme="minorBidi"/>
          <w:noProof/>
          <w:sz w:val="22"/>
          <w:szCs w:val="22"/>
        </w:rPr>
      </w:pPr>
      <w:hyperlink w:anchor="_Toc484008163" w:history="1">
        <w:r w:rsidR="005133F5" w:rsidRPr="0033293B">
          <w:rPr>
            <w:rStyle w:val="Hyperlink"/>
            <w:noProof/>
          </w:rPr>
          <w:t>E.</w:t>
        </w:r>
        <w:r w:rsidR="005133F5">
          <w:rPr>
            <w:rFonts w:asciiTheme="minorHAnsi" w:eastAsiaTheme="minorEastAsia" w:hAnsiTheme="minorHAnsi" w:cstheme="minorBidi"/>
            <w:noProof/>
            <w:sz w:val="22"/>
            <w:szCs w:val="22"/>
          </w:rPr>
          <w:tab/>
        </w:r>
        <w:r w:rsidR="005133F5" w:rsidRPr="0033293B">
          <w:rPr>
            <w:rStyle w:val="Hyperlink"/>
            <w:noProof/>
          </w:rPr>
          <w:t>Circuit Breaker</w:t>
        </w:r>
        <w:r w:rsidR="005133F5">
          <w:rPr>
            <w:noProof/>
            <w:webHidden/>
          </w:rPr>
          <w:tab/>
        </w:r>
        <w:r w:rsidR="00661E08">
          <w:rPr>
            <w:noProof/>
            <w:webHidden/>
          </w:rPr>
          <w:fldChar w:fldCharType="begin"/>
        </w:r>
        <w:r w:rsidR="005133F5">
          <w:rPr>
            <w:noProof/>
            <w:webHidden/>
          </w:rPr>
          <w:instrText xml:space="preserve"> PAGEREF _Toc484008163 \h </w:instrText>
        </w:r>
        <w:r w:rsidR="00661E08">
          <w:rPr>
            <w:noProof/>
            <w:webHidden/>
          </w:rPr>
        </w:r>
        <w:r w:rsidR="00661E08">
          <w:rPr>
            <w:noProof/>
            <w:webHidden/>
          </w:rPr>
          <w:fldChar w:fldCharType="separate"/>
        </w:r>
        <w:r w:rsidR="00C034DC">
          <w:rPr>
            <w:noProof/>
            <w:webHidden/>
          </w:rPr>
          <w:t>6</w:t>
        </w:r>
        <w:r w:rsidR="00661E08">
          <w:rPr>
            <w:noProof/>
            <w:webHidden/>
          </w:rPr>
          <w:fldChar w:fldCharType="end"/>
        </w:r>
      </w:hyperlink>
    </w:p>
    <w:p w14:paraId="0AD2BDC8" w14:textId="77777777" w:rsidR="005133F5" w:rsidRDefault="004215EF">
      <w:pPr>
        <w:pStyle w:val="TOC1"/>
        <w:rPr>
          <w:rFonts w:asciiTheme="minorHAnsi" w:eastAsiaTheme="minorEastAsia" w:hAnsiTheme="minorHAnsi" w:cstheme="minorBidi"/>
          <w:b w:val="0"/>
          <w:noProof/>
          <w:sz w:val="22"/>
          <w:szCs w:val="22"/>
        </w:rPr>
      </w:pPr>
      <w:hyperlink w:anchor="_Toc484008164" w:history="1">
        <w:r w:rsidR="005133F5" w:rsidRPr="0033293B">
          <w:rPr>
            <w:rStyle w:val="Hyperlink"/>
            <w:noProof/>
          </w:rPr>
          <w:t>III. FY16 in Review</w:t>
        </w:r>
        <w:r w:rsidR="005133F5">
          <w:rPr>
            <w:noProof/>
            <w:webHidden/>
          </w:rPr>
          <w:tab/>
        </w:r>
        <w:r w:rsidR="00661E08">
          <w:rPr>
            <w:noProof/>
            <w:webHidden/>
          </w:rPr>
          <w:fldChar w:fldCharType="begin"/>
        </w:r>
        <w:r w:rsidR="005133F5">
          <w:rPr>
            <w:noProof/>
            <w:webHidden/>
          </w:rPr>
          <w:instrText xml:space="preserve"> PAGEREF _Toc484008164 \h </w:instrText>
        </w:r>
        <w:r w:rsidR="00661E08">
          <w:rPr>
            <w:noProof/>
            <w:webHidden/>
          </w:rPr>
        </w:r>
        <w:r w:rsidR="00661E08">
          <w:rPr>
            <w:noProof/>
            <w:webHidden/>
          </w:rPr>
          <w:fldChar w:fldCharType="separate"/>
        </w:r>
        <w:r w:rsidR="00C034DC">
          <w:rPr>
            <w:noProof/>
            <w:webHidden/>
          </w:rPr>
          <w:t>6</w:t>
        </w:r>
        <w:r w:rsidR="00661E08">
          <w:rPr>
            <w:noProof/>
            <w:webHidden/>
          </w:rPr>
          <w:fldChar w:fldCharType="end"/>
        </w:r>
      </w:hyperlink>
    </w:p>
    <w:p w14:paraId="0AD2BDC9" w14:textId="77777777" w:rsidR="005133F5" w:rsidRDefault="004215EF">
      <w:pPr>
        <w:pStyle w:val="TOC2"/>
        <w:tabs>
          <w:tab w:val="left" w:pos="720"/>
          <w:tab w:val="right" w:leader="dot" w:pos="9350"/>
        </w:tabs>
        <w:rPr>
          <w:rFonts w:asciiTheme="minorHAnsi" w:eastAsiaTheme="minorEastAsia" w:hAnsiTheme="minorHAnsi" w:cstheme="minorBidi"/>
          <w:noProof/>
          <w:sz w:val="22"/>
          <w:szCs w:val="22"/>
        </w:rPr>
      </w:pPr>
      <w:hyperlink w:anchor="_Toc484008165" w:history="1">
        <w:r w:rsidR="005133F5" w:rsidRPr="0033293B">
          <w:rPr>
            <w:rStyle w:val="Hyperlink"/>
            <w:noProof/>
          </w:rPr>
          <w:t>A.</w:t>
        </w:r>
        <w:r w:rsidR="005133F5">
          <w:rPr>
            <w:rFonts w:asciiTheme="minorHAnsi" w:eastAsiaTheme="minorEastAsia" w:hAnsiTheme="minorHAnsi" w:cstheme="minorBidi"/>
            <w:noProof/>
            <w:sz w:val="22"/>
            <w:szCs w:val="22"/>
          </w:rPr>
          <w:tab/>
        </w:r>
        <w:r w:rsidR="005133F5" w:rsidRPr="0033293B">
          <w:rPr>
            <w:rStyle w:val="Hyperlink"/>
            <w:noProof/>
          </w:rPr>
          <w:t>ESE Reorganization and the Office of Special Services</w:t>
        </w:r>
        <w:r w:rsidR="005133F5">
          <w:rPr>
            <w:noProof/>
            <w:webHidden/>
          </w:rPr>
          <w:tab/>
        </w:r>
        <w:r w:rsidR="00661E08">
          <w:rPr>
            <w:noProof/>
            <w:webHidden/>
          </w:rPr>
          <w:fldChar w:fldCharType="begin"/>
        </w:r>
        <w:r w:rsidR="005133F5">
          <w:rPr>
            <w:noProof/>
            <w:webHidden/>
          </w:rPr>
          <w:instrText xml:space="preserve"> PAGEREF _Toc484008165 \h </w:instrText>
        </w:r>
        <w:r w:rsidR="00661E08">
          <w:rPr>
            <w:noProof/>
            <w:webHidden/>
          </w:rPr>
        </w:r>
        <w:r w:rsidR="00661E08">
          <w:rPr>
            <w:noProof/>
            <w:webHidden/>
          </w:rPr>
          <w:fldChar w:fldCharType="separate"/>
        </w:r>
        <w:r w:rsidR="00C034DC">
          <w:rPr>
            <w:noProof/>
            <w:webHidden/>
          </w:rPr>
          <w:t>6</w:t>
        </w:r>
        <w:r w:rsidR="00661E08">
          <w:rPr>
            <w:noProof/>
            <w:webHidden/>
          </w:rPr>
          <w:fldChar w:fldCharType="end"/>
        </w:r>
      </w:hyperlink>
    </w:p>
    <w:p w14:paraId="0AD2BDCA" w14:textId="77777777" w:rsidR="005133F5" w:rsidRDefault="004215EF">
      <w:pPr>
        <w:pStyle w:val="TOC3"/>
        <w:tabs>
          <w:tab w:val="left" w:pos="960"/>
          <w:tab w:val="right" w:leader="dot" w:pos="9350"/>
        </w:tabs>
        <w:rPr>
          <w:rFonts w:asciiTheme="minorHAnsi" w:eastAsiaTheme="minorEastAsia" w:hAnsiTheme="minorHAnsi" w:cstheme="minorBidi"/>
          <w:noProof/>
          <w:szCs w:val="22"/>
        </w:rPr>
      </w:pPr>
      <w:hyperlink w:anchor="_Toc484008166" w:history="1">
        <w:r w:rsidR="005133F5" w:rsidRPr="0033293B">
          <w:rPr>
            <w:rStyle w:val="Hyperlink"/>
            <w:noProof/>
          </w:rPr>
          <w:t>1.</w:t>
        </w:r>
        <w:r w:rsidR="005133F5">
          <w:rPr>
            <w:rFonts w:asciiTheme="minorHAnsi" w:eastAsiaTheme="minorEastAsia" w:hAnsiTheme="minorHAnsi" w:cstheme="minorBidi"/>
            <w:noProof/>
            <w:szCs w:val="22"/>
          </w:rPr>
          <w:tab/>
        </w:r>
        <w:r w:rsidR="005133F5" w:rsidRPr="0033293B">
          <w:rPr>
            <w:rStyle w:val="Hyperlink"/>
            <w:noProof/>
          </w:rPr>
          <w:t>Special Education Planning and Policy Development Office</w:t>
        </w:r>
        <w:r w:rsidR="005133F5">
          <w:rPr>
            <w:noProof/>
            <w:webHidden/>
          </w:rPr>
          <w:tab/>
        </w:r>
        <w:r w:rsidR="00661E08">
          <w:rPr>
            <w:noProof/>
            <w:webHidden/>
          </w:rPr>
          <w:fldChar w:fldCharType="begin"/>
        </w:r>
        <w:r w:rsidR="005133F5">
          <w:rPr>
            <w:noProof/>
            <w:webHidden/>
          </w:rPr>
          <w:instrText xml:space="preserve"> PAGEREF _Toc484008166 \h </w:instrText>
        </w:r>
        <w:r w:rsidR="00661E08">
          <w:rPr>
            <w:noProof/>
            <w:webHidden/>
          </w:rPr>
        </w:r>
        <w:r w:rsidR="00661E08">
          <w:rPr>
            <w:noProof/>
            <w:webHidden/>
          </w:rPr>
          <w:fldChar w:fldCharType="separate"/>
        </w:r>
        <w:r w:rsidR="00C034DC">
          <w:rPr>
            <w:noProof/>
            <w:webHidden/>
          </w:rPr>
          <w:t>7</w:t>
        </w:r>
        <w:r w:rsidR="00661E08">
          <w:rPr>
            <w:noProof/>
            <w:webHidden/>
          </w:rPr>
          <w:fldChar w:fldCharType="end"/>
        </w:r>
      </w:hyperlink>
    </w:p>
    <w:p w14:paraId="0AD2BDCB" w14:textId="77777777" w:rsidR="005133F5" w:rsidRDefault="004215EF">
      <w:pPr>
        <w:pStyle w:val="TOC3"/>
        <w:tabs>
          <w:tab w:val="left" w:pos="960"/>
          <w:tab w:val="right" w:leader="dot" w:pos="9350"/>
        </w:tabs>
        <w:rPr>
          <w:rFonts w:asciiTheme="minorHAnsi" w:eastAsiaTheme="minorEastAsia" w:hAnsiTheme="minorHAnsi" w:cstheme="minorBidi"/>
          <w:noProof/>
          <w:szCs w:val="22"/>
        </w:rPr>
      </w:pPr>
      <w:hyperlink w:anchor="_Toc484008167" w:history="1">
        <w:r w:rsidR="005133F5" w:rsidRPr="0033293B">
          <w:rPr>
            <w:rStyle w:val="Hyperlink"/>
            <w:noProof/>
          </w:rPr>
          <w:t>2.</w:t>
        </w:r>
        <w:r w:rsidR="005133F5">
          <w:rPr>
            <w:rFonts w:asciiTheme="minorHAnsi" w:eastAsiaTheme="minorEastAsia" w:hAnsiTheme="minorHAnsi" w:cstheme="minorBidi"/>
            <w:noProof/>
            <w:szCs w:val="22"/>
          </w:rPr>
          <w:tab/>
        </w:r>
        <w:r w:rsidR="005133F5" w:rsidRPr="0033293B">
          <w:rPr>
            <w:rStyle w:val="Hyperlink"/>
            <w:noProof/>
          </w:rPr>
          <w:t>Special Education in Institutional Settings Office</w:t>
        </w:r>
        <w:r w:rsidR="005133F5">
          <w:rPr>
            <w:noProof/>
            <w:webHidden/>
          </w:rPr>
          <w:tab/>
        </w:r>
        <w:r w:rsidR="00661E08">
          <w:rPr>
            <w:noProof/>
            <w:webHidden/>
          </w:rPr>
          <w:fldChar w:fldCharType="begin"/>
        </w:r>
        <w:r w:rsidR="005133F5">
          <w:rPr>
            <w:noProof/>
            <w:webHidden/>
          </w:rPr>
          <w:instrText xml:space="preserve"> PAGEREF _Toc484008167 \h </w:instrText>
        </w:r>
        <w:r w:rsidR="00661E08">
          <w:rPr>
            <w:noProof/>
            <w:webHidden/>
          </w:rPr>
        </w:r>
        <w:r w:rsidR="00661E08">
          <w:rPr>
            <w:noProof/>
            <w:webHidden/>
          </w:rPr>
          <w:fldChar w:fldCharType="separate"/>
        </w:r>
        <w:r w:rsidR="00C034DC">
          <w:rPr>
            <w:noProof/>
            <w:webHidden/>
          </w:rPr>
          <w:t>8</w:t>
        </w:r>
        <w:r w:rsidR="00661E08">
          <w:rPr>
            <w:noProof/>
            <w:webHidden/>
          </w:rPr>
          <w:fldChar w:fldCharType="end"/>
        </w:r>
      </w:hyperlink>
    </w:p>
    <w:p w14:paraId="0AD2BDCC" w14:textId="77777777" w:rsidR="005133F5" w:rsidRDefault="004215EF">
      <w:pPr>
        <w:pStyle w:val="TOC3"/>
        <w:tabs>
          <w:tab w:val="left" w:pos="960"/>
          <w:tab w:val="right" w:leader="dot" w:pos="9350"/>
        </w:tabs>
        <w:rPr>
          <w:rFonts w:asciiTheme="minorHAnsi" w:eastAsiaTheme="minorEastAsia" w:hAnsiTheme="minorHAnsi" w:cstheme="minorBidi"/>
          <w:noProof/>
          <w:szCs w:val="22"/>
        </w:rPr>
      </w:pPr>
      <w:hyperlink w:anchor="_Toc484008168" w:history="1">
        <w:r w:rsidR="005133F5" w:rsidRPr="0033293B">
          <w:rPr>
            <w:rStyle w:val="Hyperlink"/>
            <w:noProof/>
          </w:rPr>
          <w:t>3.</w:t>
        </w:r>
        <w:r w:rsidR="005133F5">
          <w:rPr>
            <w:rFonts w:asciiTheme="minorHAnsi" w:eastAsiaTheme="minorEastAsia" w:hAnsiTheme="minorHAnsi" w:cstheme="minorBidi"/>
            <w:noProof/>
            <w:szCs w:val="22"/>
          </w:rPr>
          <w:tab/>
        </w:r>
        <w:r w:rsidR="005133F5" w:rsidRPr="0033293B">
          <w:rPr>
            <w:rStyle w:val="Hyperlink"/>
            <w:noProof/>
          </w:rPr>
          <w:t>Office of Approved Special Education Schools</w:t>
        </w:r>
        <w:r w:rsidR="005133F5">
          <w:rPr>
            <w:noProof/>
            <w:webHidden/>
          </w:rPr>
          <w:tab/>
        </w:r>
        <w:r w:rsidR="00661E08">
          <w:rPr>
            <w:noProof/>
            <w:webHidden/>
          </w:rPr>
          <w:fldChar w:fldCharType="begin"/>
        </w:r>
        <w:r w:rsidR="005133F5">
          <w:rPr>
            <w:noProof/>
            <w:webHidden/>
          </w:rPr>
          <w:instrText xml:space="preserve"> PAGEREF _Toc484008168 \h </w:instrText>
        </w:r>
        <w:r w:rsidR="00661E08">
          <w:rPr>
            <w:noProof/>
            <w:webHidden/>
          </w:rPr>
        </w:r>
        <w:r w:rsidR="00661E08">
          <w:rPr>
            <w:noProof/>
            <w:webHidden/>
          </w:rPr>
          <w:fldChar w:fldCharType="separate"/>
        </w:r>
        <w:r w:rsidR="00C034DC">
          <w:rPr>
            <w:noProof/>
            <w:webHidden/>
          </w:rPr>
          <w:t>8</w:t>
        </w:r>
        <w:r w:rsidR="00661E08">
          <w:rPr>
            <w:noProof/>
            <w:webHidden/>
          </w:rPr>
          <w:fldChar w:fldCharType="end"/>
        </w:r>
      </w:hyperlink>
    </w:p>
    <w:p w14:paraId="0AD2BDCD" w14:textId="77777777" w:rsidR="005133F5" w:rsidRDefault="004215EF">
      <w:pPr>
        <w:pStyle w:val="TOC3"/>
        <w:tabs>
          <w:tab w:val="left" w:pos="960"/>
          <w:tab w:val="right" w:leader="dot" w:pos="9350"/>
        </w:tabs>
        <w:rPr>
          <w:rFonts w:asciiTheme="minorHAnsi" w:eastAsiaTheme="minorEastAsia" w:hAnsiTheme="minorHAnsi" w:cstheme="minorBidi"/>
          <w:noProof/>
          <w:szCs w:val="22"/>
        </w:rPr>
      </w:pPr>
      <w:hyperlink w:anchor="_Toc484008169" w:history="1">
        <w:r w:rsidR="005133F5" w:rsidRPr="0033293B">
          <w:rPr>
            <w:rStyle w:val="Hyperlink"/>
            <w:noProof/>
          </w:rPr>
          <w:t>4.</w:t>
        </w:r>
        <w:r w:rsidR="005133F5">
          <w:rPr>
            <w:rFonts w:asciiTheme="minorHAnsi" w:eastAsiaTheme="minorEastAsia" w:hAnsiTheme="minorHAnsi" w:cstheme="minorBidi"/>
            <w:noProof/>
            <w:szCs w:val="22"/>
          </w:rPr>
          <w:tab/>
        </w:r>
        <w:r w:rsidR="005133F5" w:rsidRPr="0033293B">
          <w:rPr>
            <w:rStyle w:val="Hyperlink"/>
            <w:noProof/>
          </w:rPr>
          <w:t>Office of Public School Monitoring</w:t>
        </w:r>
        <w:r w:rsidR="005133F5">
          <w:rPr>
            <w:noProof/>
            <w:webHidden/>
          </w:rPr>
          <w:tab/>
        </w:r>
        <w:r w:rsidR="00661E08">
          <w:rPr>
            <w:noProof/>
            <w:webHidden/>
          </w:rPr>
          <w:fldChar w:fldCharType="begin"/>
        </w:r>
        <w:r w:rsidR="005133F5">
          <w:rPr>
            <w:noProof/>
            <w:webHidden/>
          </w:rPr>
          <w:instrText xml:space="preserve"> PAGEREF _Toc484008169 \h </w:instrText>
        </w:r>
        <w:r w:rsidR="00661E08">
          <w:rPr>
            <w:noProof/>
            <w:webHidden/>
          </w:rPr>
        </w:r>
        <w:r w:rsidR="00661E08">
          <w:rPr>
            <w:noProof/>
            <w:webHidden/>
          </w:rPr>
          <w:fldChar w:fldCharType="separate"/>
        </w:r>
        <w:r w:rsidR="00C034DC">
          <w:rPr>
            <w:noProof/>
            <w:webHidden/>
          </w:rPr>
          <w:t>10</w:t>
        </w:r>
        <w:r w:rsidR="00661E08">
          <w:rPr>
            <w:noProof/>
            <w:webHidden/>
          </w:rPr>
          <w:fldChar w:fldCharType="end"/>
        </w:r>
      </w:hyperlink>
    </w:p>
    <w:p w14:paraId="0AD2BDCE" w14:textId="77777777" w:rsidR="005133F5" w:rsidRDefault="004215EF">
      <w:pPr>
        <w:pStyle w:val="TOC2"/>
        <w:tabs>
          <w:tab w:val="left" w:pos="720"/>
          <w:tab w:val="right" w:leader="dot" w:pos="9350"/>
        </w:tabs>
        <w:rPr>
          <w:rFonts w:asciiTheme="minorHAnsi" w:eastAsiaTheme="minorEastAsia" w:hAnsiTheme="minorHAnsi" w:cstheme="minorBidi"/>
          <w:noProof/>
          <w:sz w:val="22"/>
          <w:szCs w:val="22"/>
        </w:rPr>
      </w:pPr>
      <w:hyperlink w:anchor="_Toc484008170" w:history="1">
        <w:r w:rsidR="005133F5" w:rsidRPr="0033293B">
          <w:rPr>
            <w:rStyle w:val="Hyperlink"/>
            <w:noProof/>
          </w:rPr>
          <w:t>B.</w:t>
        </w:r>
        <w:r w:rsidR="005133F5">
          <w:rPr>
            <w:rFonts w:asciiTheme="minorHAnsi" w:eastAsiaTheme="minorEastAsia" w:hAnsiTheme="minorHAnsi" w:cstheme="minorBidi"/>
            <w:noProof/>
            <w:sz w:val="22"/>
            <w:szCs w:val="22"/>
          </w:rPr>
          <w:tab/>
        </w:r>
        <w:r w:rsidR="005133F5" w:rsidRPr="0033293B">
          <w:rPr>
            <w:rStyle w:val="Hyperlink"/>
            <w:noProof/>
          </w:rPr>
          <w:t>Educational Collaboratives</w:t>
        </w:r>
        <w:r w:rsidR="005133F5">
          <w:rPr>
            <w:noProof/>
            <w:webHidden/>
          </w:rPr>
          <w:tab/>
        </w:r>
        <w:r w:rsidR="00661E08">
          <w:rPr>
            <w:noProof/>
            <w:webHidden/>
          </w:rPr>
          <w:fldChar w:fldCharType="begin"/>
        </w:r>
        <w:r w:rsidR="005133F5">
          <w:rPr>
            <w:noProof/>
            <w:webHidden/>
          </w:rPr>
          <w:instrText xml:space="preserve"> PAGEREF _Toc484008170 \h </w:instrText>
        </w:r>
        <w:r w:rsidR="00661E08">
          <w:rPr>
            <w:noProof/>
            <w:webHidden/>
          </w:rPr>
        </w:r>
        <w:r w:rsidR="00661E08">
          <w:rPr>
            <w:noProof/>
            <w:webHidden/>
          </w:rPr>
          <w:fldChar w:fldCharType="separate"/>
        </w:r>
        <w:r w:rsidR="00C034DC">
          <w:rPr>
            <w:noProof/>
            <w:webHidden/>
          </w:rPr>
          <w:t>10</w:t>
        </w:r>
        <w:r w:rsidR="00661E08">
          <w:rPr>
            <w:noProof/>
            <w:webHidden/>
          </w:rPr>
          <w:fldChar w:fldCharType="end"/>
        </w:r>
      </w:hyperlink>
    </w:p>
    <w:p w14:paraId="0AD2BDCF" w14:textId="77777777" w:rsidR="005133F5" w:rsidRDefault="004215EF">
      <w:pPr>
        <w:pStyle w:val="TOC2"/>
        <w:tabs>
          <w:tab w:val="left" w:pos="720"/>
          <w:tab w:val="right" w:leader="dot" w:pos="9350"/>
        </w:tabs>
        <w:rPr>
          <w:rFonts w:asciiTheme="minorHAnsi" w:eastAsiaTheme="minorEastAsia" w:hAnsiTheme="minorHAnsi" w:cstheme="minorBidi"/>
          <w:noProof/>
          <w:sz w:val="22"/>
          <w:szCs w:val="22"/>
        </w:rPr>
      </w:pPr>
      <w:hyperlink w:anchor="_Toc484008171" w:history="1">
        <w:r w:rsidR="005133F5" w:rsidRPr="0033293B">
          <w:rPr>
            <w:rStyle w:val="Hyperlink"/>
            <w:noProof/>
          </w:rPr>
          <w:t>C.</w:t>
        </w:r>
        <w:r w:rsidR="005133F5">
          <w:rPr>
            <w:rFonts w:asciiTheme="minorHAnsi" w:eastAsiaTheme="minorEastAsia" w:hAnsiTheme="minorHAnsi" w:cstheme="minorBidi"/>
            <w:noProof/>
            <w:sz w:val="22"/>
            <w:szCs w:val="22"/>
          </w:rPr>
          <w:tab/>
        </w:r>
        <w:r w:rsidR="005133F5" w:rsidRPr="0033293B">
          <w:rPr>
            <w:rStyle w:val="Hyperlink"/>
            <w:noProof/>
          </w:rPr>
          <w:t>Bureau of Special Education Appeals</w:t>
        </w:r>
        <w:r w:rsidR="005133F5">
          <w:rPr>
            <w:noProof/>
            <w:webHidden/>
          </w:rPr>
          <w:tab/>
        </w:r>
        <w:r w:rsidR="00661E08">
          <w:rPr>
            <w:noProof/>
            <w:webHidden/>
          </w:rPr>
          <w:fldChar w:fldCharType="begin"/>
        </w:r>
        <w:r w:rsidR="005133F5">
          <w:rPr>
            <w:noProof/>
            <w:webHidden/>
          </w:rPr>
          <w:instrText xml:space="preserve"> PAGEREF _Toc484008171 \h </w:instrText>
        </w:r>
        <w:r w:rsidR="00661E08">
          <w:rPr>
            <w:noProof/>
            <w:webHidden/>
          </w:rPr>
        </w:r>
        <w:r w:rsidR="00661E08">
          <w:rPr>
            <w:noProof/>
            <w:webHidden/>
          </w:rPr>
          <w:fldChar w:fldCharType="separate"/>
        </w:r>
        <w:r w:rsidR="00C034DC">
          <w:rPr>
            <w:noProof/>
            <w:webHidden/>
          </w:rPr>
          <w:t>10</w:t>
        </w:r>
        <w:r w:rsidR="00661E08">
          <w:rPr>
            <w:noProof/>
            <w:webHidden/>
          </w:rPr>
          <w:fldChar w:fldCharType="end"/>
        </w:r>
      </w:hyperlink>
    </w:p>
    <w:p w14:paraId="0AD2BDD0" w14:textId="77777777" w:rsidR="005133F5" w:rsidRDefault="004215EF">
      <w:pPr>
        <w:pStyle w:val="TOC1"/>
        <w:tabs>
          <w:tab w:val="left" w:pos="720"/>
        </w:tabs>
        <w:rPr>
          <w:rFonts w:asciiTheme="minorHAnsi" w:eastAsiaTheme="minorEastAsia" w:hAnsiTheme="minorHAnsi" w:cstheme="minorBidi"/>
          <w:b w:val="0"/>
          <w:noProof/>
          <w:sz w:val="22"/>
          <w:szCs w:val="22"/>
        </w:rPr>
      </w:pPr>
      <w:hyperlink w:anchor="_Toc484008172" w:history="1">
        <w:r w:rsidR="005133F5" w:rsidRPr="0033293B">
          <w:rPr>
            <w:rStyle w:val="Hyperlink"/>
            <w:noProof/>
          </w:rPr>
          <w:t xml:space="preserve">IV. </w:t>
        </w:r>
        <w:r w:rsidR="005133F5">
          <w:rPr>
            <w:rFonts w:asciiTheme="minorHAnsi" w:eastAsiaTheme="minorEastAsia" w:hAnsiTheme="minorHAnsi" w:cstheme="minorBidi"/>
            <w:b w:val="0"/>
            <w:noProof/>
            <w:sz w:val="22"/>
            <w:szCs w:val="22"/>
          </w:rPr>
          <w:tab/>
        </w:r>
        <w:r w:rsidR="005133F5" w:rsidRPr="0033293B">
          <w:rPr>
            <w:rStyle w:val="Hyperlink"/>
            <w:noProof/>
          </w:rPr>
          <w:t>For More Information</w:t>
        </w:r>
        <w:r w:rsidR="005133F5">
          <w:rPr>
            <w:noProof/>
            <w:webHidden/>
          </w:rPr>
          <w:tab/>
        </w:r>
        <w:r w:rsidR="00661E08">
          <w:rPr>
            <w:noProof/>
            <w:webHidden/>
          </w:rPr>
          <w:fldChar w:fldCharType="begin"/>
        </w:r>
        <w:r w:rsidR="005133F5">
          <w:rPr>
            <w:noProof/>
            <w:webHidden/>
          </w:rPr>
          <w:instrText xml:space="preserve"> PAGEREF _Toc484008172 \h </w:instrText>
        </w:r>
        <w:r w:rsidR="00661E08">
          <w:rPr>
            <w:noProof/>
            <w:webHidden/>
          </w:rPr>
        </w:r>
        <w:r w:rsidR="00661E08">
          <w:rPr>
            <w:noProof/>
            <w:webHidden/>
          </w:rPr>
          <w:fldChar w:fldCharType="separate"/>
        </w:r>
        <w:r w:rsidR="00C034DC">
          <w:rPr>
            <w:noProof/>
            <w:webHidden/>
          </w:rPr>
          <w:t>11</w:t>
        </w:r>
        <w:r w:rsidR="00661E08">
          <w:rPr>
            <w:noProof/>
            <w:webHidden/>
          </w:rPr>
          <w:fldChar w:fldCharType="end"/>
        </w:r>
      </w:hyperlink>
    </w:p>
    <w:p w14:paraId="0AD2BDD1" w14:textId="77777777" w:rsidR="003F3636" w:rsidRDefault="00661E08">
      <w:r>
        <w:fldChar w:fldCharType="end"/>
      </w:r>
    </w:p>
    <w:p w14:paraId="0AD2BDD2" w14:textId="77777777" w:rsidR="003F3636" w:rsidRDefault="003F3636"/>
    <w:p w14:paraId="0AD2BDD3" w14:textId="77777777" w:rsidR="003F3636" w:rsidRDefault="003F3636"/>
    <w:p w14:paraId="0AD2BDD4" w14:textId="77777777" w:rsidR="00FD2C86" w:rsidRDefault="00FD2C86">
      <w:pPr>
        <w:sectPr w:rsidR="00FD2C86" w:rsidSect="00B31DF8">
          <w:type w:val="continuous"/>
          <w:pgSz w:w="12240" w:h="15840"/>
          <w:pgMar w:top="1440" w:right="1440" w:bottom="1440" w:left="1440" w:header="720" w:footer="720" w:gutter="0"/>
          <w:cols w:space="720"/>
          <w:docGrid w:linePitch="326"/>
        </w:sectPr>
      </w:pPr>
    </w:p>
    <w:p w14:paraId="0AD2BDD5" w14:textId="77777777" w:rsidR="00144CB4" w:rsidRPr="00E72AAF" w:rsidRDefault="00E72AAF" w:rsidP="00E72AAF">
      <w:pPr>
        <w:pStyle w:val="Heading1"/>
      </w:pPr>
      <w:bookmarkStart w:id="0" w:name="_Toc484008157"/>
      <w:r w:rsidRPr="00E72AAF">
        <w:rPr>
          <w:bCs w:val="0"/>
        </w:rPr>
        <w:lastRenderedPageBreak/>
        <w:t>I</w:t>
      </w:r>
      <w:r w:rsidRPr="00E72AAF">
        <w:rPr>
          <w:b w:val="0"/>
          <w:bCs w:val="0"/>
        </w:rPr>
        <w:t>.</w:t>
      </w:r>
      <w:r w:rsidRPr="00E72AAF">
        <w:t xml:space="preserve"> </w:t>
      </w:r>
      <w:r w:rsidR="00144CB4" w:rsidRPr="00E72AAF">
        <w:t>Introduction</w:t>
      </w:r>
      <w:bookmarkEnd w:id="0"/>
    </w:p>
    <w:p w14:paraId="0AD2BDD6" w14:textId="2808A0C6" w:rsidR="00303C7E" w:rsidRDefault="00303C7E" w:rsidP="00303C7E">
      <w:pPr>
        <w:rPr>
          <w:i/>
          <w:iCs/>
        </w:rPr>
      </w:pPr>
      <w:r w:rsidRPr="00303C7E">
        <w:t>The Department of Elementary and Secondary Education (“the Department”</w:t>
      </w:r>
      <w:r w:rsidR="00416E39">
        <w:t xml:space="preserve"> or “ESE”</w:t>
      </w:r>
      <w:r w:rsidRPr="00303C7E">
        <w:t>) respectfully submits this Report to the Legislature pursuant to Chapter 159 of the Acts of 2000, Section 432, which reads in relevant part:</w:t>
      </w:r>
    </w:p>
    <w:p w14:paraId="0AD2BDD7" w14:textId="77777777" w:rsidR="00611733" w:rsidRPr="00303C7E" w:rsidRDefault="00611733" w:rsidP="00303C7E">
      <w:pPr>
        <w:rPr>
          <w:i/>
          <w:iCs/>
        </w:rPr>
      </w:pPr>
    </w:p>
    <w:p w14:paraId="0AD2BDD8" w14:textId="77777777" w:rsidR="00303C7E" w:rsidRPr="00303C7E" w:rsidRDefault="00303C7E" w:rsidP="005A678C">
      <w:pPr>
        <w:spacing w:after="240"/>
        <w:rPr>
          <w:i/>
          <w:iCs/>
        </w:rPr>
      </w:pPr>
      <w:r w:rsidRPr="00303C7E">
        <w:rPr>
          <w:i/>
          <w:iCs/>
        </w:rPr>
        <w:tab/>
        <w:t>“The Department …… shall annually . . . report to the General Court on the implementation of [special education law]. Such report shall include … cost increases or savings in cities or towns, . . . the extent of the development of educational collaboratives to provide necessary services, the increase or decrease of the number of children served, federal non-compliance issues and other such matters as said Department deems appropriate. Such report shall be filed with the clerks of the House of Representatives and the Senate who shall forward the same to the Joint Committee on Education, Arts and Humanities and the House and Senate Committees on Ways and Means…”</w:t>
      </w:r>
    </w:p>
    <w:p w14:paraId="0AD2BDD9" w14:textId="77777777" w:rsidR="00AA2AF8" w:rsidRDefault="00E72AAF" w:rsidP="00E72AAF">
      <w:pPr>
        <w:pStyle w:val="Heading1"/>
      </w:pPr>
      <w:bookmarkStart w:id="1" w:name="_Toc484008158"/>
      <w:r>
        <w:t>II. Background: Enrollment and Finances</w:t>
      </w:r>
      <w:bookmarkEnd w:id="1"/>
    </w:p>
    <w:p w14:paraId="0AD2BDDA" w14:textId="77777777" w:rsidR="00561FB0" w:rsidRPr="00561FB0" w:rsidRDefault="00561FB0" w:rsidP="00A413F4">
      <w:pPr>
        <w:spacing w:before="240" w:after="240"/>
      </w:pPr>
      <w:r w:rsidRPr="0072770E">
        <w:rPr>
          <w:i/>
        </w:rPr>
        <w:t xml:space="preserve">This section on Enrollment and Finances offers data required by the statute and provides context for subsequent discussion of </w:t>
      </w:r>
      <w:r>
        <w:rPr>
          <w:i/>
        </w:rPr>
        <w:t>Department</w:t>
      </w:r>
      <w:r w:rsidRPr="0072770E">
        <w:rPr>
          <w:i/>
        </w:rPr>
        <w:t xml:space="preserve"> activities.</w:t>
      </w:r>
    </w:p>
    <w:p w14:paraId="0AD2BDDB" w14:textId="77777777" w:rsidR="007F1081" w:rsidRDefault="00E72AAF" w:rsidP="00A413F4">
      <w:pPr>
        <w:pStyle w:val="Heading2"/>
        <w:numPr>
          <w:ilvl w:val="0"/>
          <w:numId w:val="7"/>
        </w:numPr>
        <w:spacing w:after="240"/>
      </w:pPr>
      <w:bookmarkStart w:id="2" w:name="_Toc484008159"/>
      <w:r>
        <w:t>Longitudinal Enrollment</w:t>
      </w:r>
      <w:bookmarkEnd w:id="2"/>
    </w:p>
    <w:p w14:paraId="0AD2BDDC" w14:textId="77777777" w:rsidR="00A413F4" w:rsidRDefault="00561FB0" w:rsidP="00767FA3">
      <w:pPr>
        <w:spacing w:before="120" w:after="120"/>
      </w:pPr>
      <w:r w:rsidRPr="0072770E">
        <w:t xml:space="preserve">Massachusetts’ total student enrollment </w:t>
      </w:r>
      <w:r>
        <w:t>decreased slightly from school year 2014-2015 (FY15</w:t>
      </w:r>
      <w:r w:rsidRPr="0072770E">
        <w:t>)</w:t>
      </w:r>
      <w:r>
        <w:t xml:space="preserve"> to 2015-</w:t>
      </w:r>
      <w:r w:rsidR="003341DD">
        <w:t>20</w:t>
      </w:r>
      <w:r>
        <w:t>16 (FY16</w:t>
      </w:r>
      <w:r w:rsidRPr="0072770E">
        <w:t>)</w:t>
      </w:r>
      <w:r w:rsidR="00083158">
        <w:t>,</w:t>
      </w:r>
      <w:r>
        <w:t xml:space="preserve"> while</w:t>
      </w:r>
      <w:r w:rsidRPr="0072770E">
        <w:t xml:space="preserve"> the number of students receiving special education services increased slightly. </w:t>
      </w:r>
      <w:r>
        <w:t>T</w:t>
      </w:r>
      <w:r w:rsidRPr="0072770E">
        <w:t xml:space="preserve">he percentage of students </w:t>
      </w:r>
      <w:r>
        <w:t>with Individualized Education Programs (IEPs)</w:t>
      </w:r>
      <w:r w:rsidRPr="0072770E">
        <w:t xml:space="preserve"> enrolled in Massachusetts public schools </w:t>
      </w:r>
      <w:r>
        <w:t xml:space="preserve">increased by 0.1 percentage points in FY16 </w:t>
      </w:r>
      <w:r w:rsidRPr="0072770E">
        <w:t xml:space="preserve">(Table 1). </w:t>
      </w:r>
      <w:r w:rsidR="002D1896">
        <w:t xml:space="preserve">It should be noted that Massachusetts uses the total number of publicly enrolled students as the denominator when calculating the percentage enrollment of students with disabilities in special education. This contrasts with federal reporting, which uses census data in the denominator, including students who are not enrolled in public schools. Thus </w:t>
      </w:r>
      <w:hyperlink r:id="rId17" w:history="1">
        <w:r w:rsidR="002D1896" w:rsidRPr="000354F5">
          <w:rPr>
            <w:rStyle w:val="Hyperlink"/>
          </w:rPr>
          <w:t>published federal reports</w:t>
        </w:r>
      </w:hyperlink>
      <w:r w:rsidR="002D1896">
        <w:t xml:space="preserve"> show, for example, that</w:t>
      </w:r>
      <w:r w:rsidR="000354F5">
        <w:t xml:space="preserve"> 11.</w:t>
      </w:r>
      <w:r w:rsidR="007944BA">
        <w:t>1</w:t>
      </w:r>
      <w:r w:rsidR="000354F5">
        <w:t xml:space="preserve"> percent of</w:t>
      </w:r>
      <w:r w:rsidR="002D1896">
        <w:t xml:space="preserve"> </w:t>
      </w:r>
      <w:r w:rsidR="000354F5">
        <w:t xml:space="preserve">Massachusetts students aged 6 </w:t>
      </w:r>
      <w:r w:rsidR="000539CE">
        <w:t xml:space="preserve">to </w:t>
      </w:r>
      <w:r w:rsidR="000354F5">
        <w:t xml:space="preserve">21 received special </w:t>
      </w:r>
      <w:r w:rsidR="00767FA3">
        <w:t>education services during FY16, a rate lower than that of Maine, New Jersey, Oklahoma, West Virginia, and New York.</w:t>
      </w:r>
      <w:r w:rsidR="007738F2">
        <w:t xml:space="preserve"> Federal reports also indicate that in FY16 students with IEPs were 7.6</w:t>
      </w:r>
      <w:r w:rsidR="005A678C">
        <w:t xml:space="preserve"> percent</w:t>
      </w:r>
      <w:r w:rsidR="007738F2">
        <w:t xml:space="preserve"> of all Massachusetts students aged 3 through 5, again using census data in the denominator. </w:t>
      </w:r>
      <w:hyperlink r:id="rId18" w:history="1">
        <w:r w:rsidR="007738F2" w:rsidRPr="009B6CFA">
          <w:rPr>
            <w:rStyle w:val="Hyperlink"/>
          </w:rPr>
          <w:t>This federal data</w:t>
        </w:r>
      </w:hyperlink>
      <w:r w:rsidR="007738F2">
        <w:t xml:space="preserve"> </w:t>
      </w:r>
      <w:r w:rsidR="009B6CFA">
        <w:t>shows</w:t>
      </w:r>
      <w:r w:rsidR="007738F2">
        <w:t xml:space="preserve"> that, for these young students, </w:t>
      </w:r>
      <w:r w:rsidR="00F91AAD">
        <w:t>fourteen</w:t>
      </w:r>
      <w:r w:rsidR="007738F2">
        <w:t xml:space="preserve"> states have higher special education rates than Massachusetts.</w:t>
      </w:r>
    </w:p>
    <w:p w14:paraId="0AD2BDDD" w14:textId="77777777" w:rsidR="00A413F4" w:rsidRDefault="00A413F4">
      <w:r>
        <w:br w:type="page"/>
      </w:r>
    </w:p>
    <w:p w14:paraId="0AD2BDDE" w14:textId="77777777" w:rsidR="00561FB0" w:rsidRPr="0072770E" w:rsidRDefault="00561FB0" w:rsidP="003020F2">
      <w:pPr>
        <w:spacing w:after="120"/>
        <w:ind w:left="187"/>
        <w:rPr>
          <w:b/>
        </w:rPr>
      </w:pPr>
      <w:r w:rsidRPr="0072770E">
        <w:rPr>
          <w:b/>
          <w:color w:val="000000" w:themeColor="text1"/>
        </w:rPr>
        <w:lastRenderedPageBreak/>
        <w:t>Table 1: Number</w:t>
      </w:r>
      <w:r w:rsidRPr="0072770E">
        <w:rPr>
          <w:b/>
        </w:rPr>
        <w:t xml:space="preserve"> and Percentage of Stude</w:t>
      </w:r>
      <w:r>
        <w:rPr>
          <w:b/>
        </w:rPr>
        <w:t>nts with Disabilities, FY07–FY16</w:t>
      </w:r>
    </w:p>
    <w:tbl>
      <w:tblPr>
        <w:tblW w:w="8820" w:type="dxa"/>
        <w:tblInd w:w="108" w:type="dxa"/>
        <w:tblLook w:val="04A0" w:firstRow="1" w:lastRow="0" w:firstColumn="1" w:lastColumn="0" w:noHBand="0" w:noVBand="1"/>
      </w:tblPr>
      <w:tblGrid>
        <w:gridCol w:w="2160"/>
        <w:gridCol w:w="2160"/>
        <w:gridCol w:w="2160"/>
        <w:gridCol w:w="2340"/>
      </w:tblGrid>
      <w:tr w:rsidR="00561FB0" w:rsidRPr="00CC5C56" w14:paraId="0AD2BDE4" w14:textId="77777777" w:rsidTr="00561FB0">
        <w:trPr>
          <w:trHeight w:val="796"/>
        </w:trPr>
        <w:tc>
          <w:tcPr>
            <w:tcW w:w="2160" w:type="dxa"/>
            <w:tcBorders>
              <w:top w:val="single" w:sz="12" w:space="0" w:color="auto"/>
              <w:left w:val="nil"/>
              <w:bottom w:val="single" w:sz="12" w:space="0" w:color="auto"/>
              <w:right w:val="nil"/>
            </w:tcBorders>
            <w:vAlign w:val="center"/>
            <w:hideMark/>
          </w:tcPr>
          <w:p w14:paraId="0AD2BDDF" w14:textId="77777777" w:rsidR="00561FB0" w:rsidRPr="00CC5C56" w:rsidRDefault="00561FB0" w:rsidP="00561FB0">
            <w:pPr>
              <w:jc w:val="center"/>
            </w:pPr>
            <w:r w:rsidRPr="00CC5C56">
              <w:rPr>
                <w:sz w:val="22"/>
                <w:szCs w:val="22"/>
              </w:rPr>
              <w:t>School Year</w:t>
            </w:r>
          </w:p>
        </w:tc>
        <w:tc>
          <w:tcPr>
            <w:tcW w:w="2160" w:type="dxa"/>
            <w:tcBorders>
              <w:top w:val="single" w:sz="12" w:space="0" w:color="auto"/>
              <w:left w:val="nil"/>
              <w:bottom w:val="single" w:sz="12" w:space="0" w:color="auto"/>
              <w:right w:val="nil"/>
            </w:tcBorders>
            <w:vAlign w:val="center"/>
            <w:hideMark/>
          </w:tcPr>
          <w:p w14:paraId="0AD2BDE0" w14:textId="77777777" w:rsidR="00561FB0" w:rsidRPr="00CC5C56" w:rsidRDefault="00561FB0" w:rsidP="00561FB0">
            <w:pPr>
              <w:jc w:val="center"/>
            </w:pPr>
            <w:r w:rsidRPr="00CC5C56">
              <w:rPr>
                <w:sz w:val="22"/>
                <w:szCs w:val="22"/>
              </w:rPr>
              <w:t>Total Special</w:t>
            </w:r>
          </w:p>
          <w:p w14:paraId="0AD2BDE1" w14:textId="77777777" w:rsidR="00561FB0" w:rsidRPr="00CC5C56" w:rsidRDefault="00561FB0" w:rsidP="00561FB0">
            <w:pPr>
              <w:jc w:val="center"/>
            </w:pPr>
            <w:r w:rsidRPr="00CC5C56">
              <w:rPr>
                <w:sz w:val="22"/>
                <w:szCs w:val="22"/>
              </w:rPr>
              <w:t>Education Enrollment</w:t>
            </w:r>
          </w:p>
        </w:tc>
        <w:tc>
          <w:tcPr>
            <w:tcW w:w="2160" w:type="dxa"/>
            <w:tcBorders>
              <w:top w:val="single" w:sz="12" w:space="0" w:color="auto"/>
              <w:left w:val="nil"/>
              <w:bottom w:val="single" w:sz="12" w:space="0" w:color="auto"/>
              <w:right w:val="nil"/>
            </w:tcBorders>
            <w:vAlign w:val="center"/>
            <w:hideMark/>
          </w:tcPr>
          <w:p w14:paraId="0AD2BDE2" w14:textId="77777777" w:rsidR="00561FB0" w:rsidRPr="00CC5C56" w:rsidRDefault="00561FB0" w:rsidP="00561FB0">
            <w:pPr>
              <w:jc w:val="center"/>
            </w:pPr>
            <w:r w:rsidRPr="00CC5C56">
              <w:rPr>
                <w:sz w:val="22"/>
                <w:szCs w:val="22"/>
              </w:rPr>
              <w:t>Total Enrollment</w:t>
            </w:r>
          </w:p>
        </w:tc>
        <w:tc>
          <w:tcPr>
            <w:tcW w:w="2340" w:type="dxa"/>
            <w:tcBorders>
              <w:top w:val="single" w:sz="12" w:space="0" w:color="auto"/>
              <w:left w:val="nil"/>
              <w:bottom w:val="single" w:sz="12" w:space="0" w:color="auto"/>
              <w:right w:val="nil"/>
            </w:tcBorders>
            <w:vAlign w:val="center"/>
            <w:hideMark/>
          </w:tcPr>
          <w:p w14:paraId="0AD2BDE3" w14:textId="77777777" w:rsidR="00561FB0" w:rsidRPr="00CC5C56" w:rsidRDefault="00561FB0" w:rsidP="00561FB0">
            <w:pPr>
              <w:jc w:val="center"/>
            </w:pPr>
            <w:r w:rsidRPr="00CC5C56">
              <w:rPr>
                <w:sz w:val="22"/>
                <w:szCs w:val="22"/>
              </w:rPr>
              <w:t>Percentage of Students with Disabilities</w:t>
            </w:r>
          </w:p>
        </w:tc>
      </w:tr>
      <w:tr w:rsidR="00561FB0" w:rsidRPr="00CC5C56" w14:paraId="0AD2BDE9" w14:textId="77777777" w:rsidTr="00561FB0">
        <w:trPr>
          <w:trHeight w:val="305"/>
        </w:trPr>
        <w:tc>
          <w:tcPr>
            <w:tcW w:w="2160" w:type="dxa"/>
            <w:vAlign w:val="center"/>
            <w:hideMark/>
          </w:tcPr>
          <w:p w14:paraId="0AD2BDE5" w14:textId="77777777" w:rsidR="00561FB0" w:rsidRPr="002267F3" w:rsidRDefault="00561FB0" w:rsidP="00561FB0">
            <w:pPr>
              <w:jc w:val="center"/>
              <w:rPr>
                <w:sz w:val="20"/>
                <w:szCs w:val="20"/>
              </w:rPr>
            </w:pPr>
            <w:r w:rsidRPr="002267F3">
              <w:rPr>
                <w:sz w:val="20"/>
                <w:szCs w:val="20"/>
              </w:rPr>
              <w:t>2006-07</w:t>
            </w:r>
          </w:p>
        </w:tc>
        <w:tc>
          <w:tcPr>
            <w:tcW w:w="2160" w:type="dxa"/>
            <w:vAlign w:val="center"/>
            <w:hideMark/>
          </w:tcPr>
          <w:p w14:paraId="0AD2BDE6" w14:textId="77777777" w:rsidR="00561FB0" w:rsidRPr="002267F3" w:rsidRDefault="00561FB0" w:rsidP="00561FB0">
            <w:pPr>
              <w:jc w:val="center"/>
              <w:rPr>
                <w:sz w:val="20"/>
                <w:szCs w:val="20"/>
              </w:rPr>
            </w:pPr>
            <w:r w:rsidRPr="002267F3">
              <w:rPr>
                <w:sz w:val="20"/>
                <w:szCs w:val="20"/>
              </w:rPr>
              <w:t>163,396</w:t>
            </w:r>
          </w:p>
        </w:tc>
        <w:tc>
          <w:tcPr>
            <w:tcW w:w="2160" w:type="dxa"/>
            <w:vAlign w:val="center"/>
            <w:hideMark/>
          </w:tcPr>
          <w:p w14:paraId="0AD2BDE7" w14:textId="77777777" w:rsidR="00561FB0" w:rsidRPr="002267F3" w:rsidRDefault="00561FB0" w:rsidP="00561FB0">
            <w:pPr>
              <w:jc w:val="center"/>
              <w:rPr>
                <w:sz w:val="20"/>
                <w:szCs w:val="20"/>
              </w:rPr>
            </w:pPr>
            <w:r w:rsidRPr="002267F3">
              <w:rPr>
                <w:sz w:val="20"/>
                <w:szCs w:val="20"/>
              </w:rPr>
              <w:t>979,851</w:t>
            </w:r>
          </w:p>
        </w:tc>
        <w:tc>
          <w:tcPr>
            <w:tcW w:w="2340" w:type="dxa"/>
            <w:vAlign w:val="center"/>
            <w:hideMark/>
          </w:tcPr>
          <w:p w14:paraId="0AD2BDE8" w14:textId="77777777" w:rsidR="00561FB0" w:rsidRPr="002267F3" w:rsidRDefault="00561FB0" w:rsidP="00561FB0">
            <w:pPr>
              <w:jc w:val="center"/>
              <w:rPr>
                <w:sz w:val="20"/>
                <w:szCs w:val="20"/>
              </w:rPr>
            </w:pPr>
            <w:r w:rsidRPr="002267F3">
              <w:rPr>
                <w:sz w:val="20"/>
                <w:szCs w:val="20"/>
              </w:rPr>
              <w:t>16.7%</w:t>
            </w:r>
          </w:p>
        </w:tc>
      </w:tr>
      <w:tr w:rsidR="00561FB0" w:rsidRPr="00CC5C56" w14:paraId="0AD2BDEE" w14:textId="77777777" w:rsidTr="00561FB0">
        <w:trPr>
          <w:trHeight w:val="305"/>
        </w:trPr>
        <w:tc>
          <w:tcPr>
            <w:tcW w:w="2160" w:type="dxa"/>
            <w:vAlign w:val="center"/>
            <w:hideMark/>
          </w:tcPr>
          <w:p w14:paraId="0AD2BDEA" w14:textId="77777777" w:rsidR="00561FB0" w:rsidRPr="002267F3" w:rsidRDefault="00561FB0" w:rsidP="00561FB0">
            <w:pPr>
              <w:jc w:val="center"/>
              <w:rPr>
                <w:sz w:val="20"/>
                <w:szCs w:val="20"/>
              </w:rPr>
            </w:pPr>
            <w:r w:rsidRPr="002267F3">
              <w:rPr>
                <w:sz w:val="20"/>
                <w:szCs w:val="20"/>
              </w:rPr>
              <w:t>2007-08</w:t>
            </w:r>
          </w:p>
        </w:tc>
        <w:tc>
          <w:tcPr>
            <w:tcW w:w="2160" w:type="dxa"/>
            <w:vAlign w:val="center"/>
            <w:hideMark/>
          </w:tcPr>
          <w:p w14:paraId="0AD2BDEB" w14:textId="77777777" w:rsidR="00561FB0" w:rsidRPr="002267F3" w:rsidRDefault="00561FB0" w:rsidP="00561FB0">
            <w:pPr>
              <w:jc w:val="center"/>
              <w:rPr>
                <w:sz w:val="20"/>
                <w:szCs w:val="20"/>
              </w:rPr>
            </w:pPr>
            <w:r w:rsidRPr="002267F3">
              <w:rPr>
                <w:sz w:val="20"/>
                <w:szCs w:val="20"/>
              </w:rPr>
              <w:t>164,298</w:t>
            </w:r>
          </w:p>
        </w:tc>
        <w:tc>
          <w:tcPr>
            <w:tcW w:w="2160" w:type="dxa"/>
            <w:vAlign w:val="center"/>
            <w:hideMark/>
          </w:tcPr>
          <w:p w14:paraId="0AD2BDEC" w14:textId="77777777" w:rsidR="00561FB0" w:rsidRPr="002267F3" w:rsidRDefault="00561FB0" w:rsidP="00561FB0">
            <w:pPr>
              <w:jc w:val="center"/>
              <w:rPr>
                <w:sz w:val="20"/>
                <w:szCs w:val="20"/>
              </w:rPr>
            </w:pPr>
            <w:r w:rsidRPr="002267F3">
              <w:rPr>
                <w:sz w:val="20"/>
                <w:szCs w:val="20"/>
              </w:rPr>
              <w:t>972,178</w:t>
            </w:r>
          </w:p>
        </w:tc>
        <w:tc>
          <w:tcPr>
            <w:tcW w:w="2340" w:type="dxa"/>
            <w:vAlign w:val="center"/>
            <w:hideMark/>
          </w:tcPr>
          <w:p w14:paraId="0AD2BDED" w14:textId="77777777" w:rsidR="00561FB0" w:rsidRPr="002267F3" w:rsidRDefault="00561FB0" w:rsidP="00561FB0">
            <w:pPr>
              <w:jc w:val="center"/>
              <w:rPr>
                <w:sz w:val="20"/>
                <w:szCs w:val="20"/>
              </w:rPr>
            </w:pPr>
            <w:r w:rsidRPr="002267F3">
              <w:rPr>
                <w:sz w:val="20"/>
                <w:szCs w:val="20"/>
              </w:rPr>
              <w:t>16.9%</w:t>
            </w:r>
          </w:p>
        </w:tc>
      </w:tr>
      <w:tr w:rsidR="00561FB0" w:rsidRPr="00CC5C56" w14:paraId="0AD2BDF3" w14:textId="77777777" w:rsidTr="00561FB0">
        <w:trPr>
          <w:trHeight w:val="305"/>
        </w:trPr>
        <w:tc>
          <w:tcPr>
            <w:tcW w:w="2160" w:type="dxa"/>
            <w:vAlign w:val="center"/>
            <w:hideMark/>
          </w:tcPr>
          <w:p w14:paraId="0AD2BDEF" w14:textId="77777777" w:rsidR="00561FB0" w:rsidRPr="002267F3" w:rsidRDefault="00561FB0" w:rsidP="00561FB0">
            <w:pPr>
              <w:jc w:val="center"/>
              <w:rPr>
                <w:sz w:val="20"/>
                <w:szCs w:val="20"/>
              </w:rPr>
            </w:pPr>
            <w:r w:rsidRPr="002267F3">
              <w:rPr>
                <w:sz w:val="20"/>
                <w:szCs w:val="20"/>
              </w:rPr>
              <w:t>2008-09</w:t>
            </w:r>
          </w:p>
        </w:tc>
        <w:tc>
          <w:tcPr>
            <w:tcW w:w="2160" w:type="dxa"/>
            <w:vAlign w:val="center"/>
            <w:hideMark/>
          </w:tcPr>
          <w:p w14:paraId="0AD2BDF0" w14:textId="77777777" w:rsidR="00561FB0" w:rsidRPr="002267F3" w:rsidRDefault="00561FB0" w:rsidP="00561FB0">
            <w:pPr>
              <w:jc w:val="center"/>
              <w:rPr>
                <w:sz w:val="20"/>
                <w:szCs w:val="20"/>
              </w:rPr>
            </w:pPr>
            <w:r w:rsidRPr="002267F3">
              <w:rPr>
                <w:sz w:val="20"/>
                <w:szCs w:val="20"/>
              </w:rPr>
              <w:t>166,037</w:t>
            </w:r>
          </w:p>
        </w:tc>
        <w:tc>
          <w:tcPr>
            <w:tcW w:w="2160" w:type="dxa"/>
            <w:vAlign w:val="center"/>
            <w:hideMark/>
          </w:tcPr>
          <w:p w14:paraId="0AD2BDF1" w14:textId="77777777" w:rsidR="00561FB0" w:rsidRPr="002267F3" w:rsidRDefault="00561FB0" w:rsidP="00561FB0">
            <w:pPr>
              <w:jc w:val="center"/>
              <w:rPr>
                <w:sz w:val="20"/>
                <w:szCs w:val="20"/>
              </w:rPr>
            </w:pPr>
            <w:r w:rsidRPr="002267F3">
              <w:rPr>
                <w:sz w:val="20"/>
                <w:szCs w:val="20"/>
              </w:rPr>
              <w:t>970,059</w:t>
            </w:r>
          </w:p>
        </w:tc>
        <w:tc>
          <w:tcPr>
            <w:tcW w:w="2340" w:type="dxa"/>
            <w:vAlign w:val="center"/>
            <w:hideMark/>
          </w:tcPr>
          <w:p w14:paraId="0AD2BDF2" w14:textId="77777777" w:rsidR="00561FB0" w:rsidRPr="002267F3" w:rsidRDefault="00561FB0" w:rsidP="00561FB0">
            <w:pPr>
              <w:jc w:val="center"/>
              <w:rPr>
                <w:sz w:val="20"/>
                <w:szCs w:val="20"/>
              </w:rPr>
            </w:pPr>
            <w:r w:rsidRPr="002267F3">
              <w:rPr>
                <w:sz w:val="20"/>
                <w:szCs w:val="20"/>
              </w:rPr>
              <w:t>17.1%</w:t>
            </w:r>
          </w:p>
        </w:tc>
      </w:tr>
      <w:tr w:rsidR="00561FB0" w:rsidRPr="00CC5C56" w14:paraId="0AD2BDF8" w14:textId="77777777" w:rsidTr="00561FB0">
        <w:trPr>
          <w:trHeight w:val="305"/>
        </w:trPr>
        <w:tc>
          <w:tcPr>
            <w:tcW w:w="2160" w:type="dxa"/>
            <w:vAlign w:val="center"/>
            <w:hideMark/>
          </w:tcPr>
          <w:p w14:paraId="0AD2BDF4" w14:textId="77777777" w:rsidR="00561FB0" w:rsidRPr="002267F3" w:rsidRDefault="00561FB0" w:rsidP="00561FB0">
            <w:pPr>
              <w:jc w:val="center"/>
              <w:rPr>
                <w:sz w:val="20"/>
                <w:szCs w:val="20"/>
              </w:rPr>
            </w:pPr>
            <w:r w:rsidRPr="002267F3">
              <w:rPr>
                <w:sz w:val="20"/>
                <w:szCs w:val="20"/>
              </w:rPr>
              <w:t>2009-10</w:t>
            </w:r>
          </w:p>
        </w:tc>
        <w:tc>
          <w:tcPr>
            <w:tcW w:w="2160" w:type="dxa"/>
            <w:vAlign w:val="center"/>
            <w:hideMark/>
          </w:tcPr>
          <w:p w14:paraId="0AD2BDF5" w14:textId="77777777" w:rsidR="00561FB0" w:rsidRPr="002267F3" w:rsidRDefault="00561FB0" w:rsidP="00561FB0">
            <w:pPr>
              <w:jc w:val="center"/>
              <w:rPr>
                <w:sz w:val="20"/>
                <w:szCs w:val="20"/>
              </w:rPr>
            </w:pPr>
            <w:r w:rsidRPr="002267F3">
              <w:rPr>
                <w:sz w:val="20"/>
                <w:szCs w:val="20"/>
              </w:rPr>
              <w:t>164,847</w:t>
            </w:r>
          </w:p>
        </w:tc>
        <w:tc>
          <w:tcPr>
            <w:tcW w:w="2160" w:type="dxa"/>
            <w:vAlign w:val="center"/>
            <w:hideMark/>
          </w:tcPr>
          <w:p w14:paraId="0AD2BDF6" w14:textId="77777777" w:rsidR="00561FB0" w:rsidRPr="002267F3" w:rsidRDefault="00561FB0" w:rsidP="00561FB0">
            <w:pPr>
              <w:jc w:val="center"/>
              <w:rPr>
                <w:sz w:val="20"/>
                <w:szCs w:val="20"/>
              </w:rPr>
            </w:pPr>
            <w:r w:rsidRPr="002267F3">
              <w:rPr>
                <w:sz w:val="20"/>
                <w:szCs w:val="20"/>
              </w:rPr>
              <w:t>967,951</w:t>
            </w:r>
          </w:p>
        </w:tc>
        <w:tc>
          <w:tcPr>
            <w:tcW w:w="2340" w:type="dxa"/>
            <w:vAlign w:val="center"/>
            <w:hideMark/>
          </w:tcPr>
          <w:p w14:paraId="0AD2BDF7" w14:textId="77777777" w:rsidR="00561FB0" w:rsidRPr="002267F3" w:rsidRDefault="00561FB0" w:rsidP="00561FB0">
            <w:pPr>
              <w:jc w:val="center"/>
              <w:rPr>
                <w:sz w:val="20"/>
                <w:szCs w:val="20"/>
              </w:rPr>
            </w:pPr>
            <w:r w:rsidRPr="002267F3">
              <w:rPr>
                <w:sz w:val="20"/>
                <w:szCs w:val="20"/>
              </w:rPr>
              <w:t>17.0%</w:t>
            </w:r>
          </w:p>
        </w:tc>
      </w:tr>
      <w:tr w:rsidR="00561FB0" w:rsidRPr="00CC5C56" w14:paraId="0AD2BDFD" w14:textId="77777777" w:rsidTr="00561FB0">
        <w:trPr>
          <w:trHeight w:val="305"/>
        </w:trPr>
        <w:tc>
          <w:tcPr>
            <w:tcW w:w="2160" w:type="dxa"/>
            <w:vAlign w:val="center"/>
            <w:hideMark/>
          </w:tcPr>
          <w:p w14:paraId="0AD2BDF9" w14:textId="77777777" w:rsidR="00561FB0" w:rsidRPr="002267F3" w:rsidRDefault="00561FB0" w:rsidP="00561FB0">
            <w:pPr>
              <w:jc w:val="center"/>
              <w:rPr>
                <w:sz w:val="20"/>
                <w:szCs w:val="20"/>
              </w:rPr>
            </w:pPr>
            <w:r w:rsidRPr="002267F3">
              <w:rPr>
                <w:sz w:val="20"/>
                <w:szCs w:val="20"/>
              </w:rPr>
              <w:t>2010-11</w:t>
            </w:r>
          </w:p>
        </w:tc>
        <w:tc>
          <w:tcPr>
            <w:tcW w:w="2160" w:type="dxa"/>
            <w:vAlign w:val="center"/>
            <w:hideMark/>
          </w:tcPr>
          <w:p w14:paraId="0AD2BDFA" w14:textId="77777777" w:rsidR="00561FB0" w:rsidRPr="002267F3" w:rsidRDefault="00561FB0" w:rsidP="00561FB0">
            <w:pPr>
              <w:jc w:val="center"/>
              <w:rPr>
                <w:sz w:val="20"/>
                <w:szCs w:val="20"/>
              </w:rPr>
            </w:pPr>
            <w:r w:rsidRPr="002267F3">
              <w:rPr>
                <w:sz w:val="20"/>
                <w:szCs w:val="20"/>
              </w:rPr>
              <w:t>164,711</w:t>
            </w:r>
          </w:p>
        </w:tc>
        <w:tc>
          <w:tcPr>
            <w:tcW w:w="2160" w:type="dxa"/>
            <w:vAlign w:val="center"/>
            <w:hideMark/>
          </w:tcPr>
          <w:p w14:paraId="0AD2BDFB" w14:textId="77777777" w:rsidR="00561FB0" w:rsidRPr="002267F3" w:rsidRDefault="00561FB0" w:rsidP="00561FB0">
            <w:pPr>
              <w:jc w:val="center"/>
              <w:rPr>
                <w:sz w:val="20"/>
                <w:szCs w:val="20"/>
              </w:rPr>
            </w:pPr>
            <w:r w:rsidRPr="002267F3">
              <w:rPr>
                <w:sz w:val="20"/>
                <w:szCs w:val="20"/>
              </w:rPr>
              <w:t>966,395</w:t>
            </w:r>
          </w:p>
        </w:tc>
        <w:tc>
          <w:tcPr>
            <w:tcW w:w="2340" w:type="dxa"/>
            <w:vAlign w:val="center"/>
            <w:hideMark/>
          </w:tcPr>
          <w:p w14:paraId="0AD2BDFC" w14:textId="77777777" w:rsidR="00561FB0" w:rsidRPr="002267F3" w:rsidRDefault="00561FB0" w:rsidP="00561FB0">
            <w:pPr>
              <w:jc w:val="center"/>
              <w:rPr>
                <w:sz w:val="20"/>
                <w:szCs w:val="20"/>
              </w:rPr>
            </w:pPr>
            <w:r w:rsidRPr="002267F3">
              <w:rPr>
                <w:sz w:val="20"/>
                <w:szCs w:val="20"/>
              </w:rPr>
              <w:t>17.0%</w:t>
            </w:r>
          </w:p>
        </w:tc>
      </w:tr>
      <w:tr w:rsidR="00561FB0" w:rsidRPr="00CC5C56" w14:paraId="0AD2BE02" w14:textId="77777777" w:rsidTr="00561FB0">
        <w:trPr>
          <w:trHeight w:val="321"/>
        </w:trPr>
        <w:tc>
          <w:tcPr>
            <w:tcW w:w="2160" w:type="dxa"/>
            <w:vAlign w:val="center"/>
            <w:hideMark/>
          </w:tcPr>
          <w:p w14:paraId="0AD2BDFE" w14:textId="77777777" w:rsidR="00561FB0" w:rsidRPr="002267F3" w:rsidRDefault="00561FB0" w:rsidP="00561FB0">
            <w:pPr>
              <w:jc w:val="center"/>
              <w:rPr>
                <w:sz w:val="20"/>
                <w:szCs w:val="20"/>
              </w:rPr>
            </w:pPr>
            <w:r w:rsidRPr="002267F3">
              <w:rPr>
                <w:sz w:val="20"/>
                <w:szCs w:val="20"/>
              </w:rPr>
              <w:t>2011-12</w:t>
            </w:r>
          </w:p>
        </w:tc>
        <w:tc>
          <w:tcPr>
            <w:tcW w:w="2160" w:type="dxa"/>
            <w:vAlign w:val="center"/>
            <w:hideMark/>
          </w:tcPr>
          <w:p w14:paraId="0AD2BDFF" w14:textId="77777777" w:rsidR="00561FB0" w:rsidRPr="002267F3" w:rsidRDefault="00561FB0" w:rsidP="00561FB0">
            <w:pPr>
              <w:jc w:val="center"/>
              <w:rPr>
                <w:sz w:val="20"/>
                <w:szCs w:val="20"/>
              </w:rPr>
            </w:pPr>
            <w:r w:rsidRPr="002267F3">
              <w:rPr>
                <w:sz w:val="20"/>
                <w:szCs w:val="20"/>
              </w:rPr>
              <w:t>163,679</w:t>
            </w:r>
          </w:p>
        </w:tc>
        <w:tc>
          <w:tcPr>
            <w:tcW w:w="2160" w:type="dxa"/>
            <w:vAlign w:val="center"/>
            <w:hideMark/>
          </w:tcPr>
          <w:p w14:paraId="0AD2BE00" w14:textId="77777777" w:rsidR="00561FB0" w:rsidRPr="002267F3" w:rsidRDefault="00561FB0" w:rsidP="00561FB0">
            <w:pPr>
              <w:jc w:val="center"/>
              <w:rPr>
                <w:sz w:val="20"/>
                <w:szCs w:val="20"/>
              </w:rPr>
            </w:pPr>
            <w:r w:rsidRPr="002267F3">
              <w:rPr>
                <w:sz w:val="20"/>
                <w:szCs w:val="20"/>
              </w:rPr>
              <w:t>964,198</w:t>
            </w:r>
          </w:p>
        </w:tc>
        <w:tc>
          <w:tcPr>
            <w:tcW w:w="2340" w:type="dxa"/>
            <w:vAlign w:val="center"/>
            <w:hideMark/>
          </w:tcPr>
          <w:p w14:paraId="0AD2BE01" w14:textId="77777777" w:rsidR="00561FB0" w:rsidRPr="002267F3" w:rsidRDefault="00561FB0" w:rsidP="00561FB0">
            <w:pPr>
              <w:jc w:val="center"/>
              <w:rPr>
                <w:sz w:val="20"/>
                <w:szCs w:val="20"/>
              </w:rPr>
            </w:pPr>
            <w:r w:rsidRPr="002267F3">
              <w:rPr>
                <w:sz w:val="20"/>
                <w:szCs w:val="20"/>
              </w:rPr>
              <w:t>17.0%</w:t>
            </w:r>
          </w:p>
        </w:tc>
      </w:tr>
      <w:tr w:rsidR="00561FB0" w:rsidRPr="00CC5C56" w14:paraId="0AD2BE07" w14:textId="77777777" w:rsidTr="00561FB0">
        <w:trPr>
          <w:trHeight w:val="321"/>
        </w:trPr>
        <w:tc>
          <w:tcPr>
            <w:tcW w:w="2160" w:type="dxa"/>
            <w:tcBorders>
              <w:top w:val="nil"/>
              <w:left w:val="nil"/>
              <w:bottom w:val="nil"/>
              <w:right w:val="nil"/>
            </w:tcBorders>
            <w:vAlign w:val="center"/>
            <w:hideMark/>
          </w:tcPr>
          <w:p w14:paraId="0AD2BE03" w14:textId="77777777" w:rsidR="00561FB0" w:rsidRPr="002267F3" w:rsidRDefault="00561FB0" w:rsidP="00561FB0">
            <w:pPr>
              <w:jc w:val="center"/>
              <w:rPr>
                <w:sz w:val="20"/>
                <w:szCs w:val="20"/>
              </w:rPr>
            </w:pPr>
            <w:r w:rsidRPr="002267F3">
              <w:rPr>
                <w:sz w:val="20"/>
                <w:szCs w:val="20"/>
              </w:rPr>
              <w:t>2012-13</w:t>
            </w:r>
          </w:p>
        </w:tc>
        <w:tc>
          <w:tcPr>
            <w:tcW w:w="2160" w:type="dxa"/>
            <w:tcBorders>
              <w:top w:val="nil"/>
              <w:left w:val="nil"/>
              <w:bottom w:val="nil"/>
              <w:right w:val="nil"/>
            </w:tcBorders>
            <w:vAlign w:val="center"/>
            <w:hideMark/>
          </w:tcPr>
          <w:p w14:paraId="0AD2BE04" w14:textId="77777777" w:rsidR="00561FB0" w:rsidRPr="002267F3" w:rsidRDefault="00561FB0" w:rsidP="00561FB0">
            <w:pPr>
              <w:jc w:val="center"/>
              <w:rPr>
                <w:sz w:val="20"/>
                <w:szCs w:val="20"/>
              </w:rPr>
            </w:pPr>
            <w:r w:rsidRPr="002267F3">
              <w:rPr>
                <w:sz w:val="20"/>
                <w:szCs w:val="20"/>
              </w:rPr>
              <w:t>163,921</w:t>
            </w:r>
          </w:p>
        </w:tc>
        <w:tc>
          <w:tcPr>
            <w:tcW w:w="2160" w:type="dxa"/>
            <w:tcBorders>
              <w:top w:val="nil"/>
              <w:left w:val="nil"/>
              <w:bottom w:val="nil"/>
              <w:right w:val="nil"/>
            </w:tcBorders>
            <w:vAlign w:val="center"/>
            <w:hideMark/>
          </w:tcPr>
          <w:p w14:paraId="0AD2BE05" w14:textId="77777777" w:rsidR="00561FB0" w:rsidRPr="002267F3" w:rsidRDefault="00561FB0" w:rsidP="00561FB0">
            <w:pPr>
              <w:jc w:val="center"/>
              <w:rPr>
                <w:sz w:val="20"/>
                <w:szCs w:val="20"/>
              </w:rPr>
            </w:pPr>
            <w:r w:rsidRPr="002267F3">
              <w:rPr>
                <w:sz w:val="20"/>
                <w:szCs w:val="20"/>
              </w:rPr>
              <w:t>965,602</w:t>
            </w:r>
          </w:p>
        </w:tc>
        <w:tc>
          <w:tcPr>
            <w:tcW w:w="2340" w:type="dxa"/>
            <w:tcBorders>
              <w:top w:val="nil"/>
              <w:left w:val="nil"/>
              <w:bottom w:val="nil"/>
              <w:right w:val="nil"/>
            </w:tcBorders>
            <w:vAlign w:val="center"/>
            <w:hideMark/>
          </w:tcPr>
          <w:p w14:paraId="0AD2BE06" w14:textId="77777777" w:rsidR="00561FB0" w:rsidRPr="002267F3" w:rsidRDefault="00561FB0" w:rsidP="00561FB0">
            <w:pPr>
              <w:jc w:val="center"/>
              <w:rPr>
                <w:sz w:val="20"/>
                <w:szCs w:val="20"/>
              </w:rPr>
            </w:pPr>
            <w:r w:rsidRPr="002267F3">
              <w:rPr>
                <w:sz w:val="20"/>
                <w:szCs w:val="20"/>
              </w:rPr>
              <w:t>17.0%</w:t>
            </w:r>
          </w:p>
        </w:tc>
      </w:tr>
      <w:tr w:rsidR="00561FB0" w:rsidRPr="00CC5C56" w14:paraId="0AD2BE0C" w14:textId="77777777" w:rsidTr="00561FB0">
        <w:trPr>
          <w:trHeight w:val="321"/>
        </w:trPr>
        <w:tc>
          <w:tcPr>
            <w:tcW w:w="2160" w:type="dxa"/>
            <w:tcBorders>
              <w:top w:val="nil"/>
              <w:left w:val="nil"/>
              <w:bottom w:val="nil"/>
              <w:right w:val="nil"/>
            </w:tcBorders>
            <w:vAlign w:val="center"/>
            <w:hideMark/>
          </w:tcPr>
          <w:p w14:paraId="0AD2BE08" w14:textId="77777777" w:rsidR="00561FB0" w:rsidRPr="002267F3" w:rsidRDefault="00561FB0" w:rsidP="00561FB0">
            <w:pPr>
              <w:jc w:val="center"/>
              <w:rPr>
                <w:sz w:val="20"/>
                <w:szCs w:val="20"/>
              </w:rPr>
            </w:pPr>
            <w:r w:rsidRPr="002267F3">
              <w:rPr>
                <w:sz w:val="20"/>
                <w:szCs w:val="20"/>
              </w:rPr>
              <w:t>2013-14</w:t>
            </w:r>
          </w:p>
        </w:tc>
        <w:tc>
          <w:tcPr>
            <w:tcW w:w="2160" w:type="dxa"/>
            <w:tcBorders>
              <w:top w:val="nil"/>
              <w:left w:val="nil"/>
              <w:bottom w:val="nil"/>
              <w:right w:val="nil"/>
            </w:tcBorders>
            <w:vAlign w:val="center"/>
            <w:hideMark/>
          </w:tcPr>
          <w:p w14:paraId="0AD2BE09" w14:textId="77777777" w:rsidR="00561FB0" w:rsidRPr="002267F3" w:rsidRDefault="00561FB0" w:rsidP="00561FB0">
            <w:pPr>
              <w:jc w:val="center"/>
              <w:rPr>
                <w:color w:val="000000"/>
                <w:sz w:val="20"/>
                <w:szCs w:val="20"/>
              </w:rPr>
            </w:pPr>
            <w:r w:rsidRPr="002267F3">
              <w:rPr>
                <w:color w:val="000000"/>
                <w:sz w:val="20"/>
                <w:szCs w:val="20"/>
              </w:rPr>
              <w:t>164,336</w:t>
            </w:r>
          </w:p>
        </w:tc>
        <w:tc>
          <w:tcPr>
            <w:tcW w:w="2160" w:type="dxa"/>
            <w:tcBorders>
              <w:top w:val="nil"/>
              <w:left w:val="nil"/>
              <w:bottom w:val="nil"/>
              <w:right w:val="nil"/>
            </w:tcBorders>
            <w:vAlign w:val="center"/>
            <w:hideMark/>
          </w:tcPr>
          <w:p w14:paraId="0AD2BE0A" w14:textId="77777777" w:rsidR="00561FB0" w:rsidRPr="002267F3" w:rsidRDefault="00561FB0" w:rsidP="00561FB0">
            <w:pPr>
              <w:jc w:val="center"/>
              <w:rPr>
                <w:sz w:val="20"/>
                <w:szCs w:val="20"/>
              </w:rPr>
            </w:pPr>
            <w:r w:rsidRPr="002267F3">
              <w:rPr>
                <w:sz w:val="20"/>
                <w:szCs w:val="20"/>
              </w:rPr>
              <w:t>966,360</w:t>
            </w:r>
          </w:p>
        </w:tc>
        <w:tc>
          <w:tcPr>
            <w:tcW w:w="2340" w:type="dxa"/>
            <w:tcBorders>
              <w:top w:val="nil"/>
              <w:left w:val="nil"/>
              <w:bottom w:val="nil"/>
              <w:right w:val="nil"/>
            </w:tcBorders>
            <w:vAlign w:val="center"/>
            <w:hideMark/>
          </w:tcPr>
          <w:p w14:paraId="0AD2BE0B" w14:textId="77777777" w:rsidR="00561FB0" w:rsidRPr="002267F3" w:rsidRDefault="00561FB0" w:rsidP="00561FB0">
            <w:pPr>
              <w:jc w:val="center"/>
              <w:rPr>
                <w:sz w:val="20"/>
                <w:szCs w:val="20"/>
              </w:rPr>
            </w:pPr>
            <w:r w:rsidRPr="002267F3">
              <w:rPr>
                <w:sz w:val="20"/>
                <w:szCs w:val="20"/>
              </w:rPr>
              <w:t>17.0%</w:t>
            </w:r>
          </w:p>
        </w:tc>
      </w:tr>
      <w:tr w:rsidR="00561FB0" w:rsidRPr="00CC5C56" w14:paraId="0AD2BE11" w14:textId="77777777" w:rsidTr="00561FB0">
        <w:trPr>
          <w:trHeight w:val="321"/>
        </w:trPr>
        <w:tc>
          <w:tcPr>
            <w:tcW w:w="2160" w:type="dxa"/>
            <w:tcBorders>
              <w:top w:val="nil"/>
              <w:left w:val="nil"/>
              <w:bottom w:val="nil"/>
              <w:right w:val="nil"/>
            </w:tcBorders>
            <w:vAlign w:val="center"/>
            <w:hideMark/>
          </w:tcPr>
          <w:p w14:paraId="0AD2BE0D" w14:textId="77777777" w:rsidR="00561FB0" w:rsidRPr="002267F3" w:rsidRDefault="00561FB0" w:rsidP="00561FB0">
            <w:pPr>
              <w:jc w:val="center"/>
              <w:rPr>
                <w:sz w:val="20"/>
                <w:szCs w:val="20"/>
              </w:rPr>
            </w:pPr>
            <w:r w:rsidRPr="002267F3">
              <w:rPr>
                <w:sz w:val="20"/>
                <w:szCs w:val="20"/>
              </w:rPr>
              <w:t>2014-15</w:t>
            </w:r>
          </w:p>
        </w:tc>
        <w:tc>
          <w:tcPr>
            <w:tcW w:w="2160" w:type="dxa"/>
            <w:tcBorders>
              <w:top w:val="nil"/>
              <w:left w:val="nil"/>
              <w:bottom w:val="nil"/>
              <w:right w:val="nil"/>
            </w:tcBorders>
            <w:vAlign w:val="center"/>
            <w:hideMark/>
          </w:tcPr>
          <w:p w14:paraId="0AD2BE0E" w14:textId="77777777" w:rsidR="00561FB0" w:rsidRPr="002267F3" w:rsidRDefault="00561FB0" w:rsidP="00561FB0">
            <w:pPr>
              <w:jc w:val="center"/>
              <w:rPr>
                <w:color w:val="000000"/>
                <w:sz w:val="20"/>
                <w:szCs w:val="20"/>
              </w:rPr>
            </w:pPr>
            <w:r w:rsidRPr="002267F3">
              <w:rPr>
                <w:color w:val="000000"/>
                <w:sz w:val="20"/>
                <w:szCs w:val="20"/>
              </w:rPr>
              <w:t>165,060</w:t>
            </w:r>
          </w:p>
        </w:tc>
        <w:tc>
          <w:tcPr>
            <w:tcW w:w="2160" w:type="dxa"/>
            <w:tcBorders>
              <w:top w:val="nil"/>
              <w:left w:val="nil"/>
              <w:bottom w:val="nil"/>
              <w:right w:val="nil"/>
            </w:tcBorders>
            <w:vAlign w:val="center"/>
            <w:hideMark/>
          </w:tcPr>
          <w:p w14:paraId="0AD2BE0F" w14:textId="77777777" w:rsidR="00561FB0" w:rsidRPr="002267F3" w:rsidRDefault="00561FB0" w:rsidP="00561FB0">
            <w:pPr>
              <w:jc w:val="center"/>
              <w:rPr>
                <w:sz w:val="20"/>
                <w:szCs w:val="20"/>
              </w:rPr>
            </w:pPr>
            <w:r w:rsidRPr="002267F3">
              <w:rPr>
                <w:sz w:val="20"/>
                <w:szCs w:val="20"/>
              </w:rPr>
              <w:t>966,391</w:t>
            </w:r>
          </w:p>
        </w:tc>
        <w:tc>
          <w:tcPr>
            <w:tcW w:w="2340" w:type="dxa"/>
            <w:tcBorders>
              <w:top w:val="nil"/>
              <w:left w:val="nil"/>
              <w:bottom w:val="nil"/>
              <w:right w:val="nil"/>
            </w:tcBorders>
            <w:vAlign w:val="center"/>
            <w:hideMark/>
          </w:tcPr>
          <w:p w14:paraId="0AD2BE10" w14:textId="77777777" w:rsidR="00561FB0" w:rsidRPr="002267F3" w:rsidRDefault="00561FB0" w:rsidP="00561FB0">
            <w:pPr>
              <w:jc w:val="center"/>
              <w:rPr>
                <w:sz w:val="20"/>
                <w:szCs w:val="20"/>
              </w:rPr>
            </w:pPr>
            <w:r w:rsidRPr="002267F3">
              <w:rPr>
                <w:sz w:val="20"/>
                <w:szCs w:val="20"/>
              </w:rPr>
              <w:t>17.1%</w:t>
            </w:r>
          </w:p>
        </w:tc>
      </w:tr>
      <w:tr w:rsidR="00561FB0" w:rsidRPr="00CC5C56" w14:paraId="0AD2BE16" w14:textId="77777777" w:rsidTr="00561FB0">
        <w:trPr>
          <w:trHeight w:val="321"/>
        </w:trPr>
        <w:tc>
          <w:tcPr>
            <w:tcW w:w="2160" w:type="dxa"/>
            <w:tcBorders>
              <w:top w:val="nil"/>
              <w:left w:val="nil"/>
              <w:bottom w:val="single" w:sz="12" w:space="0" w:color="auto"/>
              <w:right w:val="nil"/>
            </w:tcBorders>
            <w:vAlign w:val="center"/>
            <w:hideMark/>
          </w:tcPr>
          <w:p w14:paraId="0AD2BE12" w14:textId="77777777" w:rsidR="00561FB0" w:rsidRPr="002267F3" w:rsidRDefault="00561FB0" w:rsidP="00561FB0">
            <w:pPr>
              <w:jc w:val="center"/>
              <w:rPr>
                <w:sz w:val="20"/>
                <w:szCs w:val="20"/>
              </w:rPr>
            </w:pPr>
            <w:r>
              <w:rPr>
                <w:sz w:val="20"/>
                <w:szCs w:val="20"/>
              </w:rPr>
              <w:t>2015-16</w:t>
            </w:r>
          </w:p>
        </w:tc>
        <w:tc>
          <w:tcPr>
            <w:tcW w:w="2160" w:type="dxa"/>
            <w:tcBorders>
              <w:top w:val="nil"/>
              <w:left w:val="nil"/>
              <w:bottom w:val="single" w:sz="12" w:space="0" w:color="auto"/>
              <w:right w:val="nil"/>
            </w:tcBorders>
            <w:vAlign w:val="center"/>
            <w:hideMark/>
          </w:tcPr>
          <w:p w14:paraId="0AD2BE13" w14:textId="77777777" w:rsidR="00561FB0" w:rsidRPr="002267F3" w:rsidRDefault="00561FB0" w:rsidP="00561FB0">
            <w:pPr>
              <w:jc w:val="center"/>
              <w:rPr>
                <w:color w:val="000000"/>
                <w:sz w:val="20"/>
                <w:szCs w:val="20"/>
              </w:rPr>
            </w:pPr>
            <w:r w:rsidRPr="00561FB0">
              <w:rPr>
                <w:color w:val="000000"/>
                <w:sz w:val="20"/>
                <w:szCs w:val="20"/>
              </w:rPr>
              <w:t>165,560</w:t>
            </w:r>
          </w:p>
        </w:tc>
        <w:tc>
          <w:tcPr>
            <w:tcW w:w="2160" w:type="dxa"/>
            <w:tcBorders>
              <w:top w:val="nil"/>
              <w:left w:val="nil"/>
              <w:bottom w:val="single" w:sz="12" w:space="0" w:color="auto"/>
              <w:right w:val="nil"/>
            </w:tcBorders>
            <w:vAlign w:val="center"/>
            <w:hideMark/>
          </w:tcPr>
          <w:p w14:paraId="0AD2BE14" w14:textId="77777777" w:rsidR="00561FB0" w:rsidRPr="002267F3" w:rsidRDefault="00561FB0" w:rsidP="00561FB0">
            <w:pPr>
              <w:jc w:val="center"/>
              <w:rPr>
                <w:sz w:val="20"/>
                <w:szCs w:val="20"/>
              </w:rPr>
            </w:pPr>
            <w:r w:rsidRPr="00561FB0">
              <w:rPr>
                <w:sz w:val="20"/>
                <w:szCs w:val="20"/>
              </w:rPr>
              <w:t>953,429</w:t>
            </w:r>
          </w:p>
        </w:tc>
        <w:tc>
          <w:tcPr>
            <w:tcW w:w="2340" w:type="dxa"/>
            <w:tcBorders>
              <w:top w:val="nil"/>
              <w:left w:val="nil"/>
              <w:bottom w:val="single" w:sz="12" w:space="0" w:color="auto"/>
              <w:right w:val="nil"/>
            </w:tcBorders>
            <w:vAlign w:val="center"/>
            <w:hideMark/>
          </w:tcPr>
          <w:p w14:paraId="0AD2BE15" w14:textId="77777777" w:rsidR="00561FB0" w:rsidRPr="002267F3" w:rsidRDefault="00561FB0" w:rsidP="00561FB0">
            <w:pPr>
              <w:jc w:val="center"/>
              <w:rPr>
                <w:sz w:val="20"/>
                <w:szCs w:val="20"/>
              </w:rPr>
            </w:pPr>
            <w:r w:rsidRPr="00561FB0">
              <w:rPr>
                <w:color w:val="000000"/>
                <w:sz w:val="20"/>
                <w:szCs w:val="20"/>
              </w:rPr>
              <w:t>17.2</w:t>
            </w:r>
            <w:r>
              <w:rPr>
                <w:color w:val="000000"/>
                <w:sz w:val="20"/>
                <w:szCs w:val="20"/>
              </w:rPr>
              <w:t>%</w:t>
            </w:r>
          </w:p>
        </w:tc>
      </w:tr>
    </w:tbl>
    <w:p w14:paraId="0AD2BE17" w14:textId="77777777" w:rsidR="00561FB0" w:rsidRPr="00561FB0" w:rsidRDefault="00561FB0" w:rsidP="003020F2">
      <w:bookmarkStart w:id="3" w:name="_Toc378583123"/>
      <w:bookmarkStart w:id="4" w:name="_Toc374012650"/>
      <w:bookmarkStart w:id="5" w:name="_Toc342312304"/>
      <w:bookmarkStart w:id="6" w:name="_Toc378585456"/>
      <w:r w:rsidRPr="00CB262E">
        <w:rPr>
          <w:i/>
          <w:sz w:val="18"/>
          <w:szCs w:val="18"/>
        </w:rPr>
        <w:t>Source: Massachusetts Student Information Management System</w:t>
      </w:r>
      <w:bookmarkEnd w:id="3"/>
      <w:bookmarkEnd w:id="4"/>
      <w:bookmarkEnd w:id="5"/>
      <w:bookmarkEnd w:id="6"/>
      <w:r w:rsidRPr="00CB262E">
        <w:rPr>
          <w:i/>
          <w:sz w:val="18"/>
          <w:szCs w:val="18"/>
        </w:rPr>
        <w:t xml:space="preserve"> </w:t>
      </w:r>
      <w:r w:rsidRPr="00CB262E">
        <w:rPr>
          <w:i/>
          <w:sz w:val="18"/>
          <w:szCs w:val="18"/>
        </w:rPr>
        <w:br/>
      </w:r>
    </w:p>
    <w:p w14:paraId="0AD2BE18" w14:textId="77777777" w:rsidR="007F1081" w:rsidRDefault="007F1081" w:rsidP="00A413F4">
      <w:pPr>
        <w:pStyle w:val="Heading2"/>
        <w:numPr>
          <w:ilvl w:val="0"/>
          <w:numId w:val="7"/>
        </w:numPr>
        <w:spacing w:before="0"/>
      </w:pPr>
      <w:bookmarkStart w:id="7" w:name="_Toc484008160"/>
      <w:r>
        <w:t>Student Identification by Disability Category</w:t>
      </w:r>
      <w:bookmarkEnd w:id="7"/>
    </w:p>
    <w:p w14:paraId="0AD2BE19" w14:textId="77777777" w:rsidR="000F7065" w:rsidRDefault="000F7065" w:rsidP="000F7065">
      <w:pPr>
        <w:spacing w:before="120" w:after="120"/>
      </w:pPr>
      <w:r w:rsidRPr="0072770E">
        <w:t xml:space="preserve">The following table identifies numbers and percentages of students with </w:t>
      </w:r>
      <w:r>
        <w:t>IEPs by disability category</w:t>
      </w:r>
      <w:r w:rsidR="007771A3">
        <w:t xml:space="preserve">. FY12 and FY16 data are used to </w:t>
      </w:r>
      <w:r w:rsidR="00283191">
        <w:t>illustrate</w:t>
      </w:r>
      <w:r w:rsidR="007771A3">
        <w:t xml:space="preserve"> change over a five-year period within categories</w:t>
      </w:r>
      <w:r>
        <w:t>. (</w:t>
      </w:r>
      <w:r w:rsidRPr="00AC171C">
        <w:t xml:space="preserve">Values </w:t>
      </w:r>
      <w:r>
        <w:t xml:space="preserve">are </w:t>
      </w:r>
      <w:r w:rsidRPr="00AC171C">
        <w:t>rounded to the nearest 0.1</w:t>
      </w:r>
      <w:r>
        <w:t>.)</w:t>
      </w:r>
    </w:p>
    <w:p w14:paraId="0AD2BE1A" w14:textId="77777777" w:rsidR="000F7065" w:rsidRPr="00303C7E" w:rsidRDefault="000F7065" w:rsidP="00303C7E">
      <w:pPr>
        <w:spacing w:after="240"/>
        <w:rPr>
          <w:b/>
          <w:color w:val="000000" w:themeColor="text1"/>
        </w:rPr>
      </w:pPr>
      <w:r w:rsidRPr="00303C7E">
        <w:rPr>
          <w:b/>
          <w:color w:val="000000" w:themeColor="text1"/>
        </w:rPr>
        <w:t>Table 2: Number and Percentage of Disability Categories Ages 3-21 (</w:t>
      </w:r>
      <w:r w:rsidR="007771A3">
        <w:rPr>
          <w:b/>
          <w:color w:val="000000" w:themeColor="text1"/>
        </w:rPr>
        <w:t xml:space="preserve">FY12 and </w:t>
      </w:r>
      <w:r w:rsidRPr="00303C7E">
        <w:rPr>
          <w:b/>
          <w:color w:val="000000" w:themeColor="text1"/>
        </w:rPr>
        <w:t>FY16)</w:t>
      </w:r>
    </w:p>
    <w:tbl>
      <w:tblPr>
        <w:tblW w:w="8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070"/>
        <w:gridCol w:w="1010"/>
        <w:gridCol w:w="901"/>
        <w:gridCol w:w="1010"/>
        <w:gridCol w:w="989"/>
        <w:gridCol w:w="1174"/>
      </w:tblGrid>
      <w:tr w:rsidR="00283191" w:rsidRPr="00283191" w14:paraId="0AD2BE1F" w14:textId="77777777" w:rsidTr="00445492">
        <w:trPr>
          <w:trHeight w:val="288"/>
        </w:trPr>
        <w:tc>
          <w:tcPr>
            <w:tcW w:w="3070" w:type="dxa"/>
            <w:vMerge w:val="restart"/>
            <w:vAlign w:val="center"/>
            <w:hideMark/>
          </w:tcPr>
          <w:p w14:paraId="0AD2BE1B" w14:textId="77777777" w:rsidR="00283191" w:rsidRPr="00283191" w:rsidRDefault="00283191" w:rsidP="000F7065">
            <w:pPr>
              <w:rPr>
                <w:b/>
                <w:sz w:val="20"/>
                <w:szCs w:val="20"/>
              </w:rPr>
            </w:pPr>
            <w:r w:rsidRPr="00283191">
              <w:rPr>
                <w:b/>
                <w:sz w:val="20"/>
                <w:szCs w:val="20"/>
              </w:rPr>
              <w:t>Primary Disability</w:t>
            </w:r>
          </w:p>
        </w:tc>
        <w:tc>
          <w:tcPr>
            <w:tcW w:w="1911" w:type="dxa"/>
            <w:gridSpan w:val="2"/>
            <w:vAlign w:val="center"/>
            <w:hideMark/>
          </w:tcPr>
          <w:p w14:paraId="0AD2BE1C" w14:textId="77777777" w:rsidR="00283191" w:rsidRPr="00283191" w:rsidRDefault="00283191" w:rsidP="00445492">
            <w:pPr>
              <w:jc w:val="center"/>
              <w:rPr>
                <w:b/>
                <w:sz w:val="20"/>
                <w:szCs w:val="20"/>
              </w:rPr>
            </w:pPr>
            <w:r w:rsidRPr="00283191">
              <w:rPr>
                <w:b/>
                <w:sz w:val="20"/>
                <w:szCs w:val="20"/>
              </w:rPr>
              <w:t>FY12</w:t>
            </w:r>
          </w:p>
        </w:tc>
        <w:tc>
          <w:tcPr>
            <w:tcW w:w="1999" w:type="dxa"/>
            <w:gridSpan w:val="2"/>
            <w:vAlign w:val="center"/>
          </w:tcPr>
          <w:p w14:paraId="0AD2BE1D" w14:textId="77777777" w:rsidR="00283191" w:rsidRPr="00283191" w:rsidRDefault="00283191" w:rsidP="00445492">
            <w:pPr>
              <w:jc w:val="center"/>
              <w:rPr>
                <w:b/>
                <w:sz w:val="20"/>
                <w:szCs w:val="20"/>
              </w:rPr>
            </w:pPr>
            <w:r w:rsidRPr="00283191">
              <w:rPr>
                <w:b/>
                <w:sz w:val="20"/>
                <w:szCs w:val="20"/>
              </w:rPr>
              <w:t>FY16</w:t>
            </w:r>
          </w:p>
        </w:tc>
        <w:tc>
          <w:tcPr>
            <w:tcW w:w="1174" w:type="dxa"/>
            <w:vAlign w:val="center"/>
          </w:tcPr>
          <w:p w14:paraId="0AD2BE1E" w14:textId="77777777" w:rsidR="00283191" w:rsidRPr="00283191" w:rsidRDefault="00283191" w:rsidP="00445492">
            <w:pPr>
              <w:jc w:val="center"/>
              <w:rPr>
                <w:b/>
                <w:sz w:val="20"/>
                <w:szCs w:val="20"/>
              </w:rPr>
            </w:pPr>
            <w:r w:rsidRPr="00283191">
              <w:rPr>
                <w:b/>
                <w:sz w:val="20"/>
                <w:szCs w:val="20"/>
              </w:rPr>
              <w:t>Percentage Change</w:t>
            </w:r>
          </w:p>
        </w:tc>
      </w:tr>
      <w:tr w:rsidR="00283191" w:rsidRPr="00283191" w14:paraId="0AD2BE26" w14:textId="77777777" w:rsidTr="00283191">
        <w:trPr>
          <w:trHeight w:val="258"/>
        </w:trPr>
        <w:tc>
          <w:tcPr>
            <w:tcW w:w="3070" w:type="dxa"/>
            <w:vMerge/>
            <w:vAlign w:val="center"/>
            <w:hideMark/>
          </w:tcPr>
          <w:p w14:paraId="0AD2BE20" w14:textId="77777777" w:rsidR="00283191" w:rsidRPr="00283191" w:rsidRDefault="00283191" w:rsidP="000F7065">
            <w:pPr>
              <w:rPr>
                <w:sz w:val="20"/>
                <w:szCs w:val="20"/>
              </w:rPr>
            </w:pPr>
          </w:p>
        </w:tc>
        <w:tc>
          <w:tcPr>
            <w:tcW w:w="1010" w:type="dxa"/>
            <w:vAlign w:val="center"/>
            <w:hideMark/>
          </w:tcPr>
          <w:p w14:paraId="0AD2BE21" w14:textId="77777777" w:rsidR="00283191" w:rsidRPr="00283191" w:rsidRDefault="00283191" w:rsidP="00283191">
            <w:pPr>
              <w:rPr>
                <w:sz w:val="20"/>
                <w:szCs w:val="20"/>
              </w:rPr>
            </w:pPr>
            <w:r w:rsidRPr="00283191">
              <w:rPr>
                <w:sz w:val="20"/>
                <w:szCs w:val="20"/>
              </w:rPr>
              <w:t>#</w:t>
            </w:r>
          </w:p>
        </w:tc>
        <w:tc>
          <w:tcPr>
            <w:tcW w:w="901" w:type="dxa"/>
            <w:vAlign w:val="center"/>
            <w:hideMark/>
          </w:tcPr>
          <w:p w14:paraId="0AD2BE22" w14:textId="77777777" w:rsidR="00283191" w:rsidRPr="00283191" w:rsidRDefault="00283191" w:rsidP="00283191">
            <w:pPr>
              <w:rPr>
                <w:sz w:val="20"/>
                <w:szCs w:val="20"/>
              </w:rPr>
            </w:pPr>
            <w:r w:rsidRPr="00283191">
              <w:rPr>
                <w:sz w:val="20"/>
                <w:szCs w:val="20"/>
              </w:rPr>
              <w:t>%</w:t>
            </w:r>
          </w:p>
        </w:tc>
        <w:tc>
          <w:tcPr>
            <w:tcW w:w="1010" w:type="dxa"/>
          </w:tcPr>
          <w:p w14:paraId="0AD2BE23" w14:textId="77777777" w:rsidR="00283191" w:rsidRPr="00283191" w:rsidRDefault="00283191" w:rsidP="00283191">
            <w:pPr>
              <w:rPr>
                <w:sz w:val="20"/>
                <w:szCs w:val="20"/>
              </w:rPr>
            </w:pPr>
            <w:r w:rsidRPr="00283191">
              <w:rPr>
                <w:sz w:val="20"/>
                <w:szCs w:val="20"/>
              </w:rPr>
              <w:t>#</w:t>
            </w:r>
          </w:p>
        </w:tc>
        <w:tc>
          <w:tcPr>
            <w:tcW w:w="989" w:type="dxa"/>
          </w:tcPr>
          <w:p w14:paraId="0AD2BE24" w14:textId="77777777" w:rsidR="00283191" w:rsidRPr="00283191" w:rsidRDefault="00283191" w:rsidP="00283191">
            <w:pPr>
              <w:rPr>
                <w:sz w:val="20"/>
                <w:szCs w:val="20"/>
              </w:rPr>
            </w:pPr>
            <w:r w:rsidRPr="00283191">
              <w:rPr>
                <w:sz w:val="20"/>
                <w:szCs w:val="20"/>
              </w:rPr>
              <w:t>%</w:t>
            </w:r>
          </w:p>
        </w:tc>
        <w:tc>
          <w:tcPr>
            <w:tcW w:w="1174" w:type="dxa"/>
          </w:tcPr>
          <w:p w14:paraId="0AD2BE25" w14:textId="77777777" w:rsidR="00283191" w:rsidRPr="00283191" w:rsidRDefault="00283191" w:rsidP="00283191">
            <w:pPr>
              <w:rPr>
                <w:sz w:val="20"/>
                <w:szCs w:val="20"/>
              </w:rPr>
            </w:pPr>
            <w:r>
              <w:rPr>
                <w:sz w:val="20"/>
                <w:szCs w:val="20"/>
              </w:rPr>
              <w:t>%</w:t>
            </w:r>
          </w:p>
        </w:tc>
      </w:tr>
      <w:tr w:rsidR="00283191" w:rsidRPr="00283191" w14:paraId="0AD2BE2D" w14:textId="77777777" w:rsidTr="00283191">
        <w:trPr>
          <w:trHeight w:val="258"/>
        </w:trPr>
        <w:tc>
          <w:tcPr>
            <w:tcW w:w="3070" w:type="dxa"/>
            <w:vAlign w:val="center"/>
            <w:hideMark/>
          </w:tcPr>
          <w:p w14:paraId="0AD2BE27" w14:textId="77777777" w:rsidR="00283191" w:rsidRPr="00283191" w:rsidRDefault="00283191" w:rsidP="000F7065">
            <w:pPr>
              <w:rPr>
                <w:sz w:val="20"/>
                <w:szCs w:val="20"/>
              </w:rPr>
            </w:pPr>
            <w:r w:rsidRPr="00283191">
              <w:rPr>
                <w:sz w:val="20"/>
                <w:szCs w:val="20"/>
              </w:rPr>
              <w:t>Specific Learning Disability</w:t>
            </w:r>
          </w:p>
        </w:tc>
        <w:tc>
          <w:tcPr>
            <w:tcW w:w="1010" w:type="dxa"/>
            <w:vAlign w:val="bottom"/>
            <w:hideMark/>
          </w:tcPr>
          <w:p w14:paraId="0AD2BE28" w14:textId="77777777" w:rsidR="00283191" w:rsidRPr="00283191" w:rsidRDefault="00283191" w:rsidP="000F7065">
            <w:pPr>
              <w:rPr>
                <w:sz w:val="20"/>
                <w:szCs w:val="20"/>
              </w:rPr>
            </w:pPr>
            <w:r w:rsidRPr="00283191">
              <w:rPr>
                <w:sz w:val="20"/>
                <w:szCs w:val="20"/>
              </w:rPr>
              <w:t>48,057</w:t>
            </w:r>
          </w:p>
        </w:tc>
        <w:tc>
          <w:tcPr>
            <w:tcW w:w="901" w:type="dxa"/>
            <w:vAlign w:val="bottom"/>
            <w:hideMark/>
          </w:tcPr>
          <w:p w14:paraId="0AD2BE29" w14:textId="77777777" w:rsidR="00283191" w:rsidRPr="00283191" w:rsidRDefault="00283191" w:rsidP="000F7065">
            <w:pPr>
              <w:rPr>
                <w:sz w:val="20"/>
                <w:szCs w:val="20"/>
              </w:rPr>
            </w:pPr>
            <w:r w:rsidRPr="00283191">
              <w:rPr>
                <w:sz w:val="20"/>
                <w:szCs w:val="20"/>
              </w:rPr>
              <w:t>29.4%</w:t>
            </w:r>
          </w:p>
        </w:tc>
        <w:tc>
          <w:tcPr>
            <w:tcW w:w="1010" w:type="dxa"/>
            <w:vAlign w:val="bottom"/>
          </w:tcPr>
          <w:p w14:paraId="0AD2BE2A" w14:textId="77777777" w:rsidR="00283191" w:rsidRPr="00283191" w:rsidRDefault="00283191" w:rsidP="00D5394C">
            <w:pPr>
              <w:rPr>
                <w:sz w:val="20"/>
                <w:szCs w:val="20"/>
              </w:rPr>
            </w:pPr>
            <w:r w:rsidRPr="00283191">
              <w:rPr>
                <w:sz w:val="20"/>
                <w:szCs w:val="20"/>
              </w:rPr>
              <w:t>41,669</w:t>
            </w:r>
          </w:p>
        </w:tc>
        <w:tc>
          <w:tcPr>
            <w:tcW w:w="989" w:type="dxa"/>
            <w:vAlign w:val="bottom"/>
          </w:tcPr>
          <w:p w14:paraId="0AD2BE2B" w14:textId="77777777" w:rsidR="00283191" w:rsidRPr="00283191" w:rsidRDefault="00283191" w:rsidP="00D5394C">
            <w:pPr>
              <w:rPr>
                <w:sz w:val="20"/>
                <w:szCs w:val="20"/>
              </w:rPr>
            </w:pPr>
            <w:r w:rsidRPr="00283191">
              <w:rPr>
                <w:sz w:val="20"/>
                <w:szCs w:val="20"/>
              </w:rPr>
              <w:t>25.2%</w:t>
            </w:r>
          </w:p>
        </w:tc>
        <w:tc>
          <w:tcPr>
            <w:tcW w:w="1174" w:type="dxa"/>
          </w:tcPr>
          <w:p w14:paraId="0AD2BE2C" w14:textId="77777777" w:rsidR="00283191" w:rsidRPr="00283191" w:rsidRDefault="00283191" w:rsidP="00D5394C">
            <w:pPr>
              <w:rPr>
                <w:sz w:val="20"/>
                <w:szCs w:val="20"/>
              </w:rPr>
            </w:pPr>
            <w:r>
              <w:rPr>
                <w:sz w:val="20"/>
                <w:szCs w:val="20"/>
              </w:rPr>
              <w:t>-4.2</w:t>
            </w:r>
          </w:p>
        </w:tc>
      </w:tr>
      <w:tr w:rsidR="00283191" w:rsidRPr="00283191" w14:paraId="0AD2BE34" w14:textId="77777777" w:rsidTr="00283191">
        <w:trPr>
          <w:trHeight w:val="258"/>
        </w:trPr>
        <w:tc>
          <w:tcPr>
            <w:tcW w:w="3070" w:type="dxa"/>
            <w:vAlign w:val="center"/>
            <w:hideMark/>
          </w:tcPr>
          <w:p w14:paraId="0AD2BE2E" w14:textId="77777777" w:rsidR="00283191" w:rsidRPr="00283191" w:rsidRDefault="00283191" w:rsidP="000F7065">
            <w:pPr>
              <w:rPr>
                <w:sz w:val="20"/>
                <w:szCs w:val="20"/>
              </w:rPr>
            </w:pPr>
            <w:r w:rsidRPr="00283191">
              <w:rPr>
                <w:sz w:val="20"/>
                <w:szCs w:val="20"/>
              </w:rPr>
              <w:t>Communication</w:t>
            </w:r>
          </w:p>
        </w:tc>
        <w:tc>
          <w:tcPr>
            <w:tcW w:w="1010" w:type="dxa"/>
            <w:vAlign w:val="bottom"/>
            <w:hideMark/>
          </w:tcPr>
          <w:p w14:paraId="0AD2BE2F" w14:textId="77777777" w:rsidR="00283191" w:rsidRPr="00283191" w:rsidRDefault="00283191" w:rsidP="000F7065">
            <w:pPr>
              <w:rPr>
                <w:sz w:val="20"/>
                <w:szCs w:val="20"/>
              </w:rPr>
            </w:pPr>
            <w:r w:rsidRPr="00283191">
              <w:rPr>
                <w:sz w:val="20"/>
                <w:szCs w:val="20"/>
              </w:rPr>
              <w:t>29,444</w:t>
            </w:r>
          </w:p>
        </w:tc>
        <w:tc>
          <w:tcPr>
            <w:tcW w:w="901" w:type="dxa"/>
            <w:vAlign w:val="bottom"/>
            <w:hideMark/>
          </w:tcPr>
          <w:p w14:paraId="0AD2BE30" w14:textId="77777777" w:rsidR="00283191" w:rsidRPr="00283191" w:rsidRDefault="00283191" w:rsidP="000F7065">
            <w:pPr>
              <w:rPr>
                <w:sz w:val="20"/>
                <w:szCs w:val="20"/>
              </w:rPr>
            </w:pPr>
            <w:r w:rsidRPr="00283191">
              <w:rPr>
                <w:sz w:val="20"/>
                <w:szCs w:val="20"/>
              </w:rPr>
              <w:t>18.0%</w:t>
            </w:r>
          </w:p>
        </w:tc>
        <w:tc>
          <w:tcPr>
            <w:tcW w:w="1010" w:type="dxa"/>
            <w:vAlign w:val="bottom"/>
          </w:tcPr>
          <w:p w14:paraId="0AD2BE31" w14:textId="77777777" w:rsidR="00283191" w:rsidRPr="00283191" w:rsidRDefault="00283191" w:rsidP="00D5394C">
            <w:pPr>
              <w:rPr>
                <w:sz w:val="20"/>
                <w:szCs w:val="20"/>
              </w:rPr>
            </w:pPr>
            <w:r w:rsidRPr="00283191">
              <w:rPr>
                <w:sz w:val="20"/>
                <w:szCs w:val="20"/>
              </w:rPr>
              <w:t>26,822</w:t>
            </w:r>
          </w:p>
        </w:tc>
        <w:tc>
          <w:tcPr>
            <w:tcW w:w="989" w:type="dxa"/>
            <w:vAlign w:val="bottom"/>
          </w:tcPr>
          <w:p w14:paraId="0AD2BE32" w14:textId="77777777" w:rsidR="00283191" w:rsidRPr="00283191" w:rsidRDefault="00283191" w:rsidP="00D5394C">
            <w:pPr>
              <w:rPr>
                <w:sz w:val="20"/>
                <w:szCs w:val="20"/>
              </w:rPr>
            </w:pPr>
            <w:r w:rsidRPr="00283191">
              <w:rPr>
                <w:sz w:val="20"/>
                <w:szCs w:val="20"/>
              </w:rPr>
              <w:t>16.2%</w:t>
            </w:r>
          </w:p>
        </w:tc>
        <w:tc>
          <w:tcPr>
            <w:tcW w:w="1174" w:type="dxa"/>
          </w:tcPr>
          <w:p w14:paraId="0AD2BE33" w14:textId="77777777" w:rsidR="00283191" w:rsidRPr="00283191" w:rsidRDefault="00C346B5" w:rsidP="00D5394C">
            <w:pPr>
              <w:rPr>
                <w:sz w:val="20"/>
                <w:szCs w:val="20"/>
              </w:rPr>
            </w:pPr>
            <w:r>
              <w:rPr>
                <w:sz w:val="20"/>
                <w:szCs w:val="20"/>
              </w:rPr>
              <w:t>-1.8</w:t>
            </w:r>
          </w:p>
        </w:tc>
      </w:tr>
      <w:tr w:rsidR="00283191" w:rsidRPr="00283191" w14:paraId="0AD2BE3B" w14:textId="77777777" w:rsidTr="00283191">
        <w:trPr>
          <w:trHeight w:val="258"/>
        </w:trPr>
        <w:tc>
          <w:tcPr>
            <w:tcW w:w="3070" w:type="dxa"/>
            <w:vAlign w:val="center"/>
            <w:hideMark/>
          </w:tcPr>
          <w:p w14:paraId="0AD2BE35" w14:textId="77777777" w:rsidR="00283191" w:rsidRPr="00283191" w:rsidRDefault="00283191" w:rsidP="000F7065">
            <w:pPr>
              <w:rPr>
                <w:sz w:val="20"/>
                <w:szCs w:val="20"/>
              </w:rPr>
            </w:pPr>
            <w:r w:rsidRPr="00283191">
              <w:rPr>
                <w:sz w:val="20"/>
                <w:szCs w:val="20"/>
              </w:rPr>
              <w:t>Health</w:t>
            </w:r>
          </w:p>
        </w:tc>
        <w:tc>
          <w:tcPr>
            <w:tcW w:w="1010" w:type="dxa"/>
            <w:vAlign w:val="bottom"/>
            <w:hideMark/>
          </w:tcPr>
          <w:p w14:paraId="0AD2BE36" w14:textId="77777777" w:rsidR="00283191" w:rsidRPr="00283191" w:rsidRDefault="00283191" w:rsidP="000F7065">
            <w:pPr>
              <w:rPr>
                <w:sz w:val="20"/>
                <w:szCs w:val="20"/>
              </w:rPr>
            </w:pPr>
            <w:r w:rsidRPr="00283191">
              <w:rPr>
                <w:sz w:val="20"/>
                <w:szCs w:val="20"/>
              </w:rPr>
              <w:t>15,304</w:t>
            </w:r>
          </w:p>
        </w:tc>
        <w:tc>
          <w:tcPr>
            <w:tcW w:w="901" w:type="dxa"/>
            <w:vAlign w:val="bottom"/>
            <w:hideMark/>
          </w:tcPr>
          <w:p w14:paraId="0AD2BE37" w14:textId="77777777" w:rsidR="00283191" w:rsidRPr="00283191" w:rsidRDefault="00283191" w:rsidP="000F7065">
            <w:pPr>
              <w:rPr>
                <w:sz w:val="20"/>
                <w:szCs w:val="20"/>
              </w:rPr>
            </w:pPr>
            <w:r w:rsidRPr="00283191">
              <w:rPr>
                <w:sz w:val="20"/>
                <w:szCs w:val="20"/>
              </w:rPr>
              <w:t>9.4%</w:t>
            </w:r>
          </w:p>
        </w:tc>
        <w:tc>
          <w:tcPr>
            <w:tcW w:w="1010" w:type="dxa"/>
            <w:vAlign w:val="bottom"/>
          </w:tcPr>
          <w:p w14:paraId="0AD2BE38" w14:textId="77777777" w:rsidR="00283191" w:rsidRPr="00283191" w:rsidRDefault="00283191" w:rsidP="00D5394C">
            <w:pPr>
              <w:rPr>
                <w:sz w:val="20"/>
                <w:szCs w:val="20"/>
              </w:rPr>
            </w:pPr>
            <w:r w:rsidRPr="00283191">
              <w:rPr>
                <w:sz w:val="20"/>
                <w:szCs w:val="20"/>
              </w:rPr>
              <w:t>20,692</w:t>
            </w:r>
          </w:p>
        </w:tc>
        <w:tc>
          <w:tcPr>
            <w:tcW w:w="989" w:type="dxa"/>
            <w:vAlign w:val="bottom"/>
          </w:tcPr>
          <w:p w14:paraId="0AD2BE39" w14:textId="77777777" w:rsidR="00283191" w:rsidRPr="00283191" w:rsidRDefault="00283191" w:rsidP="00D5394C">
            <w:pPr>
              <w:rPr>
                <w:sz w:val="20"/>
                <w:szCs w:val="20"/>
              </w:rPr>
            </w:pPr>
            <w:r w:rsidRPr="00283191">
              <w:rPr>
                <w:sz w:val="20"/>
                <w:szCs w:val="20"/>
              </w:rPr>
              <w:t>12.5%</w:t>
            </w:r>
          </w:p>
        </w:tc>
        <w:tc>
          <w:tcPr>
            <w:tcW w:w="1174" w:type="dxa"/>
          </w:tcPr>
          <w:p w14:paraId="0AD2BE3A" w14:textId="77777777" w:rsidR="00283191" w:rsidRPr="00283191" w:rsidRDefault="00C346B5" w:rsidP="00D5394C">
            <w:pPr>
              <w:rPr>
                <w:sz w:val="20"/>
                <w:szCs w:val="20"/>
              </w:rPr>
            </w:pPr>
            <w:r>
              <w:rPr>
                <w:sz w:val="20"/>
                <w:szCs w:val="20"/>
              </w:rPr>
              <w:t>+3.1</w:t>
            </w:r>
          </w:p>
        </w:tc>
      </w:tr>
      <w:tr w:rsidR="00283191" w:rsidRPr="00283191" w14:paraId="0AD2BE42" w14:textId="77777777" w:rsidTr="00283191">
        <w:trPr>
          <w:trHeight w:val="258"/>
        </w:trPr>
        <w:tc>
          <w:tcPr>
            <w:tcW w:w="3070" w:type="dxa"/>
            <w:vAlign w:val="center"/>
            <w:hideMark/>
          </w:tcPr>
          <w:p w14:paraId="0AD2BE3C" w14:textId="77777777" w:rsidR="00283191" w:rsidRPr="00283191" w:rsidRDefault="00283191" w:rsidP="00BB27E5">
            <w:pPr>
              <w:rPr>
                <w:sz w:val="20"/>
                <w:szCs w:val="20"/>
              </w:rPr>
            </w:pPr>
            <w:r w:rsidRPr="00283191">
              <w:rPr>
                <w:sz w:val="20"/>
                <w:szCs w:val="20"/>
              </w:rPr>
              <w:t>Autism</w:t>
            </w:r>
          </w:p>
        </w:tc>
        <w:tc>
          <w:tcPr>
            <w:tcW w:w="1010" w:type="dxa"/>
            <w:vAlign w:val="bottom"/>
            <w:hideMark/>
          </w:tcPr>
          <w:p w14:paraId="0AD2BE3D" w14:textId="77777777" w:rsidR="00283191" w:rsidRPr="00283191" w:rsidRDefault="00283191" w:rsidP="00BB27E5">
            <w:pPr>
              <w:rPr>
                <w:sz w:val="20"/>
                <w:szCs w:val="20"/>
              </w:rPr>
            </w:pPr>
            <w:r w:rsidRPr="00283191">
              <w:rPr>
                <w:sz w:val="20"/>
                <w:szCs w:val="20"/>
              </w:rPr>
              <w:t>13,228</w:t>
            </w:r>
          </w:p>
        </w:tc>
        <w:tc>
          <w:tcPr>
            <w:tcW w:w="901" w:type="dxa"/>
            <w:vAlign w:val="bottom"/>
            <w:hideMark/>
          </w:tcPr>
          <w:p w14:paraId="0AD2BE3E" w14:textId="77777777" w:rsidR="00283191" w:rsidRPr="00283191" w:rsidRDefault="00283191" w:rsidP="00BB27E5">
            <w:pPr>
              <w:rPr>
                <w:sz w:val="20"/>
                <w:szCs w:val="20"/>
              </w:rPr>
            </w:pPr>
            <w:r w:rsidRPr="00283191">
              <w:rPr>
                <w:sz w:val="20"/>
                <w:szCs w:val="20"/>
              </w:rPr>
              <w:t>8.1%</w:t>
            </w:r>
          </w:p>
        </w:tc>
        <w:tc>
          <w:tcPr>
            <w:tcW w:w="1010" w:type="dxa"/>
            <w:vAlign w:val="bottom"/>
          </w:tcPr>
          <w:p w14:paraId="0AD2BE3F" w14:textId="77777777" w:rsidR="00283191" w:rsidRPr="00283191" w:rsidRDefault="00283191" w:rsidP="00D5394C">
            <w:pPr>
              <w:rPr>
                <w:sz w:val="20"/>
                <w:szCs w:val="20"/>
              </w:rPr>
            </w:pPr>
            <w:r w:rsidRPr="00283191">
              <w:rPr>
                <w:sz w:val="20"/>
                <w:szCs w:val="20"/>
              </w:rPr>
              <w:t>18,572</w:t>
            </w:r>
          </w:p>
        </w:tc>
        <w:tc>
          <w:tcPr>
            <w:tcW w:w="989" w:type="dxa"/>
            <w:vAlign w:val="bottom"/>
          </w:tcPr>
          <w:p w14:paraId="0AD2BE40" w14:textId="77777777" w:rsidR="00283191" w:rsidRPr="00283191" w:rsidRDefault="00283191" w:rsidP="00D5394C">
            <w:pPr>
              <w:rPr>
                <w:sz w:val="20"/>
                <w:szCs w:val="20"/>
              </w:rPr>
            </w:pPr>
            <w:r w:rsidRPr="00283191">
              <w:rPr>
                <w:sz w:val="20"/>
                <w:szCs w:val="20"/>
              </w:rPr>
              <w:t>11.2%</w:t>
            </w:r>
          </w:p>
        </w:tc>
        <w:tc>
          <w:tcPr>
            <w:tcW w:w="1174" w:type="dxa"/>
          </w:tcPr>
          <w:p w14:paraId="0AD2BE41" w14:textId="77777777" w:rsidR="00283191" w:rsidRPr="00283191" w:rsidRDefault="00C346B5" w:rsidP="00D5394C">
            <w:pPr>
              <w:rPr>
                <w:sz w:val="20"/>
                <w:szCs w:val="20"/>
              </w:rPr>
            </w:pPr>
            <w:r>
              <w:rPr>
                <w:sz w:val="20"/>
                <w:szCs w:val="20"/>
              </w:rPr>
              <w:t>+3.1</w:t>
            </w:r>
          </w:p>
        </w:tc>
      </w:tr>
      <w:tr w:rsidR="00283191" w:rsidRPr="00283191" w14:paraId="0AD2BE49" w14:textId="77777777" w:rsidTr="00283191">
        <w:trPr>
          <w:trHeight w:val="258"/>
        </w:trPr>
        <w:tc>
          <w:tcPr>
            <w:tcW w:w="3070" w:type="dxa"/>
            <w:vAlign w:val="center"/>
            <w:hideMark/>
          </w:tcPr>
          <w:p w14:paraId="0AD2BE43" w14:textId="77777777" w:rsidR="00283191" w:rsidRPr="00283191" w:rsidRDefault="00283191" w:rsidP="000F7065">
            <w:pPr>
              <w:rPr>
                <w:sz w:val="20"/>
                <w:szCs w:val="20"/>
              </w:rPr>
            </w:pPr>
            <w:r w:rsidRPr="00283191">
              <w:rPr>
                <w:sz w:val="20"/>
                <w:szCs w:val="20"/>
              </w:rPr>
              <w:t>Developmental Delay</w:t>
            </w:r>
          </w:p>
        </w:tc>
        <w:tc>
          <w:tcPr>
            <w:tcW w:w="1010" w:type="dxa"/>
            <w:vAlign w:val="bottom"/>
            <w:hideMark/>
          </w:tcPr>
          <w:p w14:paraId="0AD2BE44" w14:textId="77777777" w:rsidR="00283191" w:rsidRPr="00283191" w:rsidRDefault="00283191" w:rsidP="000F7065">
            <w:pPr>
              <w:rPr>
                <w:sz w:val="20"/>
                <w:szCs w:val="20"/>
              </w:rPr>
            </w:pPr>
            <w:r w:rsidRPr="00283191">
              <w:rPr>
                <w:sz w:val="20"/>
                <w:szCs w:val="20"/>
              </w:rPr>
              <w:t>17,552</w:t>
            </w:r>
          </w:p>
        </w:tc>
        <w:tc>
          <w:tcPr>
            <w:tcW w:w="901" w:type="dxa"/>
            <w:vAlign w:val="bottom"/>
            <w:hideMark/>
          </w:tcPr>
          <w:p w14:paraId="0AD2BE45" w14:textId="77777777" w:rsidR="00283191" w:rsidRPr="00283191" w:rsidRDefault="00283191" w:rsidP="000F7065">
            <w:pPr>
              <w:rPr>
                <w:sz w:val="20"/>
                <w:szCs w:val="20"/>
              </w:rPr>
            </w:pPr>
            <w:r w:rsidRPr="00283191">
              <w:rPr>
                <w:sz w:val="20"/>
                <w:szCs w:val="20"/>
              </w:rPr>
              <w:t>10.7%</w:t>
            </w:r>
          </w:p>
        </w:tc>
        <w:tc>
          <w:tcPr>
            <w:tcW w:w="1010" w:type="dxa"/>
            <w:vAlign w:val="bottom"/>
          </w:tcPr>
          <w:p w14:paraId="0AD2BE46" w14:textId="77777777" w:rsidR="00283191" w:rsidRPr="00283191" w:rsidRDefault="00283191" w:rsidP="00D5394C">
            <w:pPr>
              <w:rPr>
                <w:sz w:val="20"/>
                <w:szCs w:val="20"/>
              </w:rPr>
            </w:pPr>
            <w:r w:rsidRPr="00283191">
              <w:rPr>
                <w:sz w:val="20"/>
                <w:szCs w:val="20"/>
              </w:rPr>
              <w:t>18,011</w:t>
            </w:r>
          </w:p>
        </w:tc>
        <w:tc>
          <w:tcPr>
            <w:tcW w:w="989" w:type="dxa"/>
            <w:vAlign w:val="bottom"/>
          </w:tcPr>
          <w:p w14:paraId="0AD2BE47" w14:textId="77777777" w:rsidR="00283191" w:rsidRPr="00283191" w:rsidRDefault="00283191" w:rsidP="00D5394C">
            <w:pPr>
              <w:rPr>
                <w:sz w:val="20"/>
                <w:szCs w:val="20"/>
              </w:rPr>
            </w:pPr>
            <w:r w:rsidRPr="00283191">
              <w:rPr>
                <w:sz w:val="20"/>
                <w:szCs w:val="20"/>
              </w:rPr>
              <w:t>10.9%</w:t>
            </w:r>
          </w:p>
        </w:tc>
        <w:tc>
          <w:tcPr>
            <w:tcW w:w="1174" w:type="dxa"/>
          </w:tcPr>
          <w:p w14:paraId="0AD2BE48" w14:textId="77777777" w:rsidR="00283191" w:rsidRPr="00283191" w:rsidRDefault="00C346B5" w:rsidP="00D5394C">
            <w:pPr>
              <w:rPr>
                <w:sz w:val="20"/>
                <w:szCs w:val="20"/>
              </w:rPr>
            </w:pPr>
            <w:r>
              <w:rPr>
                <w:sz w:val="20"/>
                <w:szCs w:val="20"/>
              </w:rPr>
              <w:t>+0.2</w:t>
            </w:r>
          </w:p>
        </w:tc>
      </w:tr>
      <w:tr w:rsidR="00283191" w:rsidRPr="00283191" w14:paraId="0AD2BE50" w14:textId="77777777" w:rsidTr="00283191">
        <w:trPr>
          <w:trHeight w:val="258"/>
        </w:trPr>
        <w:tc>
          <w:tcPr>
            <w:tcW w:w="3070" w:type="dxa"/>
            <w:vAlign w:val="center"/>
            <w:hideMark/>
          </w:tcPr>
          <w:p w14:paraId="0AD2BE4A" w14:textId="77777777" w:rsidR="00283191" w:rsidRPr="00283191" w:rsidRDefault="00283191" w:rsidP="00BB27E5">
            <w:pPr>
              <w:rPr>
                <w:sz w:val="20"/>
                <w:szCs w:val="20"/>
              </w:rPr>
            </w:pPr>
            <w:r w:rsidRPr="00283191">
              <w:rPr>
                <w:sz w:val="20"/>
                <w:szCs w:val="20"/>
              </w:rPr>
              <w:t>Emotional</w:t>
            </w:r>
          </w:p>
        </w:tc>
        <w:tc>
          <w:tcPr>
            <w:tcW w:w="1010" w:type="dxa"/>
            <w:vAlign w:val="bottom"/>
            <w:hideMark/>
          </w:tcPr>
          <w:p w14:paraId="0AD2BE4B" w14:textId="77777777" w:rsidR="00283191" w:rsidRPr="00283191" w:rsidRDefault="00283191" w:rsidP="00BB27E5">
            <w:pPr>
              <w:rPr>
                <w:sz w:val="20"/>
                <w:szCs w:val="20"/>
              </w:rPr>
            </w:pPr>
            <w:r w:rsidRPr="00283191">
              <w:rPr>
                <w:sz w:val="20"/>
                <w:szCs w:val="20"/>
              </w:rPr>
              <w:t>13,932</w:t>
            </w:r>
          </w:p>
        </w:tc>
        <w:tc>
          <w:tcPr>
            <w:tcW w:w="901" w:type="dxa"/>
            <w:vAlign w:val="bottom"/>
            <w:hideMark/>
          </w:tcPr>
          <w:p w14:paraId="0AD2BE4C" w14:textId="77777777" w:rsidR="00283191" w:rsidRPr="00283191" w:rsidRDefault="00283191" w:rsidP="00BB27E5">
            <w:pPr>
              <w:rPr>
                <w:sz w:val="20"/>
                <w:szCs w:val="20"/>
              </w:rPr>
            </w:pPr>
            <w:r w:rsidRPr="00283191">
              <w:rPr>
                <w:sz w:val="20"/>
                <w:szCs w:val="20"/>
              </w:rPr>
              <w:t>8.5%</w:t>
            </w:r>
          </w:p>
        </w:tc>
        <w:tc>
          <w:tcPr>
            <w:tcW w:w="1010" w:type="dxa"/>
            <w:vAlign w:val="bottom"/>
          </w:tcPr>
          <w:p w14:paraId="0AD2BE4D" w14:textId="77777777" w:rsidR="00283191" w:rsidRPr="00283191" w:rsidRDefault="00283191" w:rsidP="00D5394C">
            <w:pPr>
              <w:rPr>
                <w:sz w:val="20"/>
                <w:szCs w:val="20"/>
              </w:rPr>
            </w:pPr>
            <w:r w:rsidRPr="00283191">
              <w:rPr>
                <w:sz w:val="20"/>
                <w:szCs w:val="20"/>
              </w:rPr>
              <w:t>15,152</w:t>
            </w:r>
          </w:p>
        </w:tc>
        <w:tc>
          <w:tcPr>
            <w:tcW w:w="989" w:type="dxa"/>
            <w:vAlign w:val="bottom"/>
          </w:tcPr>
          <w:p w14:paraId="0AD2BE4E" w14:textId="77777777" w:rsidR="00283191" w:rsidRPr="00283191" w:rsidRDefault="00283191" w:rsidP="00D5394C">
            <w:pPr>
              <w:rPr>
                <w:sz w:val="20"/>
                <w:szCs w:val="20"/>
              </w:rPr>
            </w:pPr>
            <w:r w:rsidRPr="00283191">
              <w:rPr>
                <w:sz w:val="20"/>
                <w:szCs w:val="20"/>
              </w:rPr>
              <w:t>9.2%</w:t>
            </w:r>
          </w:p>
        </w:tc>
        <w:tc>
          <w:tcPr>
            <w:tcW w:w="1174" w:type="dxa"/>
          </w:tcPr>
          <w:p w14:paraId="0AD2BE4F" w14:textId="77777777" w:rsidR="00283191" w:rsidRPr="00283191" w:rsidRDefault="00C346B5" w:rsidP="00D5394C">
            <w:pPr>
              <w:rPr>
                <w:sz w:val="20"/>
                <w:szCs w:val="20"/>
              </w:rPr>
            </w:pPr>
            <w:r>
              <w:rPr>
                <w:sz w:val="20"/>
                <w:szCs w:val="20"/>
              </w:rPr>
              <w:t>+0.7</w:t>
            </w:r>
          </w:p>
        </w:tc>
      </w:tr>
      <w:tr w:rsidR="00283191" w:rsidRPr="00283191" w14:paraId="0AD2BE57" w14:textId="77777777" w:rsidTr="00283191">
        <w:trPr>
          <w:trHeight w:val="258"/>
        </w:trPr>
        <w:tc>
          <w:tcPr>
            <w:tcW w:w="3070" w:type="dxa"/>
            <w:vAlign w:val="center"/>
            <w:hideMark/>
          </w:tcPr>
          <w:p w14:paraId="0AD2BE51" w14:textId="77777777" w:rsidR="00283191" w:rsidRPr="00283191" w:rsidRDefault="00283191" w:rsidP="00BB27E5">
            <w:pPr>
              <w:rPr>
                <w:sz w:val="20"/>
                <w:szCs w:val="20"/>
              </w:rPr>
            </w:pPr>
            <w:r w:rsidRPr="00283191">
              <w:rPr>
                <w:sz w:val="20"/>
                <w:szCs w:val="20"/>
              </w:rPr>
              <w:t>Neurological</w:t>
            </w:r>
          </w:p>
        </w:tc>
        <w:tc>
          <w:tcPr>
            <w:tcW w:w="1010" w:type="dxa"/>
            <w:vAlign w:val="bottom"/>
            <w:hideMark/>
          </w:tcPr>
          <w:p w14:paraId="0AD2BE52" w14:textId="77777777" w:rsidR="00283191" w:rsidRPr="00283191" w:rsidRDefault="00283191" w:rsidP="00BB27E5">
            <w:pPr>
              <w:rPr>
                <w:sz w:val="20"/>
                <w:szCs w:val="20"/>
              </w:rPr>
            </w:pPr>
            <w:r w:rsidRPr="00283191">
              <w:rPr>
                <w:sz w:val="20"/>
                <w:szCs w:val="20"/>
              </w:rPr>
              <w:t>7,947</w:t>
            </w:r>
          </w:p>
        </w:tc>
        <w:tc>
          <w:tcPr>
            <w:tcW w:w="901" w:type="dxa"/>
            <w:vAlign w:val="bottom"/>
            <w:hideMark/>
          </w:tcPr>
          <w:p w14:paraId="0AD2BE53" w14:textId="77777777" w:rsidR="00283191" w:rsidRPr="00283191" w:rsidRDefault="00283191" w:rsidP="00BB27E5">
            <w:pPr>
              <w:rPr>
                <w:sz w:val="20"/>
                <w:szCs w:val="20"/>
              </w:rPr>
            </w:pPr>
            <w:r w:rsidRPr="00283191">
              <w:rPr>
                <w:sz w:val="20"/>
                <w:szCs w:val="20"/>
              </w:rPr>
              <w:t>4.9%</w:t>
            </w:r>
          </w:p>
        </w:tc>
        <w:tc>
          <w:tcPr>
            <w:tcW w:w="1010" w:type="dxa"/>
            <w:vAlign w:val="bottom"/>
          </w:tcPr>
          <w:p w14:paraId="0AD2BE54" w14:textId="77777777" w:rsidR="00283191" w:rsidRPr="00283191" w:rsidRDefault="00283191" w:rsidP="00D5394C">
            <w:pPr>
              <w:rPr>
                <w:sz w:val="20"/>
                <w:szCs w:val="20"/>
              </w:rPr>
            </w:pPr>
            <w:r w:rsidRPr="00283191">
              <w:rPr>
                <w:sz w:val="20"/>
                <w:szCs w:val="20"/>
              </w:rPr>
              <w:t>9,239</w:t>
            </w:r>
          </w:p>
        </w:tc>
        <w:tc>
          <w:tcPr>
            <w:tcW w:w="989" w:type="dxa"/>
            <w:vAlign w:val="bottom"/>
          </w:tcPr>
          <w:p w14:paraId="0AD2BE55" w14:textId="77777777" w:rsidR="00283191" w:rsidRPr="00283191" w:rsidRDefault="00283191" w:rsidP="00D5394C">
            <w:pPr>
              <w:rPr>
                <w:sz w:val="20"/>
                <w:szCs w:val="20"/>
              </w:rPr>
            </w:pPr>
            <w:r w:rsidRPr="00283191">
              <w:rPr>
                <w:sz w:val="20"/>
                <w:szCs w:val="20"/>
              </w:rPr>
              <w:t>5.6%</w:t>
            </w:r>
          </w:p>
        </w:tc>
        <w:tc>
          <w:tcPr>
            <w:tcW w:w="1174" w:type="dxa"/>
          </w:tcPr>
          <w:p w14:paraId="0AD2BE56" w14:textId="77777777" w:rsidR="00283191" w:rsidRPr="00283191" w:rsidRDefault="00C346B5" w:rsidP="00D5394C">
            <w:pPr>
              <w:rPr>
                <w:sz w:val="20"/>
                <w:szCs w:val="20"/>
              </w:rPr>
            </w:pPr>
            <w:r>
              <w:rPr>
                <w:sz w:val="20"/>
                <w:szCs w:val="20"/>
              </w:rPr>
              <w:t>+0.7</w:t>
            </w:r>
          </w:p>
        </w:tc>
      </w:tr>
      <w:tr w:rsidR="00283191" w:rsidRPr="00283191" w14:paraId="0AD2BE5E" w14:textId="77777777" w:rsidTr="00283191">
        <w:trPr>
          <w:trHeight w:val="258"/>
        </w:trPr>
        <w:tc>
          <w:tcPr>
            <w:tcW w:w="3070" w:type="dxa"/>
            <w:vAlign w:val="center"/>
            <w:hideMark/>
          </w:tcPr>
          <w:p w14:paraId="0AD2BE58" w14:textId="77777777" w:rsidR="00283191" w:rsidRPr="00283191" w:rsidRDefault="00283191" w:rsidP="00BB27E5">
            <w:pPr>
              <w:rPr>
                <w:sz w:val="20"/>
                <w:szCs w:val="20"/>
              </w:rPr>
            </w:pPr>
            <w:r w:rsidRPr="00283191">
              <w:rPr>
                <w:sz w:val="20"/>
                <w:szCs w:val="20"/>
              </w:rPr>
              <w:t>Intellectual</w:t>
            </w:r>
          </w:p>
        </w:tc>
        <w:tc>
          <w:tcPr>
            <w:tcW w:w="1010" w:type="dxa"/>
            <w:vAlign w:val="bottom"/>
            <w:hideMark/>
          </w:tcPr>
          <w:p w14:paraId="0AD2BE59" w14:textId="77777777" w:rsidR="00283191" w:rsidRPr="00283191" w:rsidRDefault="00283191" w:rsidP="00BB27E5">
            <w:pPr>
              <w:rPr>
                <w:sz w:val="20"/>
                <w:szCs w:val="20"/>
              </w:rPr>
            </w:pPr>
            <w:r w:rsidRPr="00283191">
              <w:rPr>
                <w:sz w:val="20"/>
                <w:szCs w:val="20"/>
              </w:rPr>
              <w:t>10,155</w:t>
            </w:r>
          </w:p>
        </w:tc>
        <w:tc>
          <w:tcPr>
            <w:tcW w:w="901" w:type="dxa"/>
            <w:vAlign w:val="bottom"/>
            <w:hideMark/>
          </w:tcPr>
          <w:p w14:paraId="0AD2BE5A" w14:textId="77777777" w:rsidR="00283191" w:rsidRPr="00283191" w:rsidRDefault="00283191" w:rsidP="00BB27E5">
            <w:pPr>
              <w:rPr>
                <w:sz w:val="20"/>
                <w:szCs w:val="20"/>
              </w:rPr>
            </w:pPr>
            <w:r w:rsidRPr="00283191">
              <w:rPr>
                <w:sz w:val="20"/>
                <w:szCs w:val="20"/>
              </w:rPr>
              <w:t>6.2%</w:t>
            </w:r>
          </w:p>
        </w:tc>
        <w:tc>
          <w:tcPr>
            <w:tcW w:w="1010" w:type="dxa"/>
            <w:vAlign w:val="bottom"/>
          </w:tcPr>
          <w:p w14:paraId="0AD2BE5B" w14:textId="77777777" w:rsidR="00283191" w:rsidRPr="00283191" w:rsidRDefault="00283191" w:rsidP="00D5394C">
            <w:pPr>
              <w:rPr>
                <w:sz w:val="20"/>
                <w:szCs w:val="20"/>
              </w:rPr>
            </w:pPr>
            <w:r w:rsidRPr="00283191">
              <w:rPr>
                <w:sz w:val="20"/>
                <w:szCs w:val="20"/>
              </w:rPr>
              <w:t>8,600</w:t>
            </w:r>
          </w:p>
        </w:tc>
        <w:tc>
          <w:tcPr>
            <w:tcW w:w="989" w:type="dxa"/>
            <w:vAlign w:val="bottom"/>
          </w:tcPr>
          <w:p w14:paraId="0AD2BE5C" w14:textId="77777777" w:rsidR="00283191" w:rsidRPr="00283191" w:rsidRDefault="00283191" w:rsidP="00D5394C">
            <w:pPr>
              <w:rPr>
                <w:sz w:val="20"/>
                <w:szCs w:val="20"/>
              </w:rPr>
            </w:pPr>
            <w:r w:rsidRPr="00283191">
              <w:rPr>
                <w:sz w:val="20"/>
                <w:szCs w:val="20"/>
              </w:rPr>
              <w:t>5.2%</w:t>
            </w:r>
          </w:p>
        </w:tc>
        <w:tc>
          <w:tcPr>
            <w:tcW w:w="1174" w:type="dxa"/>
          </w:tcPr>
          <w:p w14:paraId="0AD2BE5D" w14:textId="77777777" w:rsidR="00283191" w:rsidRPr="00283191" w:rsidRDefault="00C346B5" w:rsidP="00D5394C">
            <w:pPr>
              <w:rPr>
                <w:sz w:val="20"/>
                <w:szCs w:val="20"/>
              </w:rPr>
            </w:pPr>
            <w:r>
              <w:rPr>
                <w:sz w:val="20"/>
                <w:szCs w:val="20"/>
              </w:rPr>
              <w:t>-1.0</w:t>
            </w:r>
          </w:p>
        </w:tc>
      </w:tr>
      <w:tr w:rsidR="00283191" w:rsidRPr="00283191" w14:paraId="0AD2BE65" w14:textId="77777777" w:rsidTr="00283191">
        <w:trPr>
          <w:trHeight w:val="258"/>
        </w:trPr>
        <w:tc>
          <w:tcPr>
            <w:tcW w:w="3070" w:type="dxa"/>
            <w:vAlign w:val="center"/>
            <w:hideMark/>
          </w:tcPr>
          <w:p w14:paraId="0AD2BE5F" w14:textId="77777777" w:rsidR="00283191" w:rsidRPr="00283191" w:rsidRDefault="00283191" w:rsidP="00BB27E5">
            <w:pPr>
              <w:rPr>
                <w:sz w:val="20"/>
                <w:szCs w:val="20"/>
              </w:rPr>
            </w:pPr>
            <w:r w:rsidRPr="00283191">
              <w:rPr>
                <w:sz w:val="20"/>
                <w:szCs w:val="20"/>
              </w:rPr>
              <w:t>Multiple Disabilities</w:t>
            </w:r>
          </w:p>
        </w:tc>
        <w:tc>
          <w:tcPr>
            <w:tcW w:w="1010" w:type="dxa"/>
            <w:vAlign w:val="bottom"/>
            <w:hideMark/>
          </w:tcPr>
          <w:p w14:paraId="0AD2BE60" w14:textId="77777777" w:rsidR="00283191" w:rsidRPr="00283191" w:rsidRDefault="00283191" w:rsidP="00BB27E5">
            <w:pPr>
              <w:rPr>
                <w:sz w:val="20"/>
                <w:szCs w:val="20"/>
              </w:rPr>
            </w:pPr>
            <w:r w:rsidRPr="00283191">
              <w:rPr>
                <w:sz w:val="20"/>
                <w:szCs w:val="20"/>
              </w:rPr>
              <w:t>4,694</w:t>
            </w:r>
          </w:p>
        </w:tc>
        <w:tc>
          <w:tcPr>
            <w:tcW w:w="901" w:type="dxa"/>
            <w:vAlign w:val="bottom"/>
            <w:hideMark/>
          </w:tcPr>
          <w:p w14:paraId="0AD2BE61" w14:textId="77777777" w:rsidR="00283191" w:rsidRPr="00283191" w:rsidRDefault="00283191" w:rsidP="00BB27E5">
            <w:pPr>
              <w:rPr>
                <w:sz w:val="20"/>
                <w:szCs w:val="20"/>
              </w:rPr>
            </w:pPr>
            <w:r w:rsidRPr="00283191">
              <w:rPr>
                <w:sz w:val="20"/>
                <w:szCs w:val="20"/>
              </w:rPr>
              <w:t>2.9%</w:t>
            </w:r>
          </w:p>
        </w:tc>
        <w:tc>
          <w:tcPr>
            <w:tcW w:w="1010" w:type="dxa"/>
            <w:vAlign w:val="bottom"/>
          </w:tcPr>
          <w:p w14:paraId="0AD2BE62" w14:textId="77777777" w:rsidR="00283191" w:rsidRPr="00283191" w:rsidRDefault="00283191" w:rsidP="00D5394C">
            <w:pPr>
              <w:rPr>
                <w:sz w:val="20"/>
                <w:szCs w:val="20"/>
              </w:rPr>
            </w:pPr>
            <w:r w:rsidRPr="00283191">
              <w:rPr>
                <w:sz w:val="20"/>
                <w:szCs w:val="20"/>
              </w:rPr>
              <w:t>3,655</w:t>
            </w:r>
          </w:p>
        </w:tc>
        <w:tc>
          <w:tcPr>
            <w:tcW w:w="989" w:type="dxa"/>
            <w:vAlign w:val="bottom"/>
          </w:tcPr>
          <w:p w14:paraId="0AD2BE63" w14:textId="77777777" w:rsidR="00283191" w:rsidRPr="00283191" w:rsidRDefault="00283191" w:rsidP="00D5394C">
            <w:pPr>
              <w:rPr>
                <w:sz w:val="20"/>
                <w:szCs w:val="20"/>
              </w:rPr>
            </w:pPr>
            <w:r w:rsidRPr="00283191">
              <w:rPr>
                <w:sz w:val="20"/>
                <w:szCs w:val="20"/>
              </w:rPr>
              <w:t>2.2%</w:t>
            </w:r>
          </w:p>
        </w:tc>
        <w:tc>
          <w:tcPr>
            <w:tcW w:w="1174" w:type="dxa"/>
          </w:tcPr>
          <w:p w14:paraId="0AD2BE64" w14:textId="77777777" w:rsidR="00283191" w:rsidRPr="00283191" w:rsidRDefault="00C346B5" w:rsidP="00D5394C">
            <w:pPr>
              <w:rPr>
                <w:sz w:val="20"/>
                <w:szCs w:val="20"/>
              </w:rPr>
            </w:pPr>
            <w:r>
              <w:rPr>
                <w:sz w:val="20"/>
                <w:szCs w:val="20"/>
              </w:rPr>
              <w:t>-0.7</w:t>
            </w:r>
          </w:p>
        </w:tc>
      </w:tr>
      <w:tr w:rsidR="00283191" w:rsidRPr="00283191" w14:paraId="0AD2BE6C" w14:textId="77777777" w:rsidTr="00283191">
        <w:trPr>
          <w:trHeight w:val="258"/>
        </w:trPr>
        <w:tc>
          <w:tcPr>
            <w:tcW w:w="3070" w:type="dxa"/>
            <w:vAlign w:val="center"/>
            <w:hideMark/>
          </w:tcPr>
          <w:p w14:paraId="0AD2BE66" w14:textId="77777777" w:rsidR="00283191" w:rsidRPr="00283191" w:rsidRDefault="00283191" w:rsidP="00BB27E5">
            <w:pPr>
              <w:rPr>
                <w:sz w:val="20"/>
                <w:szCs w:val="20"/>
              </w:rPr>
            </w:pPr>
            <w:r w:rsidRPr="00283191">
              <w:rPr>
                <w:sz w:val="20"/>
                <w:szCs w:val="20"/>
              </w:rPr>
              <w:t>Sensory/Hard of Hearing</w:t>
            </w:r>
          </w:p>
        </w:tc>
        <w:tc>
          <w:tcPr>
            <w:tcW w:w="1010" w:type="dxa"/>
            <w:vAlign w:val="bottom"/>
            <w:hideMark/>
          </w:tcPr>
          <w:p w14:paraId="0AD2BE67" w14:textId="77777777" w:rsidR="00283191" w:rsidRPr="00283191" w:rsidRDefault="00283191" w:rsidP="00BB27E5">
            <w:pPr>
              <w:rPr>
                <w:sz w:val="20"/>
                <w:szCs w:val="20"/>
              </w:rPr>
            </w:pPr>
            <w:r w:rsidRPr="00283191">
              <w:rPr>
                <w:sz w:val="20"/>
                <w:szCs w:val="20"/>
              </w:rPr>
              <w:t>1,221</w:t>
            </w:r>
          </w:p>
        </w:tc>
        <w:tc>
          <w:tcPr>
            <w:tcW w:w="901" w:type="dxa"/>
            <w:vAlign w:val="bottom"/>
            <w:hideMark/>
          </w:tcPr>
          <w:p w14:paraId="0AD2BE68" w14:textId="77777777" w:rsidR="00283191" w:rsidRPr="00283191" w:rsidRDefault="00283191" w:rsidP="00BB27E5">
            <w:pPr>
              <w:rPr>
                <w:sz w:val="20"/>
                <w:szCs w:val="20"/>
              </w:rPr>
            </w:pPr>
            <w:r w:rsidRPr="00283191">
              <w:rPr>
                <w:sz w:val="20"/>
                <w:szCs w:val="20"/>
              </w:rPr>
              <w:t>0.7%</w:t>
            </w:r>
          </w:p>
        </w:tc>
        <w:tc>
          <w:tcPr>
            <w:tcW w:w="1010" w:type="dxa"/>
            <w:vAlign w:val="bottom"/>
          </w:tcPr>
          <w:p w14:paraId="0AD2BE69" w14:textId="77777777" w:rsidR="00283191" w:rsidRPr="00283191" w:rsidRDefault="00283191" w:rsidP="00D5394C">
            <w:pPr>
              <w:rPr>
                <w:sz w:val="20"/>
                <w:szCs w:val="20"/>
              </w:rPr>
            </w:pPr>
            <w:r w:rsidRPr="00283191">
              <w:rPr>
                <w:sz w:val="20"/>
                <w:szCs w:val="20"/>
              </w:rPr>
              <w:t>1,201</w:t>
            </w:r>
          </w:p>
        </w:tc>
        <w:tc>
          <w:tcPr>
            <w:tcW w:w="989" w:type="dxa"/>
            <w:vAlign w:val="bottom"/>
          </w:tcPr>
          <w:p w14:paraId="0AD2BE6A" w14:textId="77777777" w:rsidR="00283191" w:rsidRPr="00283191" w:rsidRDefault="00283191" w:rsidP="00D5394C">
            <w:pPr>
              <w:rPr>
                <w:sz w:val="20"/>
                <w:szCs w:val="20"/>
              </w:rPr>
            </w:pPr>
            <w:r w:rsidRPr="00283191">
              <w:rPr>
                <w:sz w:val="20"/>
                <w:szCs w:val="20"/>
              </w:rPr>
              <w:t>0.7%</w:t>
            </w:r>
          </w:p>
        </w:tc>
        <w:tc>
          <w:tcPr>
            <w:tcW w:w="1174" w:type="dxa"/>
          </w:tcPr>
          <w:p w14:paraId="0AD2BE6B" w14:textId="77777777" w:rsidR="00283191" w:rsidRPr="00283191" w:rsidRDefault="00C346B5" w:rsidP="00D5394C">
            <w:pPr>
              <w:rPr>
                <w:sz w:val="20"/>
                <w:szCs w:val="20"/>
              </w:rPr>
            </w:pPr>
            <w:r>
              <w:rPr>
                <w:sz w:val="20"/>
                <w:szCs w:val="20"/>
              </w:rPr>
              <w:t>---</w:t>
            </w:r>
          </w:p>
        </w:tc>
      </w:tr>
      <w:tr w:rsidR="00283191" w:rsidRPr="00283191" w14:paraId="0AD2BE73" w14:textId="77777777" w:rsidTr="00283191">
        <w:trPr>
          <w:trHeight w:val="258"/>
        </w:trPr>
        <w:tc>
          <w:tcPr>
            <w:tcW w:w="3070" w:type="dxa"/>
            <w:vAlign w:val="center"/>
            <w:hideMark/>
          </w:tcPr>
          <w:p w14:paraId="0AD2BE6D" w14:textId="77777777" w:rsidR="00283191" w:rsidRPr="00283191" w:rsidRDefault="00283191" w:rsidP="000F7065">
            <w:pPr>
              <w:rPr>
                <w:sz w:val="20"/>
                <w:szCs w:val="20"/>
              </w:rPr>
            </w:pPr>
            <w:r w:rsidRPr="00283191">
              <w:rPr>
                <w:sz w:val="20"/>
                <w:szCs w:val="20"/>
              </w:rPr>
              <w:t>Physical</w:t>
            </w:r>
          </w:p>
        </w:tc>
        <w:tc>
          <w:tcPr>
            <w:tcW w:w="1010" w:type="dxa"/>
            <w:vAlign w:val="bottom"/>
            <w:hideMark/>
          </w:tcPr>
          <w:p w14:paraId="0AD2BE6E" w14:textId="77777777" w:rsidR="00283191" w:rsidRPr="00283191" w:rsidRDefault="00283191" w:rsidP="000F7065">
            <w:pPr>
              <w:rPr>
                <w:sz w:val="20"/>
                <w:szCs w:val="20"/>
              </w:rPr>
            </w:pPr>
            <w:r w:rsidRPr="00283191">
              <w:rPr>
                <w:sz w:val="20"/>
                <w:szCs w:val="20"/>
              </w:rPr>
              <w:t>1,390</w:t>
            </w:r>
          </w:p>
        </w:tc>
        <w:tc>
          <w:tcPr>
            <w:tcW w:w="901" w:type="dxa"/>
            <w:vAlign w:val="bottom"/>
            <w:hideMark/>
          </w:tcPr>
          <w:p w14:paraId="0AD2BE6F" w14:textId="77777777" w:rsidR="00283191" w:rsidRPr="00283191" w:rsidRDefault="00283191" w:rsidP="000F7065">
            <w:pPr>
              <w:rPr>
                <w:sz w:val="20"/>
                <w:szCs w:val="20"/>
              </w:rPr>
            </w:pPr>
            <w:r w:rsidRPr="00283191">
              <w:rPr>
                <w:sz w:val="20"/>
                <w:szCs w:val="20"/>
              </w:rPr>
              <w:t>0.8%</w:t>
            </w:r>
          </w:p>
        </w:tc>
        <w:tc>
          <w:tcPr>
            <w:tcW w:w="1010" w:type="dxa"/>
            <w:vAlign w:val="bottom"/>
          </w:tcPr>
          <w:p w14:paraId="0AD2BE70" w14:textId="77777777" w:rsidR="00283191" w:rsidRPr="00283191" w:rsidRDefault="00283191" w:rsidP="00D5394C">
            <w:pPr>
              <w:rPr>
                <w:sz w:val="20"/>
                <w:szCs w:val="20"/>
              </w:rPr>
            </w:pPr>
            <w:r w:rsidRPr="00283191">
              <w:rPr>
                <w:sz w:val="20"/>
                <w:szCs w:val="20"/>
              </w:rPr>
              <w:t>1,150</w:t>
            </w:r>
          </w:p>
        </w:tc>
        <w:tc>
          <w:tcPr>
            <w:tcW w:w="989" w:type="dxa"/>
            <w:vAlign w:val="bottom"/>
          </w:tcPr>
          <w:p w14:paraId="0AD2BE71" w14:textId="77777777" w:rsidR="00283191" w:rsidRPr="00283191" w:rsidRDefault="00283191" w:rsidP="00D5394C">
            <w:pPr>
              <w:rPr>
                <w:sz w:val="20"/>
                <w:szCs w:val="20"/>
              </w:rPr>
            </w:pPr>
            <w:r w:rsidRPr="00283191">
              <w:rPr>
                <w:sz w:val="20"/>
                <w:szCs w:val="20"/>
              </w:rPr>
              <w:t>0.7%</w:t>
            </w:r>
          </w:p>
        </w:tc>
        <w:tc>
          <w:tcPr>
            <w:tcW w:w="1174" w:type="dxa"/>
          </w:tcPr>
          <w:p w14:paraId="0AD2BE72" w14:textId="77777777" w:rsidR="00283191" w:rsidRPr="00283191" w:rsidRDefault="00C346B5" w:rsidP="00D5394C">
            <w:pPr>
              <w:rPr>
                <w:sz w:val="20"/>
                <w:szCs w:val="20"/>
              </w:rPr>
            </w:pPr>
            <w:r>
              <w:rPr>
                <w:sz w:val="20"/>
                <w:szCs w:val="20"/>
              </w:rPr>
              <w:t>-0.1</w:t>
            </w:r>
          </w:p>
        </w:tc>
      </w:tr>
      <w:tr w:rsidR="00283191" w:rsidRPr="00283191" w14:paraId="0AD2BE7A" w14:textId="77777777" w:rsidTr="00283191">
        <w:trPr>
          <w:trHeight w:val="258"/>
        </w:trPr>
        <w:tc>
          <w:tcPr>
            <w:tcW w:w="3070" w:type="dxa"/>
            <w:vAlign w:val="center"/>
            <w:hideMark/>
          </w:tcPr>
          <w:p w14:paraId="0AD2BE74" w14:textId="77777777" w:rsidR="00283191" w:rsidRPr="00283191" w:rsidRDefault="00283191" w:rsidP="000F7065">
            <w:pPr>
              <w:rPr>
                <w:sz w:val="20"/>
                <w:szCs w:val="20"/>
              </w:rPr>
            </w:pPr>
            <w:r w:rsidRPr="00283191">
              <w:rPr>
                <w:sz w:val="20"/>
                <w:szCs w:val="20"/>
              </w:rPr>
              <w:t>Sensory/Vision Impairment</w:t>
            </w:r>
          </w:p>
        </w:tc>
        <w:tc>
          <w:tcPr>
            <w:tcW w:w="1010" w:type="dxa"/>
            <w:vAlign w:val="bottom"/>
            <w:hideMark/>
          </w:tcPr>
          <w:p w14:paraId="0AD2BE75" w14:textId="77777777" w:rsidR="00283191" w:rsidRPr="00283191" w:rsidRDefault="00283191" w:rsidP="000F7065">
            <w:pPr>
              <w:rPr>
                <w:sz w:val="20"/>
                <w:szCs w:val="20"/>
              </w:rPr>
            </w:pPr>
            <w:r w:rsidRPr="00283191">
              <w:rPr>
                <w:sz w:val="20"/>
                <w:szCs w:val="20"/>
              </w:rPr>
              <w:t>591</w:t>
            </w:r>
          </w:p>
        </w:tc>
        <w:tc>
          <w:tcPr>
            <w:tcW w:w="901" w:type="dxa"/>
            <w:vAlign w:val="bottom"/>
            <w:hideMark/>
          </w:tcPr>
          <w:p w14:paraId="0AD2BE76" w14:textId="77777777" w:rsidR="00283191" w:rsidRPr="00283191" w:rsidRDefault="00283191" w:rsidP="000F7065">
            <w:pPr>
              <w:rPr>
                <w:sz w:val="20"/>
                <w:szCs w:val="20"/>
              </w:rPr>
            </w:pPr>
            <w:r w:rsidRPr="00283191">
              <w:rPr>
                <w:sz w:val="20"/>
                <w:szCs w:val="20"/>
              </w:rPr>
              <w:t>0.4%</w:t>
            </w:r>
          </w:p>
        </w:tc>
        <w:tc>
          <w:tcPr>
            <w:tcW w:w="1010" w:type="dxa"/>
            <w:vAlign w:val="bottom"/>
          </w:tcPr>
          <w:p w14:paraId="0AD2BE77" w14:textId="77777777" w:rsidR="00283191" w:rsidRPr="00283191" w:rsidRDefault="00283191" w:rsidP="00D5394C">
            <w:pPr>
              <w:rPr>
                <w:sz w:val="20"/>
                <w:szCs w:val="20"/>
              </w:rPr>
            </w:pPr>
            <w:r w:rsidRPr="00283191">
              <w:rPr>
                <w:sz w:val="20"/>
                <w:szCs w:val="20"/>
              </w:rPr>
              <w:t>606</w:t>
            </w:r>
          </w:p>
        </w:tc>
        <w:tc>
          <w:tcPr>
            <w:tcW w:w="989" w:type="dxa"/>
            <w:vAlign w:val="bottom"/>
          </w:tcPr>
          <w:p w14:paraId="0AD2BE78" w14:textId="77777777" w:rsidR="00283191" w:rsidRPr="00283191" w:rsidRDefault="00283191" w:rsidP="00D5394C">
            <w:pPr>
              <w:rPr>
                <w:sz w:val="20"/>
                <w:szCs w:val="20"/>
              </w:rPr>
            </w:pPr>
            <w:r w:rsidRPr="00283191">
              <w:rPr>
                <w:sz w:val="20"/>
                <w:szCs w:val="20"/>
              </w:rPr>
              <w:t>0.4%</w:t>
            </w:r>
          </w:p>
        </w:tc>
        <w:tc>
          <w:tcPr>
            <w:tcW w:w="1174" w:type="dxa"/>
          </w:tcPr>
          <w:p w14:paraId="0AD2BE79" w14:textId="77777777" w:rsidR="00283191" w:rsidRPr="00283191" w:rsidRDefault="00C346B5" w:rsidP="00D5394C">
            <w:pPr>
              <w:rPr>
                <w:sz w:val="20"/>
                <w:szCs w:val="20"/>
              </w:rPr>
            </w:pPr>
            <w:r>
              <w:rPr>
                <w:sz w:val="20"/>
                <w:szCs w:val="20"/>
              </w:rPr>
              <w:t>---</w:t>
            </w:r>
          </w:p>
        </w:tc>
      </w:tr>
      <w:tr w:rsidR="00283191" w:rsidRPr="00283191" w14:paraId="0AD2BE81" w14:textId="77777777" w:rsidTr="00283191">
        <w:trPr>
          <w:trHeight w:val="258"/>
        </w:trPr>
        <w:tc>
          <w:tcPr>
            <w:tcW w:w="3070" w:type="dxa"/>
            <w:vAlign w:val="center"/>
            <w:hideMark/>
          </w:tcPr>
          <w:p w14:paraId="0AD2BE7B" w14:textId="77777777" w:rsidR="00283191" w:rsidRPr="00283191" w:rsidRDefault="00283191" w:rsidP="000F7065">
            <w:pPr>
              <w:rPr>
                <w:sz w:val="20"/>
                <w:szCs w:val="20"/>
              </w:rPr>
            </w:pPr>
            <w:r w:rsidRPr="00283191">
              <w:rPr>
                <w:sz w:val="20"/>
                <w:szCs w:val="20"/>
              </w:rPr>
              <w:t>Sensory/Deaf/Blind</w:t>
            </w:r>
          </w:p>
        </w:tc>
        <w:tc>
          <w:tcPr>
            <w:tcW w:w="1010" w:type="dxa"/>
            <w:vAlign w:val="bottom"/>
            <w:hideMark/>
          </w:tcPr>
          <w:p w14:paraId="0AD2BE7C" w14:textId="77777777" w:rsidR="00283191" w:rsidRPr="00283191" w:rsidRDefault="00283191" w:rsidP="000F7065">
            <w:pPr>
              <w:rPr>
                <w:sz w:val="20"/>
                <w:szCs w:val="20"/>
              </w:rPr>
            </w:pPr>
            <w:r w:rsidRPr="00283191">
              <w:rPr>
                <w:sz w:val="20"/>
                <w:szCs w:val="20"/>
              </w:rPr>
              <w:t>164</w:t>
            </w:r>
          </w:p>
        </w:tc>
        <w:tc>
          <w:tcPr>
            <w:tcW w:w="901" w:type="dxa"/>
            <w:vAlign w:val="bottom"/>
            <w:hideMark/>
          </w:tcPr>
          <w:p w14:paraId="0AD2BE7D" w14:textId="77777777" w:rsidR="00283191" w:rsidRPr="00283191" w:rsidRDefault="00283191" w:rsidP="000F7065">
            <w:pPr>
              <w:rPr>
                <w:sz w:val="20"/>
                <w:szCs w:val="20"/>
              </w:rPr>
            </w:pPr>
            <w:r w:rsidRPr="00283191">
              <w:rPr>
                <w:sz w:val="20"/>
                <w:szCs w:val="20"/>
              </w:rPr>
              <w:t>0.1%</w:t>
            </w:r>
          </w:p>
        </w:tc>
        <w:tc>
          <w:tcPr>
            <w:tcW w:w="1010" w:type="dxa"/>
            <w:vAlign w:val="bottom"/>
          </w:tcPr>
          <w:p w14:paraId="0AD2BE7E" w14:textId="77777777" w:rsidR="00283191" w:rsidRPr="00283191" w:rsidRDefault="00283191" w:rsidP="00D5394C">
            <w:pPr>
              <w:rPr>
                <w:sz w:val="20"/>
                <w:szCs w:val="20"/>
              </w:rPr>
            </w:pPr>
            <w:r w:rsidRPr="00283191">
              <w:rPr>
                <w:sz w:val="20"/>
                <w:szCs w:val="20"/>
              </w:rPr>
              <w:t>161</w:t>
            </w:r>
          </w:p>
        </w:tc>
        <w:tc>
          <w:tcPr>
            <w:tcW w:w="989" w:type="dxa"/>
            <w:vAlign w:val="bottom"/>
          </w:tcPr>
          <w:p w14:paraId="0AD2BE7F" w14:textId="77777777" w:rsidR="00283191" w:rsidRPr="00283191" w:rsidRDefault="00283191" w:rsidP="00D5394C">
            <w:pPr>
              <w:rPr>
                <w:sz w:val="20"/>
                <w:szCs w:val="20"/>
              </w:rPr>
            </w:pPr>
            <w:r w:rsidRPr="00283191">
              <w:rPr>
                <w:sz w:val="20"/>
                <w:szCs w:val="20"/>
              </w:rPr>
              <w:t>0.1%</w:t>
            </w:r>
          </w:p>
        </w:tc>
        <w:tc>
          <w:tcPr>
            <w:tcW w:w="1174" w:type="dxa"/>
          </w:tcPr>
          <w:p w14:paraId="0AD2BE80" w14:textId="77777777" w:rsidR="00283191" w:rsidRPr="00283191" w:rsidRDefault="00C346B5" w:rsidP="00D5394C">
            <w:pPr>
              <w:rPr>
                <w:sz w:val="20"/>
                <w:szCs w:val="20"/>
              </w:rPr>
            </w:pPr>
            <w:r>
              <w:rPr>
                <w:sz w:val="20"/>
                <w:szCs w:val="20"/>
              </w:rPr>
              <w:t>---</w:t>
            </w:r>
          </w:p>
        </w:tc>
      </w:tr>
      <w:tr w:rsidR="00283191" w:rsidRPr="00283191" w14:paraId="0AD2BE88" w14:textId="77777777" w:rsidTr="00C346B5">
        <w:trPr>
          <w:trHeight w:val="273"/>
        </w:trPr>
        <w:tc>
          <w:tcPr>
            <w:tcW w:w="3070" w:type="dxa"/>
            <w:vAlign w:val="center"/>
            <w:hideMark/>
          </w:tcPr>
          <w:p w14:paraId="0AD2BE82" w14:textId="77777777" w:rsidR="00283191" w:rsidRPr="00283191" w:rsidRDefault="00283191" w:rsidP="000F7065">
            <w:pPr>
              <w:rPr>
                <w:b/>
                <w:sz w:val="20"/>
                <w:szCs w:val="20"/>
              </w:rPr>
            </w:pPr>
            <w:r w:rsidRPr="00283191">
              <w:rPr>
                <w:b/>
                <w:sz w:val="20"/>
                <w:szCs w:val="20"/>
              </w:rPr>
              <w:t>Students with IEPs Total</w:t>
            </w:r>
          </w:p>
        </w:tc>
        <w:tc>
          <w:tcPr>
            <w:tcW w:w="1010" w:type="dxa"/>
            <w:vAlign w:val="bottom"/>
            <w:hideMark/>
          </w:tcPr>
          <w:p w14:paraId="0AD2BE83" w14:textId="77777777" w:rsidR="00283191" w:rsidRPr="00283191" w:rsidRDefault="00283191" w:rsidP="000F7065">
            <w:pPr>
              <w:rPr>
                <w:b/>
                <w:bCs/>
                <w:sz w:val="20"/>
                <w:szCs w:val="20"/>
              </w:rPr>
            </w:pPr>
            <w:r w:rsidRPr="00283191">
              <w:rPr>
                <w:b/>
                <w:bCs/>
                <w:sz w:val="20"/>
                <w:szCs w:val="20"/>
              </w:rPr>
              <w:t>163,679</w:t>
            </w:r>
          </w:p>
        </w:tc>
        <w:tc>
          <w:tcPr>
            <w:tcW w:w="901" w:type="dxa"/>
            <w:vAlign w:val="bottom"/>
            <w:hideMark/>
          </w:tcPr>
          <w:p w14:paraId="0AD2BE84" w14:textId="77777777" w:rsidR="00283191" w:rsidRPr="00283191" w:rsidRDefault="00283191" w:rsidP="000F7065">
            <w:pPr>
              <w:rPr>
                <w:b/>
                <w:bCs/>
                <w:sz w:val="20"/>
                <w:szCs w:val="20"/>
              </w:rPr>
            </w:pPr>
            <w:r w:rsidRPr="00283191">
              <w:rPr>
                <w:b/>
                <w:bCs/>
                <w:sz w:val="20"/>
                <w:szCs w:val="20"/>
              </w:rPr>
              <w:t>100</w:t>
            </w:r>
          </w:p>
        </w:tc>
        <w:tc>
          <w:tcPr>
            <w:tcW w:w="1010" w:type="dxa"/>
            <w:vAlign w:val="bottom"/>
          </w:tcPr>
          <w:p w14:paraId="0AD2BE85" w14:textId="77777777" w:rsidR="00283191" w:rsidRPr="00283191" w:rsidRDefault="00283191" w:rsidP="00D5394C">
            <w:pPr>
              <w:rPr>
                <w:b/>
                <w:bCs/>
                <w:sz w:val="20"/>
                <w:szCs w:val="20"/>
              </w:rPr>
            </w:pPr>
            <w:r w:rsidRPr="00283191">
              <w:rPr>
                <w:b/>
                <w:sz w:val="20"/>
                <w:szCs w:val="20"/>
              </w:rPr>
              <w:t>165,560</w:t>
            </w:r>
          </w:p>
        </w:tc>
        <w:tc>
          <w:tcPr>
            <w:tcW w:w="989" w:type="dxa"/>
            <w:vAlign w:val="bottom"/>
          </w:tcPr>
          <w:p w14:paraId="0AD2BE86" w14:textId="77777777" w:rsidR="00283191" w:rsidRPr="00283191" w:rsidRDefault="00283191" w:rsidP="00D5394C">
            <w:pPr>
              <w:rPr>
                <w:b/>
                <w:bCs/>
                <w:sz w:val="20"/>
                <w:szCs w:val="20"/>
              </w:rPr>
            </w:pPr>
            <w:r w:rsidRPr="00283191">
              <w:rPr>
                <w:b/>
                <w:bCs/>
                <w:sz w:val="20"/>
                <w:szCs w:val="20"/>
              </w:rPr>
              <w:t>100</w:t>
            </w:r>
          </w:p>
        </w:tc>
        <w:tc>
          <w:tcPr>
            <w:tcW w:w="1174" w:type="dxa"/>
            <w:tcBorders>
              <w:bottom w:val="nil"/>
              <w:right w:val="nil"/>
            </w:tcBorders>
          </w:tcPr>
          <w:p w14:paraId="0AD2BE87" w14:textId="77777777" w:rsidR="00283191" w:rsidRPr="00283191" w:rsidRDefault="00283191" w:rsidP="00D5394C">
            <w:pPr>
              <w:rPr>
                <w:b/>
                <w:bCs/>
                <w:sz w:val="20"/>
                <w:szCs w:val="20"/>
              </w:rPr>
            </w:pPr>
          </w:p>
        </w:tc>
      </w:tr>
    </w:tbl>
    <w:p w14:paraId="0AD2BE89" w14:textId="77777777" w:rsidR="000F7065" w:rsidRPr="00303C7E" w:rsidRDefault="000F7065" w:rsidP="000F7065">
      <w:pPr>
        <w:rPr>
          <w:i/>
          <w:sz w:val="18"/>
        </w:rPr>
      </w:pPr>
      <w:r w:rsidRPr="00303C7E">
        <w:rPr>
          <w:i/>
          <w:sz w:val="18"/>
        </w:rPr>
        <w:t>Source: Massachusetts Student Information Management System</w:t>
      </w:r>
    </w:p>
    <w:p w14:paraId="0AD2BE8A" w14:textId="77777777" w:rsidR="00247CAB" w:rsidRPr="00096F2A" w:rsidRDefault="00247CAB" w:rsidP="00247CAB">
      <w:pPr>
        <w:spacing w:after="120"/>
      </w:pPr>
      <w:r w:rsidRPr="00096F2A">
        <w:lastRenderedPageBreak/>
        <w:t xml:space="preserve">Collectively, </w:t>
      </w:r>
      <w:r>
        <w:t xml:space="preserve">Specific Learning Disability, </w:t>
      </w:r>
      <w:r w:rsidRPr="00096F2A">
        <w:t xml:space="preserve">Communication Impairment, and Health Impairment are often referred to as “high incidence disabilities” and are the disabilities most commonly found in the general population. </w:t>
      </w:r>
      <w:r w:rsidR="00F91AAD">
        <w:t xml:space="preserve">Based on the designation conventions of different school districts, the </w:t>
      </w:r>
      <w:r>
        <w:t>percentage of students in each of these three categories may rise and fall relative to each other in any given year.</w:t>
      </w:r>
      <w:r w:rsidR="00F91AAD">
        <w:rPr>
          <w:rStyle w:val="FootnoteReference"/>
        </w:rPr>
        <w:footnoteReference w:id="1"/>
      </w:r>
      <w:r>
        <w:t xml:space="preserve"> For FY16, </w:t>
      </w:r>
      <w:r w:rsidRPr="00FA1636">
        <w:t>Specific Learning Disability</w:t>
      </w:r>
      <w:r>
        <w:t xml:space="preserve"> has decreased by 4</w:t>
      </w:r>
      <w:r w:rsidR="007C0CC1">
        <w:t>.2 percent and Communication by 1</w:t>
      </w:r>
      <w:r>
        <w:t>.8 percent when compared with the FY12 rate, whereas Health has risen by 3.1 percent. However, when combined, s</w:t>
      </w:r>
      <w:r w:rsidRPr="00096F2A">
        <w:t>tudents with</w:t>
      </w:r>
      <w:r>
        <w:t xml:space="preserve"> IEPs </w:t>
      </w:r>
      <w:r w:rsidRPr="00096F2A">
        <w:t>in the categories o</w:t>
      </w:r>
      <w:r>
        <w:t xml:space="preserve">f Specific Learning Disability, </w:t>
      </w:r>
      <w:r w:rsidRPr="00096F2A">
        <w:t xml:space="preserve">Communication Impairment, and Health Impairment represent approximately </w:t>
      </w:r>
      <w:r w:rsidR="00C104A9">
        <w:t xml:space="preserve">53.9 </w:t>
      </w:r>
      <w:r w:rsidRPr="00096F2A">
        <w:t xml:space="preserve">percent of all students receiving special education services in Massachusetts. </w:t>
      </w:r>
      <w:r>
        <w:t xml:space="preserve">This overall number is </w:t>
      </w:r>
      <w:r w:rsidR="00C104A9">
        <w:t xml:space="preserve">2.9 </w:t>
      </w:r>
      <w:r>
        <w:t xml:space="preserve">percentage </w:t>
      </w:r>
      <w:r w:rsidR="00C104A9">
        <w:t>points lower than it was in FY12</w:t>
      </w:r>
      <w:r>
        <w:t xml:space="preserve">. </w:t>
      </w:r>
    </w:p>
    <w:p w14:paraId="0AD2BE8B" w14:textId="77777777" w:rsidR="00247CAB" w:rsidRDefault="00247CAB" w:rsidP="00247CAB">
      <w:pPr>
        <w:spacing w:after="120"/>
      </w:pPr>
      <w:r>
        <w:t>A</w:t>
      </w:r>
      <w:r w:rsidRPr="00096F2A">
        <w:t xml:space="preserve">utism </w:t>
      </w:r>
      <w:r>
        <w:t xml:space="preserve">has increased by </w:t>
      </w:r>
      <w:r w:rsidR="000E67EA">
        <w:t xml:space="preserve">3.1 </w:t>
      </w:r>
      <w:r w:rsidRPr="00096F2A">
        <w:t xml:space="preserve">percentage points over five years and is currently at </w:t>
      </w:r>
      <w:r w:rsidR="000E67EA">
        <w:t xml:space="preserve">11.2 </w:t>
      </w:r>
      <w:r w:rsidRPr="00096F2A">
        <w:t>percent</w:t>
      </w:r>
      <w:r>
        <w:t xml:space="preserve"> of all students with a disability</w:t>
      </w:r>
      <w:r w:rsidRPr="00096F2A">
        <w:t>.</w:t>
      </w:r>
      <w:r>
        <w:t xml:space="preserve"> </w:t>
      </w:r>
    </w:p>
    <w:p w14:paraId="0AD2BE8C" w14:textId="77777777" w:rsidR="00247CAB" w:rsidRDefault="00247CAB" w:rsidP="007C0CC1">
      <w:pPr>
        <w:spacing w:after="240"/>
      </w:pPr>
      <w:r>
        <w:t xml:space="preserve">For most other disability categories, the percentages have stayed </w:t>
      </w:r>
      <w:r w:rsidR="005B4F3E">
        <w:t>approximately</w:t>
      </w:r>
      <w:r>
        <w:t xml:space="preserve"> constant over the last five years.</w:t>
      </w:r>
    </w:p>
    <w:p w14:paraId="0AD2BE8D" w14:textId="77777777" w:rsidR="007F1081" w:rsidRDefault="007F1081" w:rsidP="00F35976">
      <w:pPr>
        <w:pStyle w:val="Heading2"/>
        <w:numPr>
          <w:ilvl w:val="0"/>
          <w:numId w:val="7"/>
        </w:numPr>
        <w:spacing w:after="240"/>
      </w:pPr>
      <w:bookmarkStart w:id="8" w:name="_Toc484008161"/>
      <w:r>
        <w:t>Financial Summary</w:t>
      </w:r>
      <w:bookmarkEnd w:id="8"/>
    </w:p>
    <w:p w14:paraId="0AD2BE8E" w14:textId="77777777" w:rsidR="00BB27E5" w:rsidRPr="00BB27E5" w:rsidRDefault="008353EB" w:rsidP="00BB27E5">
      <w:pPr>
        <w:spacing w:after="120"/>
      </w:pPr>
      <w:bookmarkStart w:id="9" w:name="_Toc400367497"/>
      <w:r>
        <w:t>Public school districts report special education expenditures</w:t>
      </w:r>
      <w:r w:rsidR="00574CA4">
        <w:t xml:space="preserve"> to the Department</w:t>
      </w:r>
      <w:r>
        <w:t xml:space="preserve"> at the end of </w:t>
      </w:r>
      <w:r w:rsidR="00574CA4">
        <w:t xml:space="preserve">each </w:t>
      </w:r>
      <w:r>
        <w:t>year</w:t>
      </w:r>
      <w:r w:rsidR="00BB27E5" w:rsidRPr="00BB27E5">
        <w:t>. Table 3 below shows the most recent available data (FY1</w:t>
      </w:r>
      <w:r w:rsidR="00BB27E5">
        <w:t>6</w:t>
      </w:r>
      <w:r w:rsidR="00BB27E5" w:rsidRPr="00BB27E5">
        <w:t xml:space="preserve"> data we</w:t>
      </w:r>
      <w:r>
        <w:t xml:space="preserve">re not available at the time of </w:t>
      </w:r>
      <w:r w:rsidR="00BB27E5" w:rsidRPr="00BB27E5">
        <w:t xml:space="preserve">this writing) and indicates that both total school operating budgets and combined special education expenditures have increased over the past ten years. Expenditures from the district </w:t>
      </w:r>
      <w:hyperlink r:id="rId19" w:history="1">
        <w:r w:rsidR="00BB27E5" w:rsidRPr="00BB27E5">
          <w:rPr>
            <w:color w:val="0000FF"/>
            <w:u w:val="single"/>
          </w:rPr>
          <w:t>Special Education Reimbursement (“Circuit Breaker”) Program</w:t>
        </w:r>
      </w:hyperlink>
      <w:r w:rsidR="00BB27E5" w:rsidRPr="00BB27E5">
        <w:t xml:space="preserve"> revolving accounts are included. The operating budget includes municipal indirect spending for schools but excludes capital expenditures and transportation. Other than circuit breaker spending, the operating budget does not include expenditures from grants, revolving funds, or other non-appropriated revenue sources.</w:t>
      </w:r>
      <w:bookmarkEnd w:id="9"/>
      <w:r w:rsidR="00BB27E5" w:rsidRPr="00BB27E5">
        <w:t xml:space="preserve"> (Values are rounded to the nearest $100,000.)</w:t>
      </w:r>
    </w:p>
    <w:p w14:paraId="0AD2BE8F" w14:textId="77777777" w:rsidR="00BB27E5" w:rsidRPr="00BB27E5" w:rsidRDefault="00BB27E5" w:rsidP="00BB27E5">
      <w:pPr>
        <w:spacing w:after="120"/>
      </w:pPr>
      <w:r w:rsidRPr="00BB27E5">
        <w:t>Definitions and notes:</w:t>
      </w:r>
    </w:p>
    <w:p w14:paraId="0AD2BE90" w14:textId="77777777" w:rsidR="00BB27E5" w:rsidRPr="00BB27E5" w:rsidRDefault="00BB27E5" w:rsidP="00BB27E5">
      <w:pPr>
        <w:numPr>
          <w:ilvl w:val="0"/>
          <w:numId w:val="20"/>
        </w:numPr>
        <w:spacing w:after="120"/>
      </w:pPr>
      <w:r w:rsidRPr="00BB27E5">
        <w:rPr>
          <w:i/>
        </w:rPr>
        <w:t>Direct special education expenditures</w:t>
      </w:r>
      <w:r w:rsidRPr="00BB27E5">
        <w:t xml:space="preserve"> include only those that can be related specifically to pupils receiving special education services.</w:t>
      </w:r>
    </w:p>
    <w:p w14:paraId="0AD2BE91" w14:textId="77777777" w:rsidR="00BB27E5" w:rsidRPr="00BB27E5" w:rsidRDefault="00BB27E5" w:rsidP="00BB27E5">
      <w:pPr>
        <w:numPr>
          <w:ilvl w:val="0"/>
          <w:numId w:val="20"/>
        </w:numPr>
        <w:spacing w:after="120"/>
      </w:pPr>
      <w:r w:rsidRPr="00BB27E5">
        <w:rPr>
          <w:i/>
        </w:rPr>
        <w:t>Other instructional</w:t>
      </w:r>
      <w:r w:rsidRPr="00BB27E5">
        <w:t xml:space="preserve"> includes supervisory, textbooks and instructional equipment, guidance, and psychological services. </w:t>
      </w:r>
    </w:p>
    <w:p w14:paraId="0AD2BE92" w14:textId="77777777" w:rsidR="00F35976" w:rsidRDefault="00BB27E5" w:rsidP="00BB27E5">
      <w:pPr>
        <w:numPr>
          <w:ilvl w:val="0"/>
          <w:numId w:val="20"/>
        </w:numPr>
      </w:pPr>
      <w:r w:rsidRPr="00BB27E5">
        <w:rPr>
          <w:i/>
        </w:rPr>
        <w:t>MA Public Schools and Collaboratives</w:t>
      </w:r>
      <w:r w:rsidRPr="00BB27E5">
        <w:t xml:space="preserve"> includes other public school districts, educational collaboratives, and charter schools. </w:t>
      </w:r>
    </w:p>
    <w:p w14:paraId="0AD2BE93" w14:textId="77777777" w:rsidR="00F35976" w:rsidRDefault="00F35976">
      <w:r>
        <w:br w:type="page"/>
      </w:r>
    </w:p>
    <w:p w14:paraId="0AD2BE94" w14:textId="77777777" w:rsidR="00BB27E5" w:rsidRPr="00BB27E5" w:rsidRDefault="00BB27E5" w:rsidP="00BB27E5">
      <w:pPr>
        <w:spacing w:after="240"/>
      </w:pPr>
      <w:r w:rsidRPr="00BB27E5">
        <w:rPr>
          <w:b/>
        </w:rPr>
        <w:lastRenderedPageBreak/>
        <w:t>Table 3: Direct Special Education Expenditures, FY08–FY1</w:t>
      </w:r>
      <w:r>
        <w:rPr>
          <w:b/>
        </w:rPr>
        <w:t>5</w:t>
      </w:r>
      <w:r w:rsidRPr="00BB27E5">
        <w:rPr>
          <w:b/>
        </w:rPr>
        <w:t>, In Dollars</w:t>
      </w:r>
    </w:p>
    <w:tbl>
      <w:tblPr>
        <w:tblStyle w:val="ESETablesGridStyle1"/>
        <w:tblW w:w="10015" w:type="dxa"/>
        <w:tblLook w:val="04A0" w:firstRow="1" w:lastRow="0" w:firstColumn="1" w:lastColumn="0" w:noHBand="0" w:noVBand="1"/>
        <w:tblDescription w:val="Direct special education expenditures, FY08-FY15, dollars"/>
      </w:tblPr>
      <w:tblGrid>
        <w:gridCol w:w="708"/>
        <w:gridCol w:w="1380"/>
        <w:gridCol w:w="1342"/>
        <w:gridCol w:w="1475"/>
        <w:gridCol w:w="1288"/>
        <w:gridCol w:w="1385"/>
        <w:gridCol w:w="1480"/>
        <w:gridCol w:w="1295"/>
      </w:tblGrid>
      <w:tr w:rsidR="00BB27E5" w:rsidRPr="00BB27E5" w14:paraId="0AD2BE9D" w14:textId="77777777" w:rsidTr="00C07E91">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000" w:firstRow="0" w:lastRow="0" w:firstColumn="1" w:lastColumn="0" w:oddVBand="0" w:evenVBand="0" w:oddHBand="0" w:evenHBand="0" w:firstRowFirstColumn="0" w:firstRowLastColumn="0" w:lastRowFirstColumn="0" w:lastRowLastColumn="0"/>
            <w:tcW w:w="708" w:type="dxa"/>
            <w:vMerge w:val="restart"/>
            <w:noWrap/>
            <w:hideMark/>
          </w:tcPr>
          <w:p w14:paraId="0AD2BE95" w14:textId="77777777" w:rsidR="00BB27E5" w:rsidRPr="00BB27E5" w:rsidRDefault="00BB27E5" w:rsidP="00BB27E5">
            <w:pPr>
              <w:rPr>
                <w:rFonts w:ascii="Times New Roman" w:hAnsi="Times New Roman"/>
                <w:color w:val="000000"/>
                <w:sz w:val="20"/>
                <w:szCs w:val="20"/>
              </w:rPr>
            </w:pPr>
            <w:r w:rsidRPr="00BB27E5">
              <w:rPr>
                <w:rFonts w:ascii="Times New Roman" w:hAnsi="Times New Roman"/>
                <w:b w:val="0"/>
                <w:bCs/>
                <w:sz w:val="20"/>
                <w:szCs w:val="20"/>
              </w:rPr>
              <w:t>Fiscal</w:t>
            </w:r>
          </w:p>
          <w:p w14:paraId="0AD2BE96" w14:textId="77777777" w:rsidR="00BB27E5" w:rsidRPr="00BB27E5" w:rsidRDefault="00BB27E5" w:rsidP="00BB27E5">
            <w:pPr>
              <w:rPr>
                <w:rFonts w:ascii="Times New Roman" w:hAnsi="Times New Roman"/>
                <w:color w:val="000000"/>
                <w:sz w:val="20"/>
                <w:szCs w:val="20"/>
              </w:rPr>
            </w:pPr>
            <w:r w:rsidRPr="00BB27E5">
              <w:rPr>
                <w:rFonts w:ascii="Times New Roman" w:hAnsi="Times New Roman"/>
                <w:b w:val="0"/>
                <w:bCs/>
                <w:sz w:val="20"/>
                <w:szCs w:val="20"/>
              </w:rPr>
              <w:t>Year</w:t>
            </w:r>
          </w:p>
        </w:tc>
        <w:tc>
          <w:tcPr>
            <w:tcW w:w="2722" w:type="dxa"/>
            <w:gridSpan w:val="2"/>
            <w:tcBorders>
              <w:bottom w:val="nil"/>
            </w:tcBorders>
            <w:noWrap/>
            <w:vAlign w:val="top"/>
            <w:hideMark/>
          </w:tcPr>
          <w:p w14:paraId="0AD2BE97" w14:textId="77777777" w:rsidR="00BB27E5" w:rsidRPr="00BB27E5" w:rsidRDefault="00BB27E5" w:rsidP="00BB27E5">
            <w:pPr>
              <w:cnfStyle w:val="100000000000" w:firstRow="1" w:lastRow="0" w:firstColumn="0" w:lastColumn="0" w:oddVBand="0" w:evenVBand="0" w:oddHBand="0" w:evenHBand="0" w:firstRowFirstColumn="0" w:firstRowLastColumn="0" w:lastRowFirstColumn="0" w:lastRowLastColumn="0"/>
              <w:rPr>
                <w:rFonts w:asciiTheme="minorHAnsi" w:hAnsiTheme="minorHAnsi"/>
                <w:bCs/>
                <w:sz w:val="20"/>
                <w:szCs w:val="20"/>
              </w:rPr>
            </w:pPr>
            <w:r w:rsidRPr="00BB27E5">
              <w:rPr>
                <w:rFonts w:asciiTheme="minorHAnsi" w:hAnsiTheme="minorHAnsi"/>
                <w:bCs/>
                <w:i/>
                <w:sz w:val="20"/>
                <w:szCs w:val="20"/>
              </w:rPr>
              <w:t>In-District Instruction</w:t>
            </w:r>
          </w:p>
        </w:tc>
        <w:tc>
          <w:tcPr>
            <w:tcW w:w="2763" w:type="dxa"/>
            <w:gridSpan w:val="2"/>
            <w:tcBorders>
              <w:bottom w:val="nil"/>
            </w:tcBorders>
            <w:noWrap/>
            <w:vAlign w:val="top"/>
            <w:hideMark/>
          </w:tcPr>
          <w:p w14:paraId="0AD2BE98" w14:textId="77777777" w:rsidR="00BB27E5" w:rsidRPr="00BB27E5" w:rsidRDefault="00BB27E5" w:rsidP="00BB27E5">
            <w:pPr>
              <w:cnfStyle w:val="100000000000" w:firstRow="1" w:lastRow="0" w:firstColumn="0" w:lastColumn="0" w:oddVBand="0" w:evenVBand="0" w:oddHBand="0" w:evenHBand="0" w:firstRowFirstColumn="0" w:firstRowLastColumn="0" w:lastRowFirstColumn="0" w:lastRowLastColumn="0"/>
              <w:rPr>
                <w:rFonts w:asciiTheme="minorHAnsi" w:hAnsiTheme="minorHAnsi"/>
                <w:bCs/>
                <w:sz w:val="20"/>
                <w:szCs w:val="20"/>
              </w:rPr>
            </w:pPr>
            <w:r w:rsidRPr="00BB27E5">
              <w:rPr>
                <w:rFonts w:asciiTheme="minorHAnsi" w:hAnsiTheme="minorHAnsi"/>
                <w:bCs/>
                <w:i/>
                <w:sz w:val="20"/>
                <w:szCs w:val="20"/>
              </w:rPr>
              <w:t>Out-of-District Tuition</w:t>
            </w:r>
          </w:p>
        </w:tc>
        <w:tc>
          <w:tcPr>
            <w:tcW w:w="1385" w:type="dxa"/>
            <w:vMerge w:val="restart"/>
            <w:tcBorders>
              <w:right w:val="nil"/>
            </w:tcBorders>
            <w:noWrap/>
            <w:hideMark/>
          </w:tcPr>
          <w:p w14:paraId="0AD2BE99" w14:textId="77777777" w:rsidR="00BB27E5" w:rsidRPr="00BB27E5" w:rsidRDefault="00BB27E5" w:rsidP="00BB27E5">
            <w:pPr>
              <w:keepNext/>
              <w:spacing w:before="240" w:after="60"/>
              <w:jc w:val="left"/>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bCs/>
                <w:sz w:val="20"/>
                <w:szCs w:val="20"/>
              </w:rPr>
            </w:pPr>
            <w:r w:rsidRPr="00BB27E5">
              <w:rPr>
                <w:rFonts w:asciiTheme="minorHAnsi" w:hAnsiTheme="minorHAnsi"/>
                <w:bCs/>
                <w:sz w:val="20"/>
                <w:szCs w:val="20"/>
              </w:rPr>
              <w:t>E</w:t>
            </w:r>
          </w:p>
        </w:tc>
        <w:tc>
          <w:tcPr>
            <w:tcW w:w="1480" w:type="dxa"/>
            <w:vMerge w:val="restart"/>
            <w:tcBorders>
              <w:left w:val="nil"/>
              <w:right w:val="nil"/>
            </w:tcBorders>
          </w:tcPr>
          <w:p w14:paraId="0AD2BE9A" w14:textId="77777777" w:rsidR="00BB27E5" w:rsidRPr="00BB27E5" w:rsidRDefault="00BB27E5" w:rsidP="00BB27E5">
            <w:pPr>
              <w:keepNext/>
              <w:spacing w:before="240" w:after="60"/>
              <w:jc w:val="left"/>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bCs/>
                <w:sz w:val="20"/>
                <w:szCs w:val="20"/>
              </w:rPr>
            </w:pPr>
            <w:r w:rsidRPr="00BB27E5">
              <w:rPr>
                <w:rFonts w:asciiTheme="minorHAnsi" w:hAnsiTheme="minorHAnsi"/>
                <w:bCs/>
                <w:sz w:val="20"/>
                <w:szCs w:val="20"/>
              </w:rPr>
              <w:t>F</w:t>
            </w:r>
          </w:p>
        </w:tc>
        <w:tc>
          <w:tcPr>
            <w:tcW w:w="957" w:type="dxa"/>
            <w:vMerge w:val="restart"/>
            <w:tcBorders>
              <w:left w:val="nil"/>
            </w:tcBorders>
          </w:tcPr>
          <w:p w14:paraId="0AD2BE9B" w14:textId="77777777" w:rsidR="00BB27E5" w:rsidRPr="00BB27E5" w:rsidRDefault="00BB27E5" w:rsidP="00BB27E5">
            <w:pPr>
              <w:cnfStyle w:val="100000000000" w:firstRow="1" w:lastRow="0" w:firstColumn="0" w:lastColumn="0" w:oddVBand="0" w:evenVBand="0" w:oddHBand="0" w:evenHBand="0" w:firstRowFirstColumn="0" w:firstRowLastColumn="0" w:lastRowFirstColumn="0" w:lastRowLastColumn="0"/>
              <w:rPr>
                <w:rFonts w:asciiTheme="minorHAnsi" w:hAnsiTheme="minorHAnsi"/>
                <w:bCs/>
                <w:sz w:val="20"/>
                <w:szCs w:val="20"/>
              </w:rPr>
            </w:pPr>
          </w:p>
          <w:p w14:paraId="0AD2BE9C" w14:textId="77777777" w:rsidR="00BB27E5" w:rsidRPr="00BB27E5" w:rsidRDefault="00BB27E5" w:rsidP="00BB27E5">
            <w:pPr>
              <w:cnfStyle w:val="100000000000" w:firstRow="1" w:lastRow="0" w:firstColumn="0" w:lastColumn="0" w:oddVBand="0" w:evenVBand="0" w:oddHBand="0" w:evenHBand="0" w:firstRowFirstColumn="0" w:firstRowLastColumn="0" w:lastRowFirstColumn="0" w:lastRowLastColumn="0"/>
              <w:rPr>
                <w:rFonts w:asciiTheme="minorHAnsi" w:hAnsiTheme="minorHAnsi"/>
                <w:bCs/>
                <w:sz w:val="20"/>
                <w:szCs w:val="20"/>
              </w:rPr>
            </w:pPr>
            <w:r w:rsidRPr="00BB27E5">
              <w:rPr>
                <w:rFonts w:asciiTheme="minorHAnsi" w:hAnsiTheme="minorHAnsi"/>
                <w:bCs/>
                <w:sz w:val="20"/>
                <w:szCs w:val="20"/>
              </w:rPr>
              <w:t>G</w:t>
            </w:r>
          </w:p>
        </w:tc>
      </w:tr>
      <w:tr w:rsidR="00BB27E5" w:rsidRPr="00BB27E5" w14:paraId="0AD2BEA6" w14:textId="77777777" w:rsidTr="00C07E91">
        <w:trPr>
          <w:cnfStyle w:val="100000000000" w:firstRow="1" w:lastRow="0" w:firstColumn="0" w:lastColumn="0" w:oddVBand="0" w:evenVBand="0" w:oddHBand="0" w:evenHBand="0" w:firstRowFirstColumn="0" w:firstRowLastColumn="0" w:lastRowFirstColumn="0" w:lastRowLastColumn="0"/>
          <w:trHeight w:val="232"/>
          <w:tblHeader/>
        </w:trPr>
        <w:tc>
          <w:tcPr>
            <w:cnfStyle w:val="001000000000" w:firstRow="0" w:lastRow="0" w:firstColumn="1" w:lastColumn="0" w:oddVBand="0" w:evenVBand="0" w:oddHBand="0" w:evenHBand="0" w:firstRowFirstColumn="0" w:firstRowLastColumn="0" w:lastRowFirstColumn="0" w:lastRowLastColumn="0"/>
            <w:tcW w:w="708" w:type="dxa"/>
            <w:vMerge/>
            <w:noWrap/>
            <w:hideMark/>
          </w:tcPr>
          <w:p w14:paraId="0AD2BE9E" w14:textId="77777777" w:rsidR="00BB27E5" w:rsidRPr="00BB27E5" w:rsidRDefault="00BB27E5" w:rsidP="00BB27E5">
            <w:pPr>
              <w:rPr>
                <w:bCs/>
                <w:sz w:val="20"/>
                <w:szCs w:val="20"/>
              </w:rPr>
            </w:pPr>
          </w:p>
        </w:tc>
        <w:tc>
          <w:tcPr>
            <w:tcW w:w="1380" w:type="dxa"/>
            <w:tcBorders>
              <w:right w:val="nil"/>
            </w:tcBorders>
            <w:noWrap/>
            <w:vAlign w:val="top"/>
            <w:hideMark/>
          </w:tcPr>
          <w:p w14:paraId="0AD2BE9F"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szCs w:val="20"/>
              </w:rPr>
            </w:pPr>
            <w:r w:rsidRPr="00BB27E5">
              <w:rPr>
                <w:rFonts w:asciiTheme="minorHAnsi" w:hAnsiTheme="minorHAnsi"/>
                <w:bCs/>
                <w:sz w:val="20"/>
                <w:szCs w:val="20"/>
              </w:rPr>
              <w:t>A</w:t>
            </w:r>
          </w:p>
        </w:tc>
        <w:tc>
          <w:tcPr>
            <w:tcW w:w="1342" w:type="dxa"/>
            <w:tcBorders>
              <w:left w:val="nil"/>
            </w:tcBorders>
          </w:tcPr>
          <w:p w14:paraId="0AD2BEA0"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szCs w:val="20"/>
              </w:rPr>
            </w:pPr>
            <w:r w:rsidRPr="00BB27E5">
              <w:rPr>
                <w:rFonts w:asciiTheme="minorHAnsi" w:hAnsiTheme="minorHAnsi"/>
                <w:bCs/>
                <w:sz w:val="20"/>
                <w:szCs w:val="20"/>
              </w:rPr>
              <w:t>B</w:t>
            </w:r>
          </w:p>
        </w:tc>
        <w:tc>
          <w:tcPr>
            <w:tcW w:w="1475" w:type="dxa"/>
            <w:tcBorders>
              <w:right w:val="nil"/>
            </w:tcBorders>
            <w:noWrap/>
            <w:vAlign w:val="top"/>
            <w:hideMark/>
          </w:tcPr>
          <w:p w14:paraId="0AD2BEA1"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szCs w:val="20"/>
              </w:rPr>
            </w:pPr>
            <w:r w:rsidRPr="00BB27E5">
              <w:rPr>
                <w:rFonts w:asciiTheme="minorHAnsi" w:hAnsiTheme="minorHAnsi"/>
                <w:bCs/>
                <w:sz w:val="20"/>
                <w:szCs w:val="20"/>
              </w:rPr>
              <w:t>C</w:t>
            </w:r>
          </w:p>
        </w:tc>
        <w:tc>
          <w:tcPr>
            <w:tcW w:w="1288" w:type="dxa"/>
            <w:tcBorders>
              <w:left w:val="nil"/>
            </w:tcBorders>
          </w:tcPr>
          <w:p w14:paraId="0AD2BEA2"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szCs w:val="20"/>
              </w:rPr>
            </w:pPr>
            <w:r w:rsidRPr="00BB27E5">
              <w:rPr>
                <w:rFonts w:asciiTheme="minorHAnsi" w:hAnsiTheme="minorHAnsi"/>
                <w:bCs/>
                <w:sz w:val="20"/>
                <w:szCs w:val="20"/>
              </w:rPr>
              <w:t>D</w:t>
            </w:r>
          </w:p>
        </w:tc>
        <w:tc>
          <w:tcPr>
            <w:tcW w:w="1385" w:type="dxa"/>
            <w:vMerge/>
            <w:tcBorders>
              <w:right w:val="nil"/>
            </w:tcBorders>
            <w:noWrap/>
            <w:hideMark/>
          </w:tcPr>
          <w:p w14:paraId="0AD2BEA3" w14:textId="77777777" w:rsidR="00BB27E5" w:rsidRPr="00BB27E5" w:rsidRDefault="00BB27E5" w:rsidP="00BB27E5">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szCs w:val="20"/>
              </w:rPr>
            </w:pPr>
          </w:p>
        </w:tc>
        <w:tc>
          <w:tcPr>
            <w:tcW w:w="1480" w:type="dxa"/>
            <w:vMerge/>
            <w:tcBorders>
              <w:left w:val="nil"/>
              <w:right w:val="nil"/>
            </w:tcBorders>
          </w:tcPr>
          <w:p w14:paraId="0AD2BEA4" w14:textId="77777777" w:rsidR="00BB27E5" w:rsidRPr="00BB27E5" w:rsidRDefault="00BB27E5" w:rsidP="00BB27E5">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szCs w:val="20"/>
              </w:rPr>
            </w:pPr>
          </w:p>
        </w:tc>
        <w:tc>
          <w:tcPr>
            <w:tcW w:w="957" w:type="dxa"/>
            <w:vMerge/>
            <w:tcBorders>
              <w:left w:val="nil"/>
            </w:tcBorders>
          </w:tcPr>
          <w:p w14:paraId="0AD2BEA5" w14:textId="77777777" w:rsidR="00BB27E5" w:rsidRPr="00BB27E5" w:rsidRDefault="00BB27E5" w:rsidP="00BB27E5">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szCs w:val="20"/>
              </w:rPr>
            </w:pPr>
          </w:p>
        </w:tc>
      </w:tr>
      <w:tr w:rsidR="00BB27E5" w:rsidRPr="00BB27E5" w14:paraId="0AD2BEB1" w14:textId="77777777" w:rsidTr="00C07E91">
        <w:trPr>
          <w:cnfStyle w:val="100000000000" w:firstRow="1" w:lastRow="0" w:firstColumn="0" w:lastColumn="0" w:oddVBand="0" w:evenVBand="0" w:oddHBand="0" w:evenHBand="0" w:firstRowFirstColumn="0" w:firstRowLastColumn="0" w:lastRowFirstColumn="0" w:lastRowLastColumn="0"/>
          <w:trHeight w:val="258"/>
          <w:tblHeader/>
        </w:trPr>
        <w:tc>
          <w:tcPr>
            <w:cnfStyle w:val="001000000000" w:firstRow="0" w:lastRow="0" w:firstColumn="1" w:lastColumn="0" w:oddVBand="0" w:evenVBand="0" w:oddHBand="0" w:evenHBand="0" w:firstRowFirstColumn="0" w:firstRowLastColumn="0" w:lastRowFirstColumn="0" w:lastRowLastColumn="0"/>
            <w:tcW w:w="708" w:type="dxa"/>
            <w:vMerge/>
            <w:noWrap/>
            <w:hideMark/>
          </w:tcPr>
          <w:p w14:paraId="0AD2BEA7" w14:textId="77777777" w:rsidR="00BB27E5" w:rsidRPr="00BB27E5" w:rsidRDefault="00BB27E5" w:rsidP="00BB27E5">
            <w:pPr>
              <w:rPr>
                <w:rFonts w:ascii="Times New Roman" w:hAnsi="Times New Roman"/>
                <w:b w:val="0"/>
                <w:bCs/>
                <w:sz w:val="20"/>
                <w:szCs w:val="20"/>
              </w:rPr>
            </w:pPr>
          </w:p>
        </w:tc>
        <w:tc>
          <w:tcPr>
            <w:tcW w:w="1380" w:type="dxa"/>
            <w:noWrap/>
            <w:hideMark/>
          </w:tcPr>
          <w:p w14:paraId="0AD2BEA8"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0"/>
                <w:szCs w:val="20"/>
              </w:rPr>
            </w:pPr>
            <w:r w:rsidRPr="00BB27E5">
              <w:rPr>
                <w:rFonts w:ascii="Times New Roman" w:hAnsi="Times New Roman"/>
                <w:bCs/>
                <w:sz w:val="20"/>
                <w:szCs w:val="20"/>
              </w:rPr>
              <w:t>Teaching</w:t>
            </w:r>
          </w:p>
        </w:tc>
        <w:tc>
          <w:tcPr>
            <w:tcW w:w="1342" w:type="dxa"/>
            <w:noWrap/>
            <w:hideMark/>
          </w:tcPr>
          <w:p w14:paraId="0AD2BEA9"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0"/>
                <w:szCs w:val="20"/>
              </w:rPr>
            </w:pPr>
            <w:r w:rsidRPr="00BB27E5">
              <w:rPr>
                <w:rFonts w:ascii="Times New Roman" w:hAnsi="Times New Roman"/>
                <w:bCs/>
                <w:sz w:val="20"/>
                <w:szCs w:val="20"/>
              </w:rPr>
              <w:t>Other Instructional</w:t>
            </w:r>
          </w:p>
        </w:tc>
        <w:tc>
          <w:tcPr>
            <w:tcW w:w="1475" w:type="dxa"/>
            <w:noWrap/>
            <w:hideMark/>
          </w:tcPr>
          <w:p w14:paraId="0AD2BEAA"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0"/>
                <w:szCs w:val="20"/>
              </w:rPr>
            </w:pPr>
            <w:r w:rsidRPr="00BB27E5">
              <w:rPr>
                <w:rFonts w:ascii="Times New Roman" w:hAnsi="Times New Roman"/>
                <w:bCs/>
                <w:sz w:val="20"/>
                <w:szCs w:val="20"/>
              </w:rPr>
              <w:t>MA Public Schools and Collaboratives</w:t>
            </w:r>
          </w:p>
        </w:tc>
        <w:tc>
          <w:tcPr>
            <w:tcW w:w="1288" w:type="dxa"/>
            <w:noWrap/>
            <w:hideMark/>
          </w:tcPr>
          <w:p w14:paraId="0AD2BEAB"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0"/>
                <w:szCs w:val="20"/>
              </w:rPr>
            </w:pPr>
            <w:r w:rsidRPr="00BB27E5">
              <w:rPr>
                <w:rFonts w:ascii="Times New Roman" w:hAnsi="Times New Roman"/>
                <w:bCs/>
                <w:sz w:val="20"/>
                <w:szCs w:val="20"/>
              </w:rPr>
              <w:t>MA Private and Out-of-State Schools</w:t>
            </w:r>
          </w:p>
        </w:tc>
        <w:tc>
          <w:tcPr>
            <w:tcW w:w="1385" w:type="dxa"/>
            <w:noWrap/>
            <w:hideMark/>
          </w:tcPr>
          <w:p w14:paraId="0AD2BEAC"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0"/>
                <w:szCs w:val="20"/>
              </w:rPr>
            </w:pPr>
            <w:r w:rsidRPr="00BB27E5">
              <w:rPr>
                <w:rFonts w:ascii="Times New Roman" w:hAnsi="Times New Roman"/>
                <w:bCs/>
                <w:sz w:val="20"/>
                <w:szCs w:val="20"/>
              </w:rPr>
              <w:t>Combined Special Ed Expenditures</w:t>
            </w:r>
          </w:p>
          <w:p w14:paraId="0AD2BEAD"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0"/>
                <w:szCs w:val="20"/>
              </w:rPr>
            </w:pPr>
            <w:r w:rsidRPr="00BB27E5">
              <w:rPr>
                <w:rFonts w:ascii="Times New Roman" w:hAnsi="Times New Roman"/>
                <w:bCs/>
                <w:sz w:val="20"/>
                <w:szCs w:val="20"/>
              </w:rPr>
              <w:t>(A+B+C+D)</w:t>
            </w:r>
          </w:p>
        </w:tc>
        <w:tc>
          <w:tcPr>
            <w:tcW w:w="1480" w:type="dxa"/>
            <w:noWrap/>
            <w:hideMark/>
          </w:tcPr>
          <w:p w14:paraId="0AD2BEAE" w14:textId="54514D47" w:rsidR="00BB27E5" w:rsidRPr="00BB27E5" w:rsidRDefault="00BB27E5" w:rsidP="0023671C">
            <w:pPr>
              <w:ind w:right="225"/>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0"/>
                <w:szCs w:val="20"/>
              </w:rPr>
            </w:pPr>
            <w:r w:rsidRPr="00BB27E5">
              <w:rPr>
                <w:rFonts w:ascii="Times New Roman" w:hAnsi="Times New Roman"/>
                <w:bCs/>
                <w:sz w:val="20"/>
                <w:szCs w:val="20"/>
              </w:rPr>
              <w:t>Total</w:t>
            </w:r>
            <w:r w:rsidR="0023671C">
              <w:rPr>
                <w:rFonts w:ascii="Times New Roman" w:hAnsi="Times New Roman"/>
                <w:bCs/>
                <w:sz w:val="20"/>
                <w:szCs w:val="20"/>
              </w:rPr>
              <w:t xml:space="preserve"> </w:t>
            </w:r>
            <w:bookmarkStart w:id="10" w:name="_GoBack"/>
            <w:bookmarkEnd w:id="10"/>
            <w:r w:rsidRPr="00BB27E5">
              <w:rPr>
                <w:rFonts w:ascii="Times New Roman" w:hAnsi="Times New Roman"/>
                <w:bCs/>
                <w:sz w:val="20"/>
                <w:szCs w:val="20"/>
              </w:rPr>
              <w:t>School Operating Budget</w:t>
            </w:r>
          </w:p>
        </w:tc>
        <w:tc>
          <w:tcPr>
            <w:tcW w:w="957" w:type="dxa"/>
            <w:noWrap/>
            <w:hideMark/>
          </w:tcPr>
          <w:p w14:paraId="0AD2BEAF" w14:textId="77777777" w:rsidR="00BB27E5" w:rsidRPr="00BB27E5" w:rsidRDefault="00BB27E5" w:rsidP="00BB27E5">
            <w:pPr>
              <w:ind w:left="-109" w:right="295"/>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0"/>
                <w:szCs w:val="20"/>
              </w:rPr>
            </w:pPr>
            <w:r w:rsidRPr="00BB27E5">
              <w:rPr>
                <w:rFonts w:ascii="Times New Roman" w:hAnsi="Times New Roman"/>
                <w:bCs/>
                <w:sz w:val="20"/>
                <w:szCs w:val="20"/>
              </w:rPr>
              <w:t>Special Education % of Budget</w:t>
            </w:r>
          </w:p>
          <w:p w14:paraId="0AD2BEB0" w14:textId="77777777" w:rsidR="00BB27E5" w:rsidRPr="00BB27E5" w:rsidRDefault="00BB27E5" w:rsidP="00BB27E5">
            <w:pPr>
              <w:ind w:left="-109" w:right="295"/>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0"/>
                <w:szCs w:val="20"/>
              </w:rPr>
            </w:pPr>
            <w:r w:rsidRPr="00BB27E5">
              <w:rPr>
                <w:rFonts w:ascii="Times New Roman" w:hAnsi="Times New Roman"/>
                <w:bCs/>
                <w:sz w:val="20"/>
                <w:szCs w:val="20"/>
              </w:rPr>
              <w:t>(E as % of F)</w:t>
            </w:r>
          </w:p>
        </w:tc>
      </w:tr>
      <w:tr w:rsidR="00BB27E5" w:rsidRPr="00BB27E5" w14:paraId="0AD2BEBA" w14:textId="77777777" w:rsidTr="00C07E91">
        <w:trPr>
          <w:cnfStyle w:val="100000000000" w:firstRow="1" w:lastRow="0" w:firstColumn="0" w:lastColumn="0" w:oddVBand="0" w:evenVBand="0" w:oddHBand="0" w:evenHBand="0" w:firstRowFirstColumn="0" w:firstRowLastColumn="0" w:lastRowFirstColumn="0" w:lastRowLastColumn="0"/>
          <w:trHeight w:val="258"/>
          <w:tblHeader/>
        </w:trPr>
        <w:tc>
          <w:tcPr>
            <w:cnfStyle w:val="001000000000" w:firstRow="0" w:lastRow="0" w:firstColumn="1" w:lastColumn="0" w:oddVBand="0" w:evenVBand="0" w:oddHBand="0" w:evenHBand="0" w:firstRowFirstColumn="0" w:firstRowLastColumn="0" w:lastRowFirstColumn="0" w:lastRowLastColumn="0"/>
            <w:tcW w:w="708" w:type="dxa"/>
            <w:noWrap/>
            <w:vAlign w:val="top"/>
            <w:hideMark/>
          </w:tcPr>
          <w:p w14:paraId="0AD2BEB2" w14:textId="77777777" w:rsidR="00BB27E5" w:rsidRPr="00BB27E5" w:rsidRDefault="00BB27E5" w:rsidP="00BB27E5">
            <w:pPr>
              <w:rPr>
                <w:rFonts w:ascii="Times New Roman" w:hAnsi="Times New Roman"/>
                <w:sz w:val="20"/>
                <w:szCs w:val="20"/>
              </w:rPr>
            </w:pPr>
            <w:r w:rsidRPr="00BB27E5">
              <w:rPr>
                <w:rFonts w:ascii="Times New Roman" w:hAnsi="Times New Roman"/>
                <w:sz w:val="20"/>
                <w:szCs w:val="20"/>
              </w:rPr>
              <w:t>2008</w:t>
            </w:r>
          </w:p>
        </w:tc>
        <w:tc>
          <w:tcPr>
            <w:tcW w:w="1380" w:type="dxa"/>
            <w:noWrap/>
            <w:vAlign w:val="top"/>
            <w:hideMark/>
          </w:tcPr>
          <w:p w14:paraId="0AD2BEB3"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1,132,805,073</w:t>
            </w:r>
          </w:p>
        </w:tc>
        <w:tc>
          <w:tcPr>
            <w:tcW w:w="1342" w:type="dxa"/>
            <w:noWrap/>
            <w:vAlign w:val="top"/>
            <w:hideMark/>
          </w:tcPr>
          <w:p w14:paraId="0AD2BEB4"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209,235,235</w:t>
            </w:r>
          </w:p>
        </w:tc>
        <w:tc>
          <w:tcPr>
            <w:tcW w:w="1475" w:type="dxa"/>
            <w:noWrap/>
            <w:vAlign w:val="top"/>
            <w:hideMark/>
          </w:tcPr>
          <w:p w14:paraId="0AD2BEB5"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223,288,119</w:t>
            </w:r>
          </w:p>
        </w:tc>
        <w:tc>
          <w:tcPr>
            <w:tcW w:w="1288" w:type="dxa"/>
            <w:noWrap/>
            <w:vAlign w:val="top"/>
            <w:hideMark/>
          </w:tcPr>
          <w:p w14:paraId="0AD2BEB6"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451,779,440</w:t>
            </w:r>
          </w:p>
        </w:tc>
        <w:tc>
          <w:tcPr>
            <w:tcW w:w="1385" w:type="dxa"/>
            <w:noWrap/>
            <w:vAlign w:val="top"/>
            <w:hideMark/>
          </w:tcPr>
          <w:p w14:paraId="0AD2BEB7"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2,017,107,867</w:t>
            </w:r>
          </w:p>
        </w:tc>
        <w:tc>
          <w:tcPr>
            <w:tcW w:w="1480" w:type="dxa"/>
            <w:noWrap/>
            <w:vAlign w:val="top"/>
            <w:hideMark/>
          </w:tcPr>
          <w:p w14:paraId="0AD2BEB8"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10,172,987,581</w:t>
            </w:r>
          </w:p>
        </w:tc>
        <w:tc>
          <w:tcPr>
            <w:tcW w:w="957" w:type="dxa"/>
            <w:noWrap/>
            <w:vAlign w:val="top"/>
            <w:hideMark/>
          </w:tcPr>
          <w:p w14:paraId="0AD2BEB9"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19.8</w:t>
            </w:r>
          </w:p>
        </w:tc>
      </w:tr>
      <w:tr w:rsidR="00BB27E5" w:rsidRPr="00BB27E5" w14:paraId="0AD2BEC3" w14:textId="77777777" w:rsidTr="00C07E91">
        <w:trPr>
          <w:cnfStyle w:val="100000000000" w:firstRow="1" w:lastRow="0" w:firstColumn="0" w:lastColumn="0" w:oddVBand="0" w:evenVBand="0" w:oddHBand="0" w:evenHBand="0" w:firstRowFirstColumn="0" w:firstRowLastColumn="0" w:lastRowFirstColumn="0" w:lastRowLastColumn="0"/>
          <w:trHeight w:val="258"/>
          <w:tblHeader/>
        </w:trPr>
        <w:tc>
          <w:tcPr>
            <w:cnfStyle w:val="001000000000" w:firstRow="0" w:lastRow="0" w:firstColumn="1" w:lastColumn="0" w:oddVBand="0" w:evenVBand="0" w:oddHBand="0" w:evenHBand="0" w:firstRowFirstColumn="0" w:firstRowLastColumn="0" w:lastRowFirstColumn="0" w:lastRowLastColumn="0"/>
            <w:tcW w:w="708" w:type="dxa"/>
            <w:noWrap/>
            <w:vAlign w:val="top"/>
            <w:hideMark/>
          </w:tcPr>
          <w:p w14:paraId="0AD2BEBB" w14:textId="77777777" w:rsidR="00BB27E5" w:rsidRPr="00BB27E5" w:rsidRDefault="00BB27E5" w:rsidP="00BB27E5">
            <w:pPr>
              <w:rPr>
                <w:rFonts w:ascii="Times New Roman" w:hAnsi="Times New Roman"/>
                <w:sz w:val="20"/>
                <w:szCs w:val="20"/>
              </w:rPr>
            </w:pPr>
            <w:r w:rsidRPr="00BB27E5">
              <w:rPr>
                <w:rFonts w:ascii="Times New Roman" w:hAnsi="Times New Roman"/>
                <w:sz w:val="20"/>
                <w:szCs w:val="20"/>
              </w:rPr>
              <w:t>2009</w:t>
            </w:r>
          </w:p>
        </w:tc>
        <w:tc>
          <w:tcPr>
            <w:tcW w:w="1380" w:type="dxa"/>
            <w:noWrap/>
            <w:vAlign w:val="top"/>
            <w:hideMark/>
          </w:tcPr>
          <w:p w14:paraId="0AD2BEBC"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1,199,704,253</w:t>
            </w:r>
          </w:p>
        </w:tc>
        <w:tc>
          <w:tcPr>
            <w:tcW w:w="1342" w:type="dxa"/>
            <w:noWrap/>
            <w:vAlign w:val="top"/>
            <w:hideMark/>
          </w:tcPr>
          <w:p w14:paraId="0AD2BEBD"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212,959,915</w:t>
            </w:r>
          </w:p>
        </w:tc>
        <w:tc>
          <w:tcPr>
            <w:tcW w:w="1475" w:type="dxa"/>
            <w:noWrap/>
            <w:vAlign w:val="top"/>
            <w:hideMark/>
          </w:tcPr>
          <w:p w14:paraId="0AD2BEBE"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223,839,279</w:t>
            </w:r>
          </w:p>
        </w:tc>
        <w:tc>
          <w:tcPr>
            <w:tcW w:w="1288" w:type="dxa"/>
            <w:noWrap/>
            <w:vAlign w:val="top"/>
            <w:hideMark/>
          </w:tcPr>
          <w:p w14:paraId="0AD2BEBF"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417,844,303</w:t>
            </w:r>
          </w:p>
        </w:tc>
        <w:tc>
          <w:tcPr>
            <w:tcW w:w="1385" w:type="dxa"/>
            <w:noWrap/>
            <w:vAlign w:val="top"/>
            <w:hideMark/>
          </w:tcPr>
          <w:p w14:paraId="0AD2BEC0"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2,054,347,750</w:t>
            </w:r>
          </w:p>
        </w:tc>
        <w:tc>
          <w:tcPr>
            <w:tcW w:w="1480" w:type="dxa"/>
            <w:noWrap/>
            <w:vAlign w:val="top"/>
            <w:hideMark/>
          </w:tcPr>
          <w:p w14:paraId="0AD2BEC1"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10,243,839,754</w:t>
            </w:r>
          </w:p>
        </w:tc>
        <w:tc>
          <w:tcPr>
            <w:tcW w:w="957" w:type="dxa"/>
            <w:noWrap/>
            <w:vAlign w:val="top"/>
            <w:hideMark/>
          </w:tcPr>
          <w:p w14:paraId="0AD2BEC2"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20.1</w:t>
            </w:r>
          </w:p>
        </w:tc>
      </w:tr>
      <w:tr w:rsidR="00BB27E5" w:rsidRPr="00BB27E5" w14:paraId="0AD2BECC" w14:textId="77777777" w:rsidTr="00C07E91">
        <w:trPr>
          <w:cnfStyle w:val="100000000000" w:firstRow="1" w:lastRow="0" w:firstColumn="0" w:lastColumn="0" w:oddVBand="0" w:evenVBand="0" w:oddHBand="0" w:evenHBand="0" w:firstRowFirstColumn="0" w:firstRowLastColumn="0" w:lastRowFirstColumn="0" w:lastRowLastColumn="0"/>
          <w:trHeight w:val="258"/>
          <w:tblHeader/>
        </w:trPr>
        <w:tc>
          <w:tcPr>
            <w:cnfStyle w:val="001000000000" w:firstRow="0" w:lastRow="0" w:firstColumn="1" w:lastColumn="0" w:oddVBand="0" w:evenVBand="0" w:oddHBand="0" w:evenHBand="0" w:firstRowFirstColumn="0" w:firstRowLastColumn="0" w:lastRowFirstColumn="0" w:lastRowLastColumn="0"/>
            <w:tcW w:w="708" w:type="dxa"/>
            <w:noWrap/>
            <w:vAlign w:val="top"/>
            <w:hideMark/>
          </w:tcPr>
          <w:p w14:paraId="0AD2BEC4" w14:textId="77777777" w:rsidR="00BB27E5" w:rsidRPr="00BB27E5" w:rsidRDefault="00BB27E5" w:rsidP="00BB27E5">
            <w:pPr>
              <w:rPr>
                <w:rFonts w:ascii="Times New Roman" w:hAnsi="Times New Roman"/>
                <w:sz w:val="20"/>
                <w:szCs w:val="20"/>
              </w:rPr>
            </w:pPr>
            <w:r w:rsidRPr="00BB27E5">
              <w:rPr>
                <w:rFonts w:ascii="Times New Roman" w:hAnsi="Times New Roman"/>
                <w:sz w:val="20"/>
                <w:szCs w:val="20"/>
              </w:rPr>
              <w:t>2010</w:t>
            </w:r>
          </w:p>
        </w:tc>
        <w:tc>
          <w:tcPr>
            <w:tcW w:w="1380" w:type="dxa"/>
            <w:noWrap/>
            <w:vAlign w:val="top"/>
            <w:hideMark/>
          </w:tcPr>
          <w:p w14:paraId="0AD2BEC5"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1,221,013,989</w:t>
            </w:r>
          </w:p>
        </w:tc>
        <w:tc>
          <w:tcPr>
            <w:tcW w:w="1342" w:type="dxa"/>
            <w:noWrap/>
            <w:vAlign w:val="top"/>
            <w:hideMark/>
          </w:tcPr>
          <w:p w14:paraId="0AD2BEC6"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218,417,498</w:t>
            </w:r>
          </w:p>
        </w:tc>
        <w:tc>
          <w:tcPr>
            <w:tcW w:w="1475" w:type="dxa"/>
            <w:noWrap/>
            <w:vAlign w:val="top"/>
            <w:hideMark/>
          </w:tcPr>
          <w:p w14:paraId="0AD2BEC7"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227,720,315</w:t>
            </w:r>
          </w:p>
        </w:tc>
        <w:tc>
          <w:tcPr>
            <w:tcW w:w="1288" w:type="dxa"/>
            <w:noWrap/>
            <w:vAlign w:val="top"/>
            <w:hideMark/>
          </w:tcPr>
          <w:p w14:paraId="0AD2BEC8"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422,154,922</w:t>
            </w:r>
          </w:p>
        </w:tc>
        <w:tc>
          <w:tcPr>
            <w:tcW w:w="1385" w:type="dxa"/>
            <w:noWrap/>
            <w:vAlign w:val="top"/>
            <w:hideMark/>
          </w:tcPr>
          <w:p w14:paraId="0AD2BEC9"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2,089,306,724</w:t>
            </w:r>
          </w:p>
        </w:tc>
        <w:tc>
          <w:tcPr>
            <w:tcW w:w="1480" w:type="dxa"/>
            <w:noWrap/>
            <w:vAlign w:val="top"/>
            <w:hideMark/>
          </w:tcPr>
          <w:p w14:paraId="0AD2BECA"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10,530,690,533</w:t>
            </w:r>
          </w:p>
        </w:tc>
        <w:tc>
          <w:tcPr>
            <w:tcW w:w="957" w:type="dxa"/>
            <w:noWrap/>
            <w:vAlign w:val="top"/>
            <w:hideMark/>
          </w:tcPr>
          <w:p w14:paraId="0AD2BECB"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19.8</w:t>
            </w:r>
          </w:p>
        </w:tc>
      </w:tr>
      <w:tr w:rsidR="00BB27E5" w:rsidRPr="00BB27E5" w14:paraId="0AD2BED5" w14:textId="77777777" w:rsidTr="00C07E91">
        <w:trPr>
          <w:cnfStyle w:val="100000000000" w:firstRow="1" w:lastRow="0" w:firstColumn="0" w:lastColumn="0" w:oddVBand="0" w:evenVBand="0" w:oddHBand="0" w:evenHBand="0" w:firstRowFirstColumn="0" w:firstRowLastColumn="0" w:lastRowFirstColumn="0" w:lastRowLastColumn="0"/>
          <w:trHeight w:val="258"/>
          <w:tblHeader/>
        </w:trPr>
        <w:tc>
          <w:tcPr>
            <w:cnfStyle w:val="001000000000" w:firstRow="0" w:lastRow="0" w:firstColumn="1" w:lastColumn="0" w:oddVBand="0" w:evenVBand="0" w:oddHBand="0" w:evenHBand="0" w:firstRowFirstColumn="0" w:firstRowLastColumn="0" w:lastRowFirstColumn="0" w:lastRowLastColumn="0"/>
            <w:tcW w:w="708" w:type="dxa"/>
            <w:noWrap/>
            <w:vAlign w:val="top"/>
            <w:hideMark/>
          </w:tcPr>
          <w:p w14:paraId="0AD2BECD" w14:textId="77777777" w:rsidR="00BB27E5" w:rsidRPr="00BB27E5" w:rsidRDefault="00BB27E5" w:rsidP="00BB27E5">
            <w:pPr>
              <w:rPr>
                <w:rFonts w:ascii="Times New Roman" w:hAnsi="Times New Roman"/>
                <w:sz w:val="20"/>
                <w:szCs w:val="20"/>
              </w:rPr>
            </w:pPr>
            <w:r w:rsidRPr="00BB27E5">
              <w:rPr>
                <w:rFonts w:ascii="Times New Roman" w:hAnsi="Times New Roman"/>
                <w:sz w:val="20"/>
                <w:szCs w:val="20"/>
              </w:rPr>
              <w:t>2011</w:t>
            </w:r>
          </w:p>
        </w:tc>
        <w:tc>
          <w:tcPr>
            <w:tcW w:w="1380" w:type="dxa"/>
            <w:noWrap/>
            <w:vAlign w:val="top"/>
            <w:hideMark/>
          </w:tcPr>
          <w:p w14:paraId="0AD2BECE"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1,214,794,187</w:t>
            </w:r>
          </w:p>
        </w:tc>
        <w:tc>
          <w:tcPr>
            <w:tcW w:w="1342" w:type="dxa"/>
            <w:noWrap/>
            <w:vAlign w:val="top"/>
            <w:hideMark/>
          </w:tcPr>
          <w:p w14:paraId="0AD2BECF"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228,193,919</w:t>
            </w:r>
          </w:p>
        </w:tc>
        <w:tc>
          <w:tcPr>
            <w:tcW w:w="1475" w:type="dxa"/>
            <w:noWrap/>
            <w:vAlign w:val="top"/>
            <w:hideMark/>
          </w:tcPr>
          <w:p w14:paraId="0AD2BED0"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247,601,162</w:t>
            </w:r>
          </w:p>
        </w:tc>
        <w:tc>
          <w:tcPr>
            <w:tcW w:w="1288" w:type="dxa"/>
            <w:noWrap/>
            <w:vAlign w:val="top"/>
            <w:hideMark/>
          </w:tcPr>
          <w:p w14:paraId="0AD2BED1"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435,878,519</w:t>
            </w:r>
          </w:p>
        </w:tc>
        <w:tc>
          <w:tcPr>
            <w:tcW w:w="1385" w:type="dxa"/>
            <w:noWrap/>
            <w:vAlign w:val="top"/>
            <w:hideMark/>
          </w:tcPr>
          <w:p w14:paraId="0AD2BED2"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2,126,467,787</w:t>
            </w:r>
          </w:p>
        </w:tc>
        <w:tc>
          <w:tcPr>
            <w:tcW w:w="1480" w:type="dxa"/>
            <w:noWrap/>
            <w:vAlign w:val="top"/>
            <w:hideMark/>
          </w:tcPr>
          <w:p w14:paraId="0AD2BED3"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10,710,955,988</w:t>
            </w:r>
          </w:p>
        </w:tc>
        <w:tc>
          <w:tcPr>
            <w:tcW w:w="957" w:type="dxa"/>
            <w:noWrap/>
            <w:vAlign w:val="top"/>
            <w:hideMark/>
          </w:tcPr>
          <w:p w14:paraId="0AD2BED4"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19.9</w:t>
            </w:r>
          </w:p>
        </w:tc>
      </w:tr>
      <w:tr w:rsidR="00BB27E5" w:rsidRPr="00BB27E5" w14:paraId="0AD2BEDE" w14:textId="77777777" w:rsidTr="00C07E91">
        <w:trPr>
          <w:cnfStyle w:val="100000000000" w:firstRow="1" w:lastRow="0" w:firstColumn="0" w:lastColumn="0" w:oddVBand="0" w:evenVBand="0" w:oddHBand="0" w:evenHBand="0" w:firstRowFirstColumn="0" w:firstRowLastColumn="0" w:lastRowFirstColumn="0" w:lastRowLastColumn="0"/>
          <w:trHeight w:val="258"/>
          <w:tblHeader/>
        </w:trPr>
        <w:tc>
          <w:tcPr>
            <w:cnfStyle w:val="001000000000" w:firstRow="0" w:lastRow="0" w:firstColumn="1" w:lastColumn="0" w:oddVBand="0" w:evenVBand="0" w:oddHBand="0" w:evenHBand="0" w:firstRowFirstColumn="0" w:firstRowLastColumn="0" w:lastRowFirstColumn="0" w:lastRowLastColumn="0"/>
            <w:tcW w:w="708" w:type="dxa"/>
            <w:noWrap/>
            <w:vAlign w:val="top"/>
            <w:hideMark/>
          </w:tcPr>
          <w:p w14:paraId="0AD2BED6" w14:textId="77777777" w:rsidR="00BB27E5" w:rsidRPr="00BB27E5" w:rsidRDefault="00BB27E5" w:rsidP="00BB27E5">
            <w:pPr>
              <w:rPr>
                <w:rFonts w:ascii="Times New Roman" w:hAnsi="Times New Roman"/>
                <w:sz w:val="20"/>
                <w:szCs w:val="20"/>
              </w:rPr>
            </w:pPr>
            <w:r w:rsidRPr="00BB27E5">
              <w:rPr>
                <w:rFonts w:ascii="Times New Roman" w:hAnsi="Times New Roman"/>
                <w:sz w:val="20"/>
                <w:szCs w:val="20"/>
              </w:rPr>
              <w:t>2012</w:t>
            </w:r>
          </w:p>
        </w:tc>
        <w:tc>
          <w:tcPr>
            <w:tcW w:w="1380" w:type="dxa"/>
            <w:noWrap/>
            <w:vAlign w:val="top"/>
            <w:hideMark/>
          </w:tcPr>
          <w:p w14:paraId="0AD2BED7"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1,290,077,738</w:t>
            </w:r>
          </w:p>
        </w:tc>
        <w:tc>
          <w:tcPr>
            <w:tcW w:w="1342" w:type="dxa"/>
            <w:noWrap/>
            <w:vAlign w:val="top"/>
            <w:hideMark/>
          </w:tcPr>
          <w:p w14:paraId="0AD2BED8"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239,336,243</w:t>
            </w:r>
          </w:p>
        </w:tc>
        <w:tc>
          <w:tcPr>
            <w:tcW w:w="1475" w:type="dxa"/>
            <w:noWrap/>
            <w:vAlign w:val="top"/>
            <w:hideMark/>
          </w:tcPr>
          <w:p w14:paraId="0AD2BED9"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258,571,816</w:t>
            </w:r>
          </w:p>
        </w:tc>
        <w:tc>
          <w:tcPr>
            <w:tcW w:w="1288" w:type="dxa"/>
            <w:noWrap/>
            <w:vAlign w:val="top"/>
            <w:hideMark/>
          </w:tcPr>
          <w:p w14:paraId="0AD2BEDA"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475,131,655</w:t>
            </w:r>
          </w:p>
        </w:tc>
        <w:tc>
          <w:tcPr>
            <w:tcW w:w="1385" w:type="dxa"/>
            <w:noWrap/>
            <w:vAlign w:val="top"/>
            <w:hideMark/>
          </w:tcPr>
          <w:p w14:paraId="0AD2BEDB"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2,263,117,452</w:t>
            </w:r>
          </w:p>
        </w:tc>
        <w:tc>
          <w:tcPr>
            <w:tcW w:w="1480" w:type="dxa"/>
            <w:noWrap/>
            <w:vAlign w:val="top"/>
            <w:hideMark/>
          </w:tcPr>
          <w:p w14:paraId="0AD2BEDC"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11,034,255,332</w:t>
            </w:r>
          </w:p>
        </w:tc>
        <w:tc>
          <w:tcPr>
            <w:tcW w:w="957" w:type="dxa"/>
            <w:noWrap/>
            <w:vAlign w:val="top"/>
            <w:hideMark/>
          </w:tcPr>
          <w:p w14:paraId="0AD2BEDD"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20.5</w:t>
            </w:r>
          </w:p>
        </w:tc>
      </w:tr>
      <w:tr w:rsidR="00BB27E5" w:rsidRPr="00BB27E5" w14:paraId="0AD2BEE7" w14:textId="77777777" w:rsidTr="00C07E91">
        <w:trPr>
          <w:cnfStyle w:val="100000000000" w:firstRow="1" w:lastRow="0" w:firstColumn="0" w:lastColumn="0" w:oddVBand="0" w:evenVBand="0" w:oddHBand="0" w:evenHBand="0" w:firstRowFirstColumn="0" w:firstRowLastColumn="0" w:lastRowFirstColumn="0" w:lastRowLastColumn="0"/>
          <w:trHeight w:val="258"/>
          <w:tblHeader/>
        </w:trPr>
        <w:tc>
          <w:tcPr>
            <w:cnfStyle w:val="001000000000" w:firstRow="0" w:lastRow="0" w:firstColumn="1" w:lastColumn="0" w:oddVBand="0" w:evenVBand="0" w:oddHBand="0" w:evenHBand="0" w:firstRowFirstColumn="0" w:firstRowLastColumn="0" w:lastRowFirstColumn="0" w:lastRowLastColumn="0"/>
            <w:tcW w:w="708" w:type="dxa"/>
            <w:noWrap/>
            <w:vAlign w:val="top"/>
            <w:hideMark/>
          </w:tcPr>
          <w:p w14:paraId="0AD2BEDF" w14:textId="77777777" w:rsidR="00BB27E5" w:rsidRPr="00BB27E5" w:rsidRDefault="00BB27E5" w:rsidP="00BB27E5">
            <w:pPr>
              <w:rPr>
                <w:rFonts w:ascii="Times New Roman" w:hAnsi="Times New Roman"/>
                <w:sz w:val="20"/>
                <w:szCs w:val="20"/>
              </w:rPr>
            </w:pPr>
            <w:r w:rsidRPr="00BB27E5">
              <w:rPr>
                <w:rFonts w:ascii="Times New Roman" w:hAnsi="Times New Roman"/>
                <w:sz w:val="20"/>
                <w:szCs w:val="20"/>
              </w:rPr>
              <w:t>2013</w:t>
            </w:r>
          </w:p>
        </w:tc>
        <w:tc>
          <w:tcPr>
            <w:tcW w:w="1380" w:type="dxa"/>
            <w:noWrap/>
            <w:vAlign w:val="top"/>
            <w:hideMark/>
          </w:tcPr>
          <w:p w14:paraId="0AD2BEE0"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1,391,956,887</w:t>
            </w:r>
          </w:p>
        </w:tc>
        <w:tc>
          <w:tcPr>
            <w:tcW w:w="1342" w:type="dxa"/>
            <w:noWrap/>
            <w:vAlign w:val="top"/>
            <w:hideMark/>
          </w:tcPr>
          <w:p w14:paraId="0AD2BEE1"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248,357,794</w:t>
            </w:r>
          </w:p>
        </w:tc>
        <w:tc>
          <w:tcPr>
            <w:tcW w:w="1475" w:type="dxa"/>
            <w:noWrap/>
            <w:vAlign w:val="top"/>
            <w:hideMark/>
          </w:tcPr>
          <w:p w14:paraId="0AD2BEE2"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257,350,184</w:t>
            </w:r>
          </w:p>
        </w:tc>
        <w:tc>
          <w:tcPr>
            <w:tcW w:w="1288" w:type="dxa"/>
            <w:noWrap/>
            <w:vAlign w:val="top"/>
            <w:hideMark/>
          </w:tcPr>
          <w:p w14:paraId="0AD2BEE3"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507,772,958</w:t>
            </w:r>
          </w:p>
        </w:tc>
        <w:tc>
          <w:tcPr>
            <w:tcW w:w="1385" w:type="dxa"/>
            <w:noWrap/>
            <w:vAlign w:val="top"/>
            <w:hideMark/>
          </w:tcPr>
          <w:p w14:paraId="0AD2BEE4"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2,405,437,823</w:t>
            </w:r>
          </w:p>
        </w:tc>
        <w:tc>
          <w:tcPr>
            <w:tcW w:w="1480" w:type="dxa"/>
            <w:noWrap/>
            <w:vAlign w:val="top"/>
            <w:hideMark/>
          </w:tcPr>
          <w:p w14:paraId="0AD2BEE5"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11,486,135,702</w:t>
            </w:r>
          </w:p>
        </w:tc>
        <w:tc>
          <w:tcPr>
            <w:tcW w:w="957" w:type="dxa"/>
            <w:noWrap/>
            <w:vAlign w:val="top"/>
            <w:hideMark/>
          </w:tcPr>
          <w:p w14:paraId="0AD2BEE6"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20.9</w:t>
            </w:r>
          </w:p>
        </w:tc>
      </w:tr>
      <w:tr w:rsidR="00BB27E5" w:rsidRPr="00BB27E5" w14:paraId="0AD2BEF0" w14:textId="77777777" w:rsidTr="00C07E91">
        <w:trPr>
          <w:cnfStyle w:val="100000000000" w:firstRow="1" w:lastRow="0" w:firstColumn="0" w:lastColumn="0" w:oddVBand="0" w:evenVBand="0" w:oddHBand="0" w:evenHBand="0" w:firstRowFirstColumn="0" w:firstRowLastColumn="0" w:lastRowFirstColumn="0" w:lastRowLastColumn="0"/>
          <w:trHeight w:val="258"/>
          <w:tblHeader/>
        </w:trPr>
        <w:tc>
          <w:tcPr>
            <w:cnfStyle w:val="001000000000" w:firstRow="0" w:lastRow="0" w:firstColumn="1" w:lastColumn="0" w:oddVBand="0" w:evenVBand="0" w:oddHBand="0" w:evenHBand="0" w:firstRowFirstColumn="0" w:firstRowLastColumn="0" w:lastRowFirstColumn="0" w:lastRowLastColumn="0"/>
            <w:tcW w:w="708" w:type="dxa"/>
            <w:noWrap/>
            <w:vAlign w:val="top"/>
            <w:hideMark/>
          </w:tcPr>
          <w:p w14:paraId="0AD2BEE8" w14:textId="77777777" w:rsidR="00BB27E5" w:rsidRPr="00BB27E5" w:rsidRDefault="00BB27E5" w:rsidP="00BB27E5">
            <w:pPr>
              <w:rPr>
                <w:rFonts w:ascii="Times New Roman" w:hAnsi="Times New Roman"/>
                <w:sz w:val="20"/>
                <w:szCs w:val="20"/>
              </w:rPr>
            </w:pPr>
            <w:r w:rsidRPr="00BB27E5">
              <w:rPr>
                <w:rFonts w:ascii="Times New Roman" w:hAnsi="Times New Roman"/>
                <w:sz w:val="20"/>
                <w:szCs w:val="20"/>
              </w:rPr>
              <w:t>2014</w:t>
            </w:r>
          </w:p>
        </w:tc>
        <w:tc>
          <w:tcPr>
            <w:tcW w:w="1380" w:type="dxa"/>
            <w:noWrap/>
            <w:vAlign w:val="top"/>
            <w:hideMark/>
          </w:tcPr>
          <w:p w14:paraId="0AD2BEE9"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1,459,789,905</w:t>
            </w:r>
          </w:p>
        </w:tc>
        <w:tc>
          <w:tcPr>
            <w:tcW w:w="1342" w:type="dxa"/>
            <w:noWrap/>
            <w:vAlign w:val="top"/>
            <w:hideMark/>
          </w:tcPr>
          <w:p w14:paraId="0AD2BEEA"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257,489,030</w:t>
            </w:r>
          </w:p>
        </w:tc>
        <w:tc>
          <w:tcPr>
            <w:tcW w:w="1475" w:type="dxa"/>
            <w:noWrap/>
            <w:vAlign w:val="top"/>
            <w:hideMark/>
          </w:tcPr>
          <w:p w14:paraId="0AD2BEEB"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259,934,327</w:t>
            </w:r>
          </w:p>
        </w:tc>
        <w:tc>
          <w:tcPr>
            <w:tcW w:w="1288" w:type="dxa"/>
            <w:noWrap/>
            <w:vAlign w:val="top"/>
            <w:hideMark/>
          </w:tcPr>
          <w:p w14:paraId="0AD2BEEC"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511,132,743</w:t>
            </w:r>
          </w:p>
        </w:tc>
        <w:tc>
          <w:tcPr>
            <w:tcW w:w="1385" w:type="dxa"/>
            <w:noWrap/>
            <w:vAlign w:val="top"/>
            <w:hideMark/>
          </w:tcPr>
          <w:p w14:paraId="0AD2BEED"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2,488,346,005</w:t>
            </w:r>
          </w:p>
        </w:tc>
        <w:tc>
          <w:tcPr>
            <w:tcW w:w="1480" w:type="dxa"/>
            <w:noWrap/>
            <w:vAlign w:val="top"/>
            <w:hideMark/>
          </w:tcPr>
          <w:p w14:paraId="0AD2BEEE"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11,926,430,635</w:t>
            </w:r>
          </w:p>
        </w:tc>
        <w:tc>
          <w:tcPr>
            <w:tcW w:w="957" w:type="dxa"/>
            <w:noWrap/>
            <w:vAlign w:val="top"/>
            <w:hideMark/>
          </w:tcPr>
          <w:p w14:paraId="0AD2BEEF" w14:textId="77777777" w:rsidR="00BB27E5" w:rsidRPr="00BB27E5" w:rsidRDefault="00BB27E5" w:rsidP="00BB27E5">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B27E5">
              <w:rPr>
                <w:rFonts w:ascii="Times New Roman" w:hAnsi="Times New Roman"/>
                <w:sz w:val="20"/>
                <w:szCs w:val="20"/>
              </w:rPr>
              <w:t>20.9</w:t>
            </w:r>
          </w:p>
        </w:tc>
      </w:tr>
      <w:tr w:rsidR="00BB27E5" w:rsidRPr="00BB27E5" w14:paraId="0AD2BEF9" w14:textId="77777777" w:rsidTr="00C07E91">
        <w:trPr>
          <w:cnfStyle w:val="100000000000" w:firstRow="1" w:lastRow="0" w:firstColumn="0" w:lastColumn="0" w:oddVBand="0" w:evenVBand="0" w:oddHBand="0" w:evenHBand="0" w:firstRowFirstColumn="0" w:firstRowLastColumn="0" w:lastRowFirstColumn="0" w:lastRowLastColumn="0"/>
          <w:trHeight w:val="258"/>
          <w:tblHeader/>
        </w:trPr>
        <w:tc>
          <w:tcPr>
            <w:cnfStyle w:val="001000000000" w:firstRow="0" w:lastRow="0" w:firstColumn="1" w:lastColumn="0" w:oddVBand="0" w:evenVBand="0" w:oddHBand="0" w:evenHBand="0" w:firstRowFirstColumn="0" w:firstRowLastColumn="0" w:lastRowFirstColumn="0" w:lastRowLastColumn="0"/>
            <w:tcW w:w="708" w:type="dxa"/>
            <w:noWrap/>
            <w:vAlign w:val="top"/>
            <w:hideMark/>
          </w:tcPr>
          <w:p w14:paraId="0AD2BEF1" w14:textId="77777777" w:rsidR="00BB27E5" w:rsidRPr="00303C7E" w:rsidRDefault="00BB27E5" w:rsidP="00BB27E5">
            <w:pPr>
              <w:rPr>
                <w:rFonts w:ascii="Times New Roman" w:hAnsi="Times New Roman"/>
                <w:sz w:val="20"/>
                <w:szCs w:val="20"/>
              </w:rPr>
            </w:pPr>
            <w:r w:rsidRPr="00303C7E">
              <w:rPr>
                <w:rFonts w:ascii="Times New Roman" w:hAnsi="Times New Roman"/>
                <w:sz w:val="20"/>
                <w:szCs w:val="20"/>
              </w:rPr>
              <w:t>2015</w:t>
            </w:r>
          </w:p>
        </w:tc>
        <w:tc>
          <w:tcPr>
            <w:tcW w:w="1380" w:type="dxa"/>
            <w:noWrap/>
            <w:vAlign w:val="top"/>
            <w:hideMark/>
          </w:tcPr>
          <w:p w14:paraId="0AD2BEF2" w14:textId="77777777" w:rsidR="00BB27E5" w:rsidRPr="00303C7E" w:rsidRDefault="00303C7E" w:rsidP="00BB27E5">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03C7E">
              <w:rPr>
                <w:rFonts w:ascii="Times New Roman" w:hAnsi="Times New Roman"/>
                <w:sz w:val="20"/>
                <w:szCs w:val="20"/>
              </w:rPr>
              <w:t>1,538,306,865</w:t>
            </w:r>
          </w:p>
        </w:tc>
        <w:tc>
          <w:tcPr>
            <w:tcW w:w="1342" w:type="dxa"/>
            <w:noWrap/>
            <w:vAlign w:val="top"/>
            <w:hideMark/>
          </w:tcPr>
          <w:p w14:paraId="0AD2BEF3" w14:textId="77777777" w:rsidR="00BB27E5" w:rsidRPr="00303C7E" w:rsidRDefault="00303C7E" w:rsidP="00BB27E5">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03C7E">
              <w:rPr>
                <w:rFonts w:ascii="Times New Roman" w:hAnsi="Times New Roman"/>
                <w:sz w:val="20"/>
                <w:szCs w:val="20"/>
              </w:rPr>
              <w:t>274,291,074</w:t>
            </w:r>
          </w:p>
        </w:tc>
        <w:tc>
          <w:tcPr>
            <w:tcW w:w="1475" w:type="dxa"/>
            <w:noWrap/>
            <w:vAlign w:val="top"/>
            <w:hideMark/>
          </w:tcPr>
          <w:p w14:paraId="0AD2BEF4" w14:textId="77777777" w:rsidR="00BB27E5" w:rsidRPr="00303C7E" w:rsidRDefault="00303C7E" w:rsidP="007C0CC1">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03C7E">
              <w:rPr>
                <w:rFonts w:ascii="Times New Roman" w:hAnsi="Times New Roman"/>
                <w:sz w:val="20"/>
                <w:szCs w:val="20"/>
              </w:rPr>
              <w:t>276,948,039</w:t>
            </w:r>
          </w:p>
        </w:tc>
        <w:tc>
          <w:tcPr>
            <w:tcW w:w="1288" w:type="dxa"/>
            <w:noWrap/>
            <w:vAlign w:val="top"/>
            <w:hideMark/>
          </w:tcPr>
          <w:p w14:paraId="0AD2BEF5" w14:textId="77777777" w:rsidR="00BB27E5" w:rsidRPr="00303C7E" w:rsidRDefault="00303C7E" w:rsidP="00BB27E5">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03C7E">
              <w:rPr>
                <w:rFonts w:ascii="Times New Roman" w:hAnsi="Times New Roman"/>
                <w:sz w:val="20"/>
                <w:szCs w:val="20"/>
              </w:rPr>
              <w:t>517,490,334</w:t>
            </w:r>
          </w:p>
        </w:tc>
        <w:tc>
          <w:tcPr>
            <w:tcW w:w="1385" w:type="dxa"/>
            <w:noWrap/>
            <w:vAlign w:val="top"/>
            <w:hideMark/>
          </w:tcPr>
          <w:p w14:paraId="0AD2BEF6" w14:textId="77777777" w:rsidR="00BB27E5" w:rsidRPr="00303C7E" w:rsidRDefault="00303C7E" w:rsidP="00BB27E5">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03C7E">
              <w:rPr>
                <w:rFonts w:ascii="Times New Roman" w:hAnsi="Times New Roman"/>
                <w:sz w:val="20"/>
                <w:szCs w:val="20"/>
              </w:rPr>
              <w:t>2,607,036,312</w:t>
            </w:r>
          </w:p>
        </w:tc>
        <w:tc>
          <w:tcPr>
            <w:tcW w:w="1480" w:type="dxa"/>
            <w:noWrap/>
            <w:vAlign w:val="top"/>
            <w:hideMark/>
          </w:tcPr>
          <w:p w14:paraId="0AD2BEF7" w14:textId="77777777" w:rsidR="00BB27E5" w:rsidRPr="00303C7E" w:rsidRDefault="00303C7E" w:rsidP="00BB27E5">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03C7E">
              <w:rPr>
                <w:rFonts w:ascii="Times New Roman" w:hAnsi="Times New Roman"/>
                <w:sz w:val="20"/>
                <w:szCs w:val="20"/>
              </w:rPr>
              <w:t>12,372,483,307</w:t>
            </w:r>
          </w:p>
        </w:tc>
        <w:tc>
          <w:tcPr>
            <w:tcW w:w="957" w:type="dxa"/>
            <w:noWrap/>
            <w:vAlign w:val="top"/>
            <w:hideMark/>
          </w:tcPr>
          <w:p w14:paraId="0AD2BEF8" w14:textId="77777777" w:rsidR="00BB27E5" w:rsidRPr="00303C7E" w:rsidRDefault="00303C7E" w:rsidP="00303C7E">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03C7E">
              <w:rPr>
                <w:rFonts w:ascii="Times New Roman" w:hAnsi="Times New Roman"/>
                <w:sz w:val="20"/>
                <w:szCs w:val="20"/>
              </w:rPr>
              <w:t>21.1</w:t>
            </w:r>
          </w:p>
        </w:tc>
      </w:tr>
    </w:tbl>
    <w:p w14:paraId="0AD2BEFA" w14:textId="77777777" w:rsidR="00BB27E5" w:rsidRDefault="00BB27E5" w:rsidP="00BB27E5">
      <w:pPr>
        <w:rPr>
          <w:i/>
          <w:sz w:val="20"/>
          <w:szCs w:val="20"/>
        </w:rPr>
      </w:pPr>
      <w:r w:rsidRPr="00BB27E5">
        <w:rPr>
          <w:i/>
          <w:sz w:val="20"/>
          <w:szCs w:val="20"/>
        </w:rPr>
        <w:t>Source: End of Year Pupil and Financial Report, Schedule 4 – Special Education Expenditures</w:t>
      </w:r>
    </w:p>
    <w:p w14:paraId="0AD2BEFB" w14:textId="77777777" w:rsidR="008964A4" w:rsidRDefault="008964A4" w:rsidP="00BB27E5">
      <w:pPr>
        <w:rPr>
          <w:i/>
          <w:sz w:val="20"/>
          <w:szCs w:val="20"/>
        </w:rPr>
      </w:pPr>
    </w:p>
    <w:p w14:paraId="0AD2BEFC" w14:textId="77777777" w:rsidR="008964A4" w:rsidRPr="00BB27E5" w:rsidRDefault="001D547D" w:rsidP="007C0CC1">
      <w:pPr>
        <w:spacing w:after="240"/>
      </w:pPr>
      <w:r>
        <w:t xml:space="preserve">From FY08 to FY15, </w:t>
      </w:r>
      <w:r w:rsidR="00614C6E">
        <w:t xml:space="preserve">statewide </w:t>
      </w:r>
      <w:r w:rsidR="00B447DA" w:rsidRPr="00B447DA">
        <w:t>growth in direct special education expenditures slightly outpaced growth in the total school operating budget. Average annual growth over this period for special education expenditures was 4 percent</w:t>
      </w:r>
      <w:r w:rsidR="00B447DA">
        <w:t>,</w:t>
      </w:r>
      <w:r w:rsidR="00B447DA" w:rsidRPr="00B447DA">
        <w:t xml:space="preserve"> and growth in the school operating</w:t>
      </w:r>
      <w:r w:rsidR="00614C6E">
        <w:t xml:space="preserve"> budget was 3 percent. S</w:t>
      </w:r>
      <w:r w:rsidR="00B447DA">
        <w:t xml:space="preserve">ince this is a statewide average, individual districts </w:t>
      </w:r>
      <w:r w:rsidR="00614C6E">
        <w:t xml:space="preserve">do not necessarily </w:t>
      </w:r>
      <w:r w:rsidR="00B447DA">
        <w:t>follow this pattern</w:t>
      </w:r>
      <w:r w:rsidR="00614C6E">
        <w:t>, and</w:t>
      </w:r>
      <w:r w:rsidR="00B447DA">
        <w:t xml:space="preserve"> the trend in the largest urban districts is moving in the other direction</w:t>
      </w:r>
      <w:r w:rsidR="00442D67">
        <w:t>,</w:t>
      </w:r>
      <w:r w:rsidR="00611733">
        <w:t xml:space="preserve"> </w:t>
      </w:r>
      <w:r w:rsidR="00442D67">
        <w:t>namely that growth in total school operating budgets is slightly outpacing growth in direct special education expenditures</w:t>
      </w:r>
      <w:r w:rsidR="00B447DA">
        <w:t xml:space="preserve">. </w:t>
      </w:r>
      <w:r w:rsidR="00B447DA" w:rsidRPr="00B447DA">
        <w:t xml:space="preserve">On average, though, growth in special education spending has put some pressure on the rest of the operating budget </w:t>
      </w:r>
      <w:r w:rsidR="00B447DA">
        <w:t xml:space="preserve">for many districts </w:t>
      </w:r>
      <w:r w:rsidR="00B447DA" w:rsidRPr="00B447DA">
        <w:t>during a period of fiscal constraint.</w:t>
      </w:r>
    </w:p>
    <w:p w14:paraId="0AD2BEFD" w14:textId="77777777" w:rsidR="007F1081" w:rsidRDefault="007F1081" w:rsidP="0008314F">
      <w:pPr>
        <w:pStyle w:val="Heading2"/>
        <w:numPr>
          <w:ilvl w:val="0"/>
          <w:numId w:val="7"/>
        </w:numPr>
        <w:spacing w:after="240"/>
      </w:pPr>
      <w:bookmarkStart w:id="11" w:name="_Toc484008162"/>
      <w:r>
        <w:t>School-Based Medicaid</w:t>
      </w:r>
      <w:bookmarkEnd w:id="11"/>
      <w:r w:rsidR="00CA37BC">
        <w:t xml:space="preserve"> </w:t>
      </w:r>
    </w:p>
    <w:p w14:paraId="0AD2BEFE" w14:textId="77777777" w:rsidR="003B557F" w:rsidRDefault="00BB27E5" w:rsidP="00F35976">
      <w:pPr>
        <w:spacing w:after="480"/>
      </w:pPr>
      <w:r w:rsidRPr="00096F2A">
        <w:t xml:space="preserve">The School-Based Medicaid program allows local education authorities (LEAs), such as cities and towns, charter schools, public health commissions, and regional school districts, to seek payment for providing medically necessary Medicaid services (direct services) to eligible MassHealth-enrolled children. This program also allows </w:t>
      </w:r>
      <w:r w:rsidR="006D375F">
        <w:t>LEAs</w:t>
      </w:r>
      <w:r w:rsidRPr="00096F2A">
        <w:t xml:space="preserve"> to seek payment for participating in activities that support the administration of the state's Medicaid program (administrative activities). This includes outreach and those activities that aid the delivery of direct services to Medicaid-enrolled children with </w:t>
      </w:r>
      <w:r>
        <w:t xml:space="preserve">IEPs. </w:t>
      </w:r>
      <w:r w:rsidRPr="00096F2A">
        <w:t xml:space="preserve">State law allows LEAs to participate in the </w:t>
      </w:r>
      <w:r>
        <w:t>School-Based</w:t>
      </w:r>
      <w:r w:rsidRPr="00096F2A">
        <w:t xml:space="preserve"> Medicaid program and to seek payment for direct services</w:t>
      </w:r>
      <w:r w:rsidR="006D375F">
        <w:t>,</w:t>
      </w:r>
      <w:r w:rsidRPr="00096F2A">
        <w:t xml:space="preserve"> administrative activities</w:t>
      </w:r>
      <w:r w:rsidR="006D375F">
        <w:t>,</w:t>
      </w:r>
      <w:r>
        <w:t xml:space="preserve"> or both</w:t>
      </w:r>
      <w:r w:rsidRPr="00096F2A">
        <w:t xml:space="preserve">. In order to participate in the program, LEAs must sign provider contracts with the state Medicaid agency. </w:t>
      </w:r>
      <w:r>
        <w:t>School-Based</w:t>
      </w:r>
      <w:r w:rsidRPr="00096F2A">
        <w:t xml:space="preserve"> Medicaid providers can bill MassHealth in accordance with the contract terms. Federal revenues are return</w:t>
      </w:r>
      <w:r w:rsidR="008353EB">
        <w:t xml:space="preserve">ed directly to the municipality </w:t>
      </w:r>
      <w:r w:rsidRPr="00096F2A">
        <w:t>which, in turn, can choose to share such revenue with the school districts, in whole or in part.</w:t>
      </w:r>
      <w:r>
        <w:t xml:space="preserve"> Figure A below seeks to provide an overview of </w:t>
      </w:r>
      <w:r w:rsidR="004C3259">
        <w:t>the scale</w:t>
      </w:r>
      <w:r w:rsidR="00F90C66">
        <w:t xml:space="preserve"> of Massachusetts</w:t>
      </w:r>
      <w:r>
        <w:t xml:space="preserve"> </w:t>
      </w:r>
      <w:r w:rsidR="004C3259">
        <w:t>districts receiving</w:t>
      </w:r>
      <w:r>
        <w:t xml:space="preserve"> Medicaid revenue from municipalities.</w:t>
      </w:r>
      <w:r w:rsidR="00B12DDA">
        <w:t xml:space="preserve"> </w:t>
      </w:r>
      <w:r>
        <w:t xml:space="preserve">Districts may apply for and receive revenues in different fiscal years, but this is a </w:t>
      </w:r>
      <w:r>
        <w:lastRenderedPageBreak/>
        <w:t xml:space="preserve">close approximation of </w:t>
      </w:r>
      <w:r w:rsidRPr="004C3259">
        <w:t>FY1</w:t>
      </w:r>
      <w:r w:rsidR="004C3259" w:rsidRPr="004C3259">
        <w:t>5</w:t>
      </w:r>
      <w:r>
        <w:t xml:space="preserve"> activity. Typically, municipalities that do not share the Medicaid revenue</w:t>
      </w:r>
      <w:r w:rsidR="00442D67">
        <w:t xml:space="preserve"> directly</w:t>
      </w:r>
      <w:r>
        <w:t xml:space="preserve"> with the school district</w:t>
      </w:r>
      <w:r w:rsidR="00442D67">
        <w:t>,</w:t>
      </w:r>
      <w:r>
        <w:t xml:space="preserve"> usually provid</w:t>
      </w:r>
      <w:r w:rsidR="00611733">
        <w:t>e</w:t>
      </w:r>
      <w:r>
        <w:t xml:space="preserve"> some alternative service </w:t>
      </w:r>
      <w:r w:rsidR="00442D67">
        <w:t xml:space="preserve">in lieu of direct funds, </w:t>
      </w:r>
      <w:r>
        <w:t>such as property maintenance or snow-plowing</w:t>
      </w:r>
      <w:r w:rsidR="007C0CC1">
        <w:t xml:space="preserve">. </w:t>
      </w:r>
      <w:r w:rsidR="00611733">
        <w:t>This dis</w:t>
      </w:r>
      <w:r w:rsidR="00C9358C">
        <w:t>tinction</w:t>
      </w:r>
      <w:r w:rsidR="00611733">
        <w:t xml:space="preserve"> regarding the manner in which district</w:t>
      </w:r>
      <w:r w:rsidR="00F21B8C">
        <w:t>s</w:t>
      </w:r>
      <w:r w:rsidR="00611733">
        <w:t xml:space="preserve"> receive </w:t>
      </w:r>
      <w:r w:rsidR="00C9358C">
        <w:t>revenue is not represented in Fi</w:t>
      </w:r>
      <w:r w:rsidR="00611733">
        <w:t>gure A below.</w:t>
      </w:r>
      <w:r>
        <w:t xml:space="preserve"> </w:t>
      </w:r>
      <w:r w:rsidRPr="004C3259">
        <w:t>Data for FY1</w:t>
      </w:r>
      <w:r w:rsidR="004C3259" w:rsidRPr="004C3259">
        <w:t>5</w:t>
      </w:r>
      <w:r>
        <w:t xml:space="preserve"> represents the most recent</w:t>
      </w:r>
      <w:r w:rsidR="00611733">
        <w:t>ly</w:t>
      </w:r>
      <w:r>
        <w:t xml:space="preserve"> available information</w:t>
      </w:r>
      <w:r w:rsidR="00611733">
        <w:t xml:space="preserve"> at the time at which this report was written</w:t>
      </w:r>
      <w:r>
        <w:t>.</w:t>
      </w:r>
    </w:p>
    <w:p w14:paraId="0AD2BEFF" w14:textId="77777777" w:rsidR="003B557F" w:rsidRPr="003B557F" w:rsidRDefault="003B557F" w:rsidP="003B557F">
      <w:pPr>
        <w:spacing w:after="120"/>
        <w:rPr>
          <w:b/>
        </w:rPr>
      </w:pPr>
      <w:r w:rsidRPr="003B557F">
        <w:rPr>
          <w:b/>
        </w:rPr>
        <w:t>Figure A: Municipal Medicaid Funding Breakdown, FY1</w:t>
      </w:r>
      <w:r>
        <w:rPr>
          <w:b/>
        </w:rPr>
        <w:t>5</w:t>
      </w:r>
    </w:p>
    <w:p w14:paraId="0AD2BF00" w14:textId="77777777" w:rsidR="00776A73" w:rsidRDefault="003B557F" w:rsidP="00BB27E5">
      <w:pPr>
        <w:spacing w:after="120"/>
      </w:pPr>
      <w:r w:rsidRPr="003B557F">
        <w:rPr>
          <w:noProof/>
          <w:lang w:eastAsia="zh-CN"/>
        </w:rPr>
        <w:drawing>
          <wp:inline distT="0" distB="0" distL="0" distR="0" wp14:anchorId="0AD2BF31" wp14:editId="0AD2BF32">
            <wp:extent cx="5943600" cy="3732355"/>
            <wp:effectExtent l="0" t="0" r="0" b="0"/>
            <wp:docPr id="5" name="Diagram 2" descr="403 districts in state&#10;&#10;76 districts did not participate (19%)&#10;327 school districts participated (81%)&#10;71 districts recieved no revenue&#10;256 districts recieved revenue&#10;27 districts recieved soem income&#10;229 districts recieved 100% of claim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AD2BF01" w14:textId="77777777" w:rsidR="00F35976" w:rsidRDefault="00776A73" w:rsidP="00F35976">
      <w:pPr>
        <w:spacing w:before="240" w:after="480"/>
      </w:pPr>
      <w:r>
        <w:t>In July 2009, the Municipal Medicaid program underwent significant procedural changes.</w:t>
      </w:r>
      <w:r w:rsidR="00F35976">
        <w:t xml:space="preserve"> </w:t>
      </w:r>
      <w:r>
        <w:t>Massachusetts was required to change its claiming procedures to a “fee for service” model. This</w:t>
      </w:r>
      <w:r w:rsidR="00F35976">
        <w:t xml:space="preserve"> </w:t>
      </w:r>
      <w:r>
        <w:t>new model requires further documentation of services provided</w:t>
      </w:r>
      <w:r w:rsidR="00F35976">
        <w:t xml:space="preserve"> </w:t>
      </w:r>
      <w:r>
        <w:t>and provides reimbursement</w:t>
      </w:r>
      <w:r w:rsidR="00851C45">
        <w:t xml:space="preserve"> only for qualified providers. At the time it was implemented, t</w:t>
      </w:r>
      <w:r>
        <w:t>here was concern that this more</w:t>
      </w:r>
      <w:r w:rsidR="006B7616">
        <w:t xml:space="preserve"> </w:t>
      </w:r>
      <w:r>
        <w:t>demanding</w:t>
      </w:r>
      <w:r w:rsidR="00851C45">
        <w:t xml:space="preserve"> </w:t>
      </w:r>
      <w:r>
        <w:t>model would lead to a considerable decrease in the Medicaid reimbursement</w:t>
      </w:r>
      <w:r w:rsidR="00851C45">
        <w:t xml:space="preserve"> </w:t>
      </w:r>
      <w:r>
        <w:t xml:space="preserve">available to the state. </w:t>
      </w:r>
      <w:r w:rsidR="00851C45">
        <w:t>The</w:t>
      </w:r>
      <w:r>
        <w:t xml:space="preserve"> percentage of districts participating in the Municipal Medicaid program</w:t>
      </w:r>
      <w:r w:rsidR="00851C45">
        <w:t xml:space="preserve"> leveled off from FY12 to FY15 but has not rebounded to pre-FY09 levels. (Figure B). </w:t>
      </w:r>
    </w:p>
    <w:p w14:paraId="0AD2BF02" w14:textId="77777777" w:rsidR="00F35976" w:rsidRDefault="00F35976">
      <w:r>
        <w:br w:type="page"/>
      </w:r>
    </w:p>
    <w:p w14:paraId="0AD2BF03" w14:textId="77777777" w:rsidR="00442D67" w:rsidRDefault="006B7616">
      <w:pPr>
        <w:rPr>
          <w:b/>
        </w:rPr>
      </w:pPr>
      <w:r w:rsidRPr="006B7616">
        <w:rPr>
          <w:b/>
        </w:rPr>
        <w:lastRenderedPageBreak/>
        <w:t>Figure B</w:t>
      </w:r>
      <w:r w:rsidR="00CE7B53" w:rsidRPr="006B7616">
        <w:rPr>
          <w:b/>
        </w:rPr>
        <w:t xml:space="preserve">: Percentage of School Districts Participating in Medicaid Reimbursement </w:t>
      </w:r>
    </w:p>
    <w:p w14:paraId="0AD2BF04" w14:textId="77777777" w:rsidR="00442D67" w:rsidRDefault="006D375F">
      <w:pPr>
        <w:tabs>
          <w:tab w:val="left" w:pos="1080"/>
        </w:tabs>
        <w:rPr>
          <w:b/>
        </w:rPr>
      </w:pPr>
      <w:r>
        <w:rPr>
          <w:b/>
        </w:rPr>
        <w:tab/>
      </w:r>
      <w:r w:rsidR="00CE7B53" w:rsidRPr="006B7616">
        <w:rPr>
          <w:b/>
        </w:rPr>
        <w:t>FY07-FY15</w:t>
      </w:r>
    </w:p>
    <w:p w14:paraId="0AD2BF05" w14:textId="77777777" w:rsidR="00442D67" w:rsidRDefault="00442D67">
      <w:pPr>
        <w:tabs>
          <w:tab w:val="left" w:pos="1080"/>
        </w:tabs>
        <w:rPr>
          <w:b/>
        </w:rPr>
      </w:pPr>
    </w:p>
    <w:p w14:paraId="0AD2BF06" w14:textId="77777777" w:rsidR="00776A73" w:rsidRDefault="00776A73" w:rsidP="00BB27E5">
      <w:pPr>
        <w:spacing w:after="120"/>
      </w:pPr>
      <w:r w:rsidRPr="00776A73">
        <w:rPr>
          <w:noProof/>
          <w:lang w:eastAsia="zh-CN"/>
        </w:rPr>
        <w:drawing>
          <wp:inline distT="0" distB="0" distL="0" distR="0" wp14:anchorId="0AD2BF33" wp14:editId="1C0EAB68">
            <wp:extent cx="5943600" cy="3295015"/>
            <wp:effectExtent l="0" t="0" r="0" b="635"/>
            <wp:docPr id="4" name="Chart 1" descr="FY07-FY15 percentage of schools participating in medicaid reimburse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AD2BF07" w14:textId="77777777" w:rsidR="007F1081" w:rsidRDefault="007F1081" w:rsidP="00F35976">
      <w:pPr>
        <w:pStyle w:val="Heading2"/>
        <w:numPr>
          <w:ilvl w:val="0"/>
          <w:numId w:val="7"/>
        </w:numPr>
        <w:spacing w:before="480" w:after="360"/>
      </w:pPr>
      <w:bookmarkStart w:id="12" w:name="_Toc484008163"/>
      <w:r>
        <w:t>Circuit Breaker</w:t>
      </w:r>
      <w:bookmarkEnd w:id="12"/>
    </w:p>
    <w:p w14:paraId="0AD2BF08" w14:textId="77777777" w:rsidR="00BB27E5" w:rsidRDefault="00BB27E5" w:rsidP="00BB27E5">
      <w:pPr>
        <w:spacing w:after="120"/>
      </w:pPr>
      <w:r w:rsidRPr="001458FF">
        <w:t>The state Special Education Reimbursement (“Circuit Breaker”) Program, enacted by the Legislature in 2000</w:t>
      </w:r>
      <w:r w:rsidR="006D375F">
        <w:t xml:space="preserve"> under</w:t>
      </w:r>
      <w:r w:rsidRPr="001458FF">
        <w:t xml:space="preserve"> c. 159, § 171, was first implemented in FY04. The Circuit Breaker program is designed to provide additional state financial assistance to school districts that have incurred exceptionally high costs in educating individual students with disabilities. The law supports shared costs between the </w:t>
      </w:r>
      <w:r>
        <w:t>Department</w:t>
      </w:r>
      <w:r w:rsidRPr="001458FF">
        <w:t xml:space="preserve"> and the school district when costs rise above a certain level, at which point the state will share up to 75 percent of the costs. Massachusetts state funds are available to reimburse a school district for students with disabilities whose special education costs exceed four times the state average foundation budget per pupil.</w:t>
      </w:r>
    </w:p>
    <w:p w14:paraId="0AD2BF09" w14:textId="77777777" w:rsidR="00313111" w:rsidRPr="00313111" w:rsidRDefault="00313111" w:rsidP="005A678C">
      <w:pPr>
        <w:spacing w:after="240"/>
      </w:pPr>
      <w:r w:rsidRPr="00313111">
        <w:t xml:space="preserve">Annual reports on statewide circuit breaker claims and reimbursement can be found at </w:t>
      </w:r>
      <w:hyperlink r:id="rId26" w:history="1">
        <w:r w:rsidRPr="00313111">
          <w:rPr>
            <w:rStyle w:val="Hyperlink"/>
          </w:rPr>
          <w:t>http://www.doe.mass.edu/finance/circuitbreaker</w:t>
        </w:r>
      </w:hyperlink>
      <w:r w:rsidRPr="00313111">
        <w:t xml:space="preserve">. </w:t>
      </w:r>
      <w:hyperlink r:id="rId27" w:history="1">
        <w:r w:rsidRPr="00313111">
          <w:rPr>
            <w:rStyle w:val="Hyperlink"/>
          </w:rPr>
          <w:t>Data from October 2016</w:t>
        </w:r>
      </w:hyperlink>
      <w:r w:rsidRPr="00313111">
        <w:t xml:space="preserve"> show district claims submitted in FY16 and reimbursed in FY17 at a rate of 70 percent.</w:t>
      </w:r>
    </w:p>
    <w:p w14:paraId="0AD2BF0A" w14:textId="77777777" w:rsidR="00634735" w:rsidRDefault="00634735" w:rsidP="00E110A9">
      <w:pPr>
        <w:pStyle w:val="Heading1"/>
        <w:spacing w:before="240" w:after="240"/>
      </w:pPr>
      <w:bookmarkStart w:id="13" w:name="_Toc484008164"/>
      <w:r>
        <w:t>III. FY16 i</w:t>
      </w:r>
      <w:r w:rsidR="007F1081">
        <w:t>n Review</w:t>
      </w:r>
      <w:bookmarkEnd w:id="13"/>
    </w:p>
    <w:p w14:paraId="0AD2BF0B" w14:textId="77777777" w:rsidR="00634735" w:rsidRDefault="00634735" w:rsidP="00BF66FE">
      <w:pPr>
        <w:pStyle w:val="Heading2"/>
        <w:numPr>
          <w:ilvl w:val="0"/>
          <w:numId w:val="15"/>
        </w:numPr>
        <w:spacing w:after="240"/>
      </w:pPr>
      <w:bookmarkStart w:id="14" w:name="_Toc484008165"/>
      <w:r>
        <w:t>ESE Reorganization and the Office of Special Services</w:t>
      </w:r>
      <w:bookmarkEnd w:id="14"/>
    </w:p>
    <w:p w14:paraId="0AD2BF0C" w14:textId="77777777" w:rsidR="00E33BC2" w:rsidRPr="00E33BC2" w:rsidRDefault="00E33BC2" w:rsidP="00E33BC2">
      <w:r>
        <w:t>In the summer of 2015 the Department</w:t>
      </w:r>
      <w:r w:rsidRPr="00E33BC2">
        <w:t xml:space="preserve"> experienced a significant reduction in staff, in large part due to the </w:t>
      </w:r>
      <w:r w:rsidR="006D375F">
        <w:t xml:space="preserve">temporary introduction of an </w:t>
      </w:r>
      <w:r w:rsidRPr="00E33BC2">
        <w:t>early retirement incentive program</w:t>
      </w:r>
      <w:r w:rsidR="006D375F">
        <w:t xml:space="preserve"> for Executive Branch staff</w:t>
      </w:r>
      <w:r w:rsidRPr="00E33BC2">
        <w:t xml:space="preserve"> and the end of federal </w:t>
      </w:r>
      <w:r w:rsidRPr="00D515D0">
        <w:rPr>
          <w:i/>
        </w:rPr>
        <w:t xml:space="preserve">Race to the </w:t>
      </w:r>
      <w:proofErr w:type="gramStart"/>
      <w:r w:rsidRPr="00D515D0">
        <w:rPr>
          <w:i/>
        </w:rPr>
        <w:t>Top</w:t>
      </w:r>
      <w:proofErr w:type="gramEnd"/>
      <w:r w:rsidR="00B01467">
        <w:t xml:space="preserve"> funding. </w:t>
      </w:r>
      <w:r w:rsidR="006D375F">
        <w:t>(A</w:t>
      </w:r>
      <w:r w:rsidRPr="00E33BC2">
        <w:t xml:space="preserve"> number of senior managers </w:t>
      </w:r>
      <w:r w:rsidR="006D375F">
        <w:t xml:space="preserve">also </w:t>
      </w:r>
      <w:r>
        <w:t>retired</w:t>
      </w:r>
      <w:r w:rsidR="0055364B">
        <w:t xml:space="preserve"> at the end of </w:t>
      </w:r>
      <w:r w:rsidR="006D375F">
        <w:t xml:space="preserve">calendar year </w:t>
      </w:r>
      <w:r w:rsidR="0055364B">
        <w:t>2016</w:t>
      </w:r>
      <w:r w:rsidR="00D515D0">
        <w:t xml:space="preserve">, including </w:t>
      </w:r>
      <w:r w:rsidR="00F45AE1">
        <w:t xml:space="preserve">State Director of Special Education Marcia </w:t>
      </w:r>
      <w:r w:rsidR="00F45AE1">
        <w:lastRenderedPageBreak/>
        <w:t>Mittnacht</w:t>
      </w:r>
      <w:r w:rsidR="0055364B">
        <w:t>.</w:t>
      </w:r>
      <w:r w:rsidR="006D375F">
        <w:t>)</w:t>
      </w:r>
      <w:r>
        <w:t xml:space="preserve"> </w:t>
      </w:r>
      <w:r w:rsidRPr="00E33BC2">
        <w:t xml:space="preserve">At the same time, </w:t>
      </w:r>
      <w:r>
        <w:t xml:space="preserve">the Department’s </w:t>
      </w:r>
      <w:r w:rsidRPr="00E33BC2">
        <w:t>mission – to strengthen the Commonwealth’s public education system so that all students are prepared for success after high school</w:t>
      </w:r>
      <w:r w:rsidR="00F45AE1">
        <w:t xml:space="preserve"> – </w:t>
      </w:r>
      <w:r w:rsidR="006D375F">
        <w:t>came into clearer focus</w:t>
      </w:r>
      <w:r w:rsidR="00F45AE1">
        <w:t xml:space="preserve">. </w:t>
      </w:r>
      <w:r w:rsidRPr="00E33BC2">
        <w:t xml:space="preserve">In light of these factors, </w:t>
      </w:r>
      <w:r>
        <w:t>the Department</w:t>
      </w:r>
      <w:r w:rsidR="00F45AE1">
        <w:t xml:space="preserve"> </w:t>
      </w:r>
      <w:r w:rsidRPr="00E33BC2">
        <w:t xml:space="preserve">launched an initiative to take stock of </w:t>
      </w:r>
      <w:r w:rsidR="006D375F">
        <w:t>its</w:t>
      </w:r>
      <w:r w:rsidR="006D375F" w:rsidRPr="00E33BC2">
        <w:t xml:space="preserve"> </w:t>
      </w:r>
      <w:r w:rsidRPr="00E33BC2">
        <w:t xml:space="preserve">organizational structure and identify changes </w:t>
      </w:r>
      <w:r w:rsidR="006D375F">
        <w:t>that could be made</w:t>
      </w:r>
      <w:r w:rsidRPr="00E33BC2">
        <w:t xml:space="preserve"> to enhance coordination and planning while helping </w:t>
      </w:r>
      <w:r w:rsidR="006D375F">
        <w:t>agency leadership and staff</w:t>
      </w:r>
      <w:r w:rsidR="006D375F" w:rsidRPr="00E33BC2">
        <w:t xml:space="preserve"> </w:t>
      </w:r>
      <w:r w:rsidRPr="00E33BC2">
        <w:t>work more efficiently and effectively.</w:t>
      </w:r>
      <w:r>
        <w:t xml:space="preserve"> </w:t>
      </w:r>
      <w:r w:rsidR="00043AF4">
        <w:t>T</w:t>
      </w:r>
      <w:r>
        <w:t xml:space="preserve">he Department underwent a reorganization </w:t>
      </w:r>
      <w:r w:rsidR="00043AF4">
        <w:t xml:space="preserve">that formed </w:t>
      </w:r>
      <w:r>
        <w:t xml:space="preserve">three main program centers: Educational Options, Instructional Support, and District Support. The </w:t>
      </w:r>
      <w:r w:rsidR="00043AF4">
        <w:t>Center for</w:t>
      </w:r>
      <w:r>
        <w:t xml:space="preserve"> District Support includes the newly created Office of Special Services, which includes the Special Education Planning and Policy Development Office, the Special Education in Ins</w:t>
      </w:r>
      <w:r w:rsidR="0056499B">
        <w:t xml:space="preserve">titutional Settings Office, </w:t>
      </w:r>
      <w:r>
        <w:t>the Office of Approved Special Education Schools, and the Office of Public School Monitoring</w:t>
      </w:r>
      <w:r w:rsidR="0055364B">
        <w:t xml:space="preserve">. </w:t>
      </w:r>
    </w:p>
    <w:p w14:paraId="0AD2BF0D" w14:textId="77777777" w:rsidR="00634735" w:rsidRDefault="00634735" w:rsidP="00BF66FE">
      <w:pPr>
        <w:pStyle w:val="Heading3"/>
        <w:numPr>
          <w:ilvl w:val="0"/>
          <w:numId w:val="18"/>
        </w:numPr>
        <w:spacing w:after="240"/>
      </w:pPr>
      <w:bookmarkStart w:id="15" w:name="_Toc484008166"/>
      <w:r>
        <w:t>Special Education Planning and Policy Development Office</w:t>
      </w:r>
      <w:bookmarkEnd w:id="15"/>
      <w:r w:rsidR="00CF56DC">
        <w:t xml:space="preserve"> </w:t>
      </w:r>
    </w:p>
    <w:p w14:paraId="0AD2BF0E" w14:textId="77777777" w:rsidR="0006114F" w:rsidRDefault="0006114F" w:rsidP="0006114F">
      <w:pPr>
        <w:spacing w:after="240"/>
      </w:pPr>
      <w:r w:rsidRPr="00096F2A">
        <w:t>The Office of Special Education Planning &amp; Policy Development (SEPP) is the lead unit at the Department for planning and delivering targeted supports and resources to continuously im</w:t>
      </w:r>
      <w:r>
        <w:t>prove the education of students receiving special education services</w:t>
      </w:r>
      <w:r w:rsidRPr="00096F2A">
        <w:t xml:space="preserve">. </w:t>
      </w:r>
      <w:r>
        <w:t>SEPP’s</w:t>
      </w:r>
      <w:r w:rsidRPr="00096F2A">
        <w:t xml:space="preserve"> mission is to strengthen the Commonwealth’s public education system so that every student, and most especially every student with disabilities, is prepared to succeed in postsecondary education, compete in the global economy, and understand </w:t>
      </w:r>
      <w:r>
        <w:t xml:space="preserve">the rights and responsibilities </w:t>
      </w:r>
      <w:r w:rsidRPr="00096F2A">
        <w:t>of American citizens, and in so doing, to close all proficiency gaps. W</w:t>
      </w:r>
      <w:r>
        <w:t>ith a results-driven focus, the office</w:t>
      </w:r>
      <w:r w:rsidRPr="00096F2A">
        <w:t xml:space="preserve"> seeks to increase public knowledge regarding special education and students with disabilities; engage in strategic planning and use of funds; develop, model, and disseminate best practices; promote communication and collaboration within the Department and among external stakeholders; and support effective compliance to improve student outcomes. </w:t>
      </w:r>
    </w:p>
    <w:p w14:paraId="0AD2BF0F" w14:textId="77777777" w:rsidR="004B2AF6" w:rsidRDefault="004B2AF6" w:rsidP="004B2AF6">
      <w:pPr>
        <w:spacing w:after="240"/>
      </w:pPr>
      <w:r>
        <w:t xml:space="preserve">This year </w:t>
      </w:r>
      <w:r w:rsidRPr="004B2AF6">
        <w:t xml:space="preserve">Massachusetts achieved the "meets requirements" rating from the U.S. Office of Special Education Programs (OSEP) for the </w:t>
      </w:r>
      <w:r w:rsidR="0055364B">
        <w:t xml:space="preserve">third </w:t>
      </w:r>
      <w:r w:rsidRPr="004B2AF6">
        <w:t>year in a row under the</w:t>
      </w:r>
      <w:r w:rsidR="002F64BC">
        <w:t xml:space="preserve"> federal</w:t>
      </w:r>
      <w:r w:rsidRPr="004B2AF6">
        <w:t xml:space="preserve"> Results Driven Accountability framework, which considers not only compliance but </w:t>
      </w:r>
      <w:r w:rsidR="002F64BC">
        <w:t xml:space="preserve">student </w:t>
      </w:r>
      <w:r w:rsidRPr="004B2AF6">
        <w:t>outcomes. OSEP looked at the totality</w:t>
      </w:r>
      <w:r>
        <w:t xml:space="preserve"> of our state’s data, including</w:t>
      </w:r>
      <w:r w:rsidRPr="004B2AF6">
        <w:t> the State Performance Plan/Annual Performance Report (SPP/APR),</w:t>
      </w:r>
      <w:r w:rsidR="00300902">
        <w:rPr>
          <w:rStyle w:val="FootnoteReference"/>
        </w:rPr>
        <w:footnoteReference w:id="2"/>
      </w:r>
      <w:r w:rsidRPr="004B2AF6">
        <w:t xml:space="preserve"> students with IEPs’ participation and performance on the National Assessment of Educational Progress (NAEP), and their participation in the MCAS.</w:t>
      </w:r>
      <w:r>
        <w:t xml:space="preserve"> </w:t>
      </w:r>
    </w:p>
    <w:p w14:paraId="0AD2BF10" w14:textId="77777777" w:rsidR="004B2AF6" w:rsidRPr="004B2AF6" w:rsidRDefault="004B2AF6" w:rsidP="004B2AF6">
      <w:pPr>
        <w:spacing w:after="240"/>
      </w:pPr>
      <w:r>
        <w:t>SEPP continues to make progress on several ongoing initiatives including the</w:t>
      </w:r>
      <w:r w:rsidR="00442D67">
        <w:t xml:space="preserve"> </w:t>
      </w:r>
      <w:hyperlink r:id="rId28" w:history="1">
        <w:r w:rsidR="00442D67" w:rsidRPr="00442D67">
          <w:rPr>
            <w:rStyle w:val="Hyperlink"/>
          </w:rPr>
          <w:t>Leading Education</w:t>
        </w:r>
        <w:r w:rsidR="00442D67">
          <w:rPr>
            <w:rStyle w:val="Hyperlink"/>
          </w:rPr>
          <w:t>al</w:t>
        </w:r>
        <w:r w:rsidR="00442D67" w:rsidRPr="00442D67">
          <w:rPr>
            <w:rStyle w:val="Hyperlink"/>
          </w:rPr>
          <w:t xml:space="preserve"> Access Project (LEAP)</w:t>
        </w:r>
      </w:hyperlink>
      <w:r w:rsidR="00442D67">
        <w:t xml:space="preserve">, known formerly as the Low-Income </w:t>
      </w:r>
      <w:r w:rsidR="00C9358C">
        <w:t>Educational</w:t>
      </w:r>
      <w:r w:rsidR="00442D67">
        <w:t xml:space="preserve"> </w:t>
      </w:r>
      <w:r w:rsidR="00C9358C">
        <w:t>Access</w:t>
      </w:r>
      <w:r w:rsidR="00442D67">
        <w:t xml:space="preserve"> Project, </w:t>
      </w:r>
      <w:r>
        <w:t xml:space="preserve">which </w:t>
      </w:r>
      <w:r w:rsidRPr="004B2AF6">
        <w:t>was created to support the Department</w:t>
      </w:r>
      <w:r>
        <w:t>’s</w:t>
      </w:r>
      <w:r w:rsidRPr="004B2AF6">
        <w:t xml:space="preserve"> commitment to improving outcomes for all students. Research shows that low-income students are far more likely to be</w:t>
      </w:r>
      <w:r w:rsidR="00043AF4">
        <w:t xml:space="preserve"> identified </w:t>
      </w:r>
      <w:proofErr w:type="gramStart"/>
      <w:r w:rsidR="00043AF4">
        <w:t>as</w:t>
      </w:r>
      <w:r w:rsidRPr="004B2AF6">
        <w:t xml:space="preserve"> eligible for special education services than</w:t>
      </w:r>
      <w:proofErr w:type="gramEnd"/>
      <w:r w:rsidRPr="004B2AF6">
        <w:t xml:space="preserve"> other students. Additionally, low-income students who are identified as eligible are more likely to be educated in substantially separate settings.</w:t>
      </w:r>
      <w:r w:rsidR="002F64BC">
        <w:rPr>
          <w:rStyle w:val="FootnoteReference"/>
        </w:rPr>
        <w:footnoteReference w:id="3"/>
      </w:r>
      <w:r w:rsidRPr="004B2AF6">
        <w:t xml:space="preserve"> There is evidence that the best outcomes occur for students with disabilities who are most included </w:t>
      </w:r>
      <w:r w:rsidR="00043AF4">
        <w:t>alongside</w:t>
      </w:r>
      <w:r w:rsidR="00043AF4" w:rsidRPr="004B2AF6">
        <w:t xml:space="preserve"> </w:t>
      </w:r>
      <w:r w:rsidRPr="004B2AF6">
        <w:t xml:space="preserve">their non-disabled peers in school classes and activities. Therefore, both </w:t>
      </w:r>
      <w:r w:rsidRPr="004B2AF6">
        <w:lastRenderedPageBreak/>
        <w:t>higher identification of low-income students and subsequent separation from the inclusive educational environment is concerning.</w:t>
      </w:r>
    </w:p>
    <w:p w14:paraId="0AD2BF11" w14:textId="77777777" w:rsidR="004B2AF6" w:rsidRDefault="00043AF4" w:rsidP="004B2AF6">
      <w:pPr>
        <w:spacing w:after="240"/>
      </w:pPr>
      <w:r>
        <w:t>The Department</w:t>
      </w:r>
      <w:r w:rsidRPr="004B2AF6">
        <w:t xml:space="preserve"> </w:t>
      </w:r>
      <w:r w:rsidR="004B2AF6" w:rsidRPr="004B2AF6">
        <w:t>is working collaboratively with a cohort of Massachusetts districts (LEAP districts), collaboratives</w:t>
      </w:r>
      <w:r w:rsidR="00B114D1">
        <w:t>,</w:t>
      </w:r>
      <w:r w:rsidR="004B2AF6" w:rsidRPr="004B2AF6">
        <w:t xml:space="preserve"> and agencies to assess why disproportionality in special education identification and/or placement is occurring for low-income students. These partners are conducting root cause and infrastructure analyses to identify, develop, and disseminate tools, technical assistance (TA), sustainable professional development, and other resources to ultimately support all Massachusetts districts.</w:t>
      </w:r>
      <w:r w:rsidR="00E37AA2">
        <w:rPr>
          <w:rStyle w:val="FootnoteReference"/>
        </w:rPr>
        <w:footnoteReference w:id="4"/>
      </w:r>
    </w:p>
    <w:p w14:paraId="0AD2BF12" w14:textId="77777777" w:rsidR="00AC1A47" w:rsidRPr="004B2AF6" w:rsidRDefault="004B2AF6" w:rsidP="004B2AF6">
      <w:pPr>
        <w:spacing w:after="240"/>
      </w:pPr>
      <w:r>
        <w:t xml:space="preserve">SEPP also continues to make progress on </w:t>
      </w:r>
      <w:r w:rsidRPr="004B2AF6">
        <w:t>The Massachusetts State S</w:t>
      </w:r>
      <w:r>
        <w:t xml:space="preserve">ystemic Improvement Plan (SSIP). The SSIP is a comprehensive, multi-year plan for improving </w:t>
      </w:r>
      <w:r w:rsidRPr="004B2AF6">
        <w:t>social</w:t>
      </w:r>
      <w:r w:rsidR="00383EEC">
        <w:t>-</w:t>
      </w:r>
      <w:r w:rsidRPr="004B2AF6">
        <w:t>emotional skills for young children aged 3-5 with IEPs using Positive Behavior Supports (PBS) through Pyramid Strategies. This approach is a research-based framework and curriculum to promote social</w:t>
      </w:r>
      <w:r w:rsidR="00383EEC">
        <w:t>-</w:t>
      </w:r>
      <w:r w:rsidRPr="004B2AF6">
        <w:t>emotional skills and address challenging behaviors for young children. Throughout FY1</w:t>
      </w:r>
      <w:r w:rsidR="008A7A10">
        <w:t>6</w:t>
      </w:r>
      <w:r w:rsidRPr="004B2AF6">
        <w:t xml:space="preserve"> and continuing into FY1</w:t>
      </w:r>
      <w:r w:rsidR="008A7A10">
        <w:t>7</w:t>
      </w:r>
      <w:r w:rsidRPr="004B2AF6">
        <w:t xml:space="preserve">, the Department is building state- and local-level capacity to create sustainable leadership systems and infrastructure that will enable an ongoing cycle of improvement and direct technical assistance and training for local staff. </w:t>
      </w:r>
      <w:r w:rsidR="003B382B">
        <w:t>Social</w:t>
      </w:r>
      <w:r w:rsidR="00383EEC">
        <w:t xml:space="preserve">-Emotional Learning (SEL) </w:t>
      </w:r>
      <w:r w:rsidR="00DC228A">
        <w:t xml:space="preserve">is now one of the five key goals of the Department and therefore this initiative, </w:t>
      </w:r>
      <w:r w:rsidR="002A7F6D">
        <w:t>in coordination</w:t>
      </w:r>
      <w:r w:rsidR="00DC228A">
        <w:t xml:space="preserve"> with other key initiatives</w:t>
      </w:r>
      <w:r w:rsidR="00766F99">
        <w:rPr>
          <w:rStyle w:val="FootnoteReference"/>
        </w:rPr>
        <w:footnoteReference w:id="5"/>
      </w:r>
      <w:r w:rsidR="00DC228A">
        <w:t>, is central to the Department’s work.</w:t>
      </w:r>
    </w:p>
    <w:p w14:paraId="0AD2BF13" w14:textId="77777777" w:rsidR="00634735" w:rsidRDefault="00634735" w:rsidP="00BF66FE">
      <w:pPr>
        <w:pStyle w:val="Heading3"/>
        <w:numPr>
          <w:ilvl w:val="0"/>
          <w:numId w:val="18"/>
        </w:numPr>
        <w:spacing w:after="240"/>
      </w:pPr>
      <w:bookmarkStart w:id="16" w:name="_Toc484008167"/>
      <w:r w:rsidRPr="00634735">
        <w:t>Special Education in Institutional Settings Office</w:t>
      </w:r>
      <w:bookmarkEnd w:id="16"/>
      <w:r w:rsidR="00CF56DC">
        <w:t xml:space="preserve"> </w:t>
      </w:r>
    </w:p>
    <w:p w14:paraId="0AD2BF14" w14:textId="77777777" w:rsidR="003B1705" w:rsidRDefault="003B1705" w:rsidP="003B1705">
      <w:r>
        <w:t xml:space="preserve">Since 1974, the Department has provided special education services to eligible children and youth residing in facilities operated by the Departments of Youth Services (DYS), Mental Health (DMH), Public Health (DPH) and the County Houses of Correction (CHC). The Department unit providing these services is the Special Education in Institutional Settings (SEIS) program.  In school year 2015-2016, SEIS served an average of 522 students monthly in over 80 sites statewide: 46 students monthly in CHC; 79 students monthly in DPH; 106 students monthly in DMH; and 291 students monthly in DYS. For a brief description of the services in each of the host agency settings, </w:t>
      </w:r>
      <w:r w:rsidR="00043AF4">
        <w:t xml:space="preserve">please </w:t>
      </w:r>
      <w:r>
        <w:t xml:space="preserve">visit the </w:t>
      </w:r>
      <w:hyperlink r:id="rId29" w:history="1">
        <w:r w:rsidRPr="00C15A35">
          <w:rPr>
            <w:rStyle w:val="Hyperlink"/>
          </w:rPr>
          <w:t>SEIS website</w:t>
        </w:r>
      </w:hyperlink>
      <w:r>
        <w:t>.</w:t>
      </w:r>
    </w:p>
    <w:p w14:paraId="0AD2BF15" w14:textId="77777777" w:rsidR="00634735" w:rsidRDefault="00E33BC2" w:rsidP="00BF66FE">
      <w:pPr>
        <w:pStyle w:val="Heading3"/>
        <w:numPr>
          <w:ilvl w:val="0"/>
          <w:numId w:val="18"/>
        </w:numPr>
        <w:spacing w:after="240"/>
      </w:pPr>
      <w:bookmarkStart w:id="17" w:name="_Toc484008168"/>
      <w:r>
        <w:t xml:space="preserve">Office of </w:t>
      </w:r>
      <w:r w:rsidR="00634735">
        <w:t>Approved Special Education Schools</w:t>
      </w:r>
      <w:bookmarkEnd w:id="17"/>
    </w:p>
    <w:p w14:paraId="0AD2BF16" w14:textId="77777777" w:rsidR="00700F8B" w:rsidRPr="00700F8B" w:rsidRDefault="00FE721F" w:rsidP="003125C6">
      <w:pPr>
        <w:spacing w:before="120" w:after="120"/>
        <w:rPr>
          <w:bCs/>
          <w:iCs/>
        </w:rPr>
      </w:pPr>
      <w:r w:rsidRPr="00700F8B">
        <w:rPr>
          <w:bCs/>
        </w:rPr>
        <w:t>The Office of Approved Special Education Schools</w:t>
      </w:r>
      <w:r>
        <w:rPr>
          <w:bCs/>
        </w:rPr>
        <w:t xml:space="preserve"> (OASES)</w:t>
      </w:r>
      <w:r w:rsidRPr="00700F8B">
        <w:rPr>
          <w:bCs/>
        </w:rPr>
        <w:t xml:space="preserve"> approves </w:t>
      </w:r>
      <w:r w:rsidRPr="00700F8B">
        <w:t>164 different day and residential prog</w:t>
      </w:r>
      <w:r>
        <w:t>rams throughout Massachusetts</w:t>
      </w:r>
      <w:r w:rsidRPr="00700F8B">
        <w:rPr>
          <w:bCs/>
        </w:rPr>
        <w:t>, implements the Department's compliance monitoring and complaint management procedures, and provides technical assistance to program personnel and the public regarding the implemen</w:t>
      </w:r>
      <w:r>
        <w:rPr>
          <w:bCs/>
        </w:rPr>
        <w:t xml:space="preserve">tation of laws and regulations. </w:t>
      </w:r>
      <w:r w:rsidR="00700F8B" w:rsidRPr="00700F8B">
        <w:t>During the 2015-</w:t>
      </w:r>
      <w:r w:rsidR="003125C6">
        <w:t xml:space="preserve">2016 school </w:t>
      </w:r>
      <w:r w:rsidR="00700F8B" w:rsidRPr="00700F8B">
        <w:t>year, 5,764 students from Massachusetts were placed in private special education schools, both day and residential</w:t>
      </w:r>
      <w:r>
        <w:t>,</w:t>
      </w:r>
      <w:r w:rsidR="00700F8B" w:rsidRPr="00700F8B">
        <w:t xml:space="preserve"> </w:t>
      </w:r>
      <w:r w:rsidR="00043AF4">
        <w:t>under the authority of</w:t>
      </w:r>
      <w:r w:rsidR="00043AF4" w:rsidRPr="00700F8B">
        <w:t xml:space="preserve"> </w:t>
      </w:r>
      <w:r w:rsidR="00700F8B" w:rsidRPr="00700F8B">
        <w:t xml:space="preserve">public entities. </w:t>
      </w:r>
      <w:r w:rsidR="00700F8B" w:rsidRPr="000B1E0E">
        <w:t>This</w:t>
      </w:r>
      <w:r w:rsidR="007C0CC1">
        <w:t xml:space="preserve"> accounts for approximately 3.5 percent</w:t>
      </w:r>
      <w:r w:rsidR="00700F8B" w:rsidRPr="000B1E0E">
        <w:t xml:space="preserve"> of all students with disabilities statewide</w:t>
      </w:r>
      <w:r w:rsidR="00E07E88" w:rsidRPr="000B1E0E">
        <w:t xml:space="preserve">. </w:t>
      </w:r>
      <w:r w:rsidR="00700F8B" w:rsidRPr="00700F8B">
        <w:t xml:space="preserve">These programs provide special education and related services to students whose needs exceed those </w:t>
      </w:r>
      <w:r w:rsidR="0002769D">
        <w:t xml:space="preserve">that can be </w:t>
      </w:r>
      <w:r w:rsidR="00700F8B" w:rsidRPr="00700F8B">
        <w:t>accommodated wit</w:t>
      </w:r>
      <w:r w:rsidR="003125C6">
        <w:t xml:space="preserve">hin the public school setting. </w:t>
      </w:r>
      <w:r w:rsidR="00043AF4">
        <w:rPr>
          <w:bCs/>
          <w:iCs/>
        </w:rPr>
        <w:t>The Department’</w:t>
      </w:r>
      <w:r w:rsidR="00043AF4" w:rsidRPr="00700F8B">
        <w:rPr>
          <w:bCs/>
          <w:iCs/>
        </w:rPr>
        <w:t xml:space="preserve">s </w:t>
      </w:r>
      <w:r w:rsidR="00700F8B" w:rsidRPr="00700F8B">
        <w:rPr>
          <w:bCs/>
          <w:iCs/>
        </w:rPr>
        <w:t xml:space="preserve">approval and monitoring of </w:t>
      </w:r>
      <w:r w:rsidR="00700F8B" w:rsidRPr="00700F8B">
        <w:rPr>
          <w:bCs/>
          <w:iCs/>
        </w:rPr>
        <w:lastRenderedPageBreak/>
        <w:t xml:space="preserve">private special education schools in Massachusetts is governed </w:t>
      </w:r>
      <w:r w:rsidR="00EB7C68">
        <w:rPr>
          <w:bCs/>
          <w:iCs/>
        </w:rPr>
        <w:t xml:space="preserve">primarily </w:t>
      </w:r>
      <w:r w:rsidR="00700F8B" w:rsidRPr="00700F8B">
        <w:rPr>
          <w:bCs/>
          <w:iCs/>
        </w:rPr>
        <w:t xml:space="preserve">by </w:t>
      </w:r>
      <w:r w:rsidR="00A1236D">
        <w:rPr>
          <w:bCs/>
          <w:iCs/>
        </w:rPr>
        <w:t xml:space="preserve">special education </w:t>
      </w:r>
      <w:r w:rsidR="00700F8B" w:rsidRPr="00700F8B">
        <w:rPr>
          <w:bCs/>
          <w:iCs/>
        </w:rPr>
        <w:t>regulations</w:t>
      </w:r>
      <w:r w:rsidR="003F31D5">
        <w:rPr>
          <w:bCs/>
          <w:iCs/>
        </w:rPr>
        <w:t>.</w:t>
      </w:r>
      <w:r w:rsidR="00A1236D">
        <w:rPr>
          <w:rStyle w:val="FootnoteReference"/>
          <w:bCs/>
          <w:iCs/>
        </w:rPr>
        <w:footnoteReference w:id="6"/>
      </w:r>
      <w:r w:rsidR="00EB7C68">
        <w:rPr>
          <w:bCs/>
          <w:iCs/>
        </w:rPr>
        <w:t xml:space="preserve"> </w:t>
      </w:r>
    </w:p>
    <w:p w14:paraId="0AD2BF17" w14:textId="0B672DC9" w:rsidR="00700F8B" w:rsidRPr="00700F8B" w:rsidRDefault="00700F8B" w:rsidP="003125C6">
      <w:pPr>
        <w:spacing w:before="120" w:after="120"/>
        <w:rPr>
          <w:bCs/>
        </w:rPr>
      </w:pPr>
      <w:r w:rsidRPr="00700F8B">
        <w:rPr>
          <w:bCs/>
        </w:rPr>
        <w:t>E</w:t>
      </w:r>
      <w:r w:rsidR="0002769D">
        <w:rPr>
          <w:bCs/>
        </w:rPr>
        <w:t xml:space="preserve">ach program participates in </w:t>
      </w:r>
      <w:r w:rsidR="00F00582">
        <w:rPr>
          <w:bCs/>
        </w:rPr>
        <w:t xml:space="preserve">a </w:t>
      </w:r>
      <w:r w:rsidRPr="00700F8B">
        <w:rPr>
          <w:bCs/>
        </w:rPr>
        <w:t>full Program Review</w:t>
      </w:r>
      <w:r w:rsidR="00F00582">
        <w:rPr>
          <w:bCs/>
        </w:rPr>
        <w:t xml:space="preserve"> every sixth year and a Mid-cycle review every third year. </w:t>
      </w:r>
      <w:r w:rsidRPr="00700F8B">
        <w:rPr>
          <w:bCs/>
        </w:rPr>
        <w:t xml:space="preserve">The year prior to each Program or Mid-cycle Review, each approved program </w:t>
      </w:r>
      <w:r w:rsidR="0002769D">
        <w:rPr>
          <w:bCs/>
        </w:rPr>
        <w:t xml:space="preserve">completes a self-assessment. </w:t>
      </w:r>
      <w:r w:rsidR="00043AF4">
        <w:rPr>
          <w:bCs/>
        </w:rPr>
        <w:t>The Department</w:t>
      </w:r>
      <w:r w:rsidR="00043AF4" w:rsidRPr="00700F8B">
        <w:rPr>
          <w:bCs/>
        </w:rPr>
        <w:t xml:space="preserve"> </w:t>
      </w:r>
      <w:r w:rsidRPr="00700F8B">
        <w:rPr>
          <w:bCs/>
        </w:rPr>
        <w:t>then reviews the documentation submitted and is on site at each</w:t>
      </w:r>
      <w:r w:rsidR="0002769D">
        <w:rPr>
          <w:bCs/>
        </w:rPr>
        <w:t xml:space="preserve"> program the next school year. </w:t>
      </w:r>
      <w:hyperlink r:id="rId30" w:history="1">
        <w:r w:rsidRPr="00700F8B">
          <w:rPr>
            <w:rStyle w:val="Hyperlink"/>
            <w:bCs/>
          </w:rPr>
          <w:t>Published Program Reviews</w:t>
        </w:r>
      </w:hyperlink>
      <w:r>
        <w:rPr>
          <w:bCs/>
        </w:rPr>
        <w:t xml:space="preserve"> and </w:t>
      </w:r>
      <w:hyperlink r:id="rId31" w:history="1">
        <w:r w:rsidRPr="00700F8B">
          <w:rPr>
            <w:rStyle w:val="Hyperlink"/>
            <w:bCs/>
          </w:rPr>
          <w:t>Mid-cycle Reviews</w:t>
        </w:r>
      </w:hyperlink>
      <w:r w:rsidRPr="00700F8B">
        <w:rPr>
          <w:bCs/>
        </w:rPr>
        <w:t xml:space="preserve"> can be found on </w:t>
      </w:r>
      <w:r w:rsidR="00C97B07">
        <w:rPr>
          <w:bCs/>
        </w:rPr>
        <w:t>t</w:t>
      </w:r>
      <w:r w:rsidR="00043AF4">
        <w:rPr>
          <w:bCs/>
        </w:rPr>
        <w:t>he Department’</w:t>
      </w:r>
      <w:r w:rsidR="00043AF4" w:rsidRPr="00700F8B">
        <w:rPr>
          <w:bCs/>
        </w:rPr>
        <w:t xml:space="preserve">s </w:t>
      </w:r>
      <w:r w:rsidRPr="00700F8B">
        <w:rPr>
          <w:bCs/>
        </w:rPr>
        <w:t>website</w:t>
      </w:r>
      <w:r>
        <w:rPr>
          <w:bCs/>
        </w:rPr>
        <w:t>.</w:t>
      </w:r>
      <w:r w:rsidRPr="00700F8B">
        <w:rPr>
          <w:bCs/>
        </w:rPr>
        <w:t xml:space="preserve"> </w:t>
      </w:r>
    </w:p>
    <w:p w14:paraId="0AD2BF18" w14:textId="0F4C6847" w:rsidR="00C034DC" w:rsidRDefault="00C034DC" w:rsidP="00C034DC">
      <w:pPr>
        <w:spacing w:before="120" w:after="120"/>
      </w:pPr>
      <w:r>
        <w:t>In the spring of 2016 Massachusetts Governor Baker asked the Office of the Child Advocate (OCA) to guide and coordinate a review of approved private residential and day programs that provide educational services to children who require a residential or substantially separate educational setting to meet their needs. This work was begun, in part, in response to serious incidents of student’s health and safety in some residential school</w:t>
      </w:r>
      <w:r w:rsidR="00A75542">
        <w:t>s and substantially separate day</w:t>
      </w:r>
      <w:r>
        <w:t xml:space="preserve"> programs. OCA convened an interagency Residential </w:t>
      </w:r>
      <w:r w:rsidR="00A75542">
        <w:t xml:space="preserve">Schools </w:t>
      </w:r>
      <w:r>
        <w:t xml:space="preserve">Working Group that included representatives from the state agencies responsible for the </w:t>
      </w:r>
      <w:r w:rsidR="00A75542">
        <w:t xml:space="preserve">monitoring and </w:t>
      </w:r>
      <w:r>
        <w:t>oversight of residential schools: the Department of Early Education and Care (EEC), the Department of Elementary and Secondary Education (ESE), the Department of Children and Families (DCF), the Department of Mental Health (DMH), and the Disabled Persons Protection Commission (DPPC). The Working Group was guided by a Steering Committee comprised of the Child Advocate, Undersecretaries of the Executive Office of Education and Health and Human Services, and a representative from the Governor's Office.</w:t>
      </w:r>
    </w:p>
    <w:p w14:paraId="0AD2BF19" w14:textId="45625716" w:rsidR="00C034DC" w:rsidRDefault="00C034DC" w:rsidP="00C034DC">
      <w:pPr>
        <w:spacing w:before="120" w:after="120"/>
      </w:pPr>
      <w:r>
        <w:t xml:space="preserve">Under OCA’s leadership, the Working Group has focused on changing the agencies’ operational approach to program oversight and communication. Initial meetings of the Working Group reviewed the risk factors the agencies use to fulfill their statutory functions. As a result of these initial meetings, ESE and its partner agencies </w:t>
      </w:r>
      <w:r w:rsidR="00A75542">
        <w:t>made</w:t>
      </w:r>
      <w:r>
        <w:t xml:space="preserve"> immediate changes</w:t>
      </w:r>
      <w:r w:rsidR="00A75542">
        <w:t xml:space="preserve"> to improve coordination, data collection, and information sharing</w:t>
      </w:r>
      <w:r>
        <w:t>. ESE increased the scope of reporting of incidents and special education needs to include all students enrolled in the program (Massachusetts, out-of-state, and privately-funded)</w:t>
      </w:r>
      <w:r w:rsidR="00A75542">
        <w:t xml:space="preserve"> instead of just the students who had been referred by a local school district</w:t>
      </w:r>
      <w:r>
        <w:t xml:space="preserve">. Additionally, ESE and other agencies updated </w:t>
      </w:r>
      <w:r w:rsidR="00A75542">
        <w:t xml:space="preserve">and clarified </w:t>
      </w:r>
      <w:r>
        <w:t xml:space="preserve">policies regarding </w:t>
      </w:r>
      <w:r w:rsidR="00A75542">
        <w:t xml:space="preserve">the use of behavioral supports and restraints, and the reporting requirements </w:t>
      </w:r>
      <w:r>
        <w:t>re</w:t>
      </w:r>
      <w:r w:rsidR="00A75542">
        <w:t xml:space="preserve">lated to restraints and any </w:t>
      </w:r>
      <w:r>
        <w:t>injuries</w:t>
      </w:r>
      <w:r w:rsidR="00A75542">
        <w:t xml:space="preserve"> to staff or students</w:t>
      </w:r>
      <w:r>
        <w:t xml:space="preserve">. Quarterly interagency meetings are </w:t>
      </w:r>
      <w:r w:rsidR="00A75542">
        <w:t xml:space="preserve">now </w:t>
      </w:r>
      <w:r>
        <w:t xml:space="preserve">taking place with ESE, EEC and DCF to discuss residential </w:t>
      </w:r>
      <w:r w:rsidR="00A75542">
        <w:t>schools</w:t>
      </w:r>
      <w:r>
        <w:t xml:space="preserve"> under review, and </w:t>
      </w:r>
      <w:r w:rsidR="00A75542">
        <w:t xml:space="preserve">to </w:t>
      </w:r>
      <w:r>
        <w:t>identify patterns, trends, or areas of concern. Beginning in the 2017-2018 school year, any approved private special education school with any identified noncompliance in its Program or Mid-cycle Reviews will have unannounced visits from ESE to verify implementation of the school’s progress reports for corrective action.</w:t>
      </w:r>
    </w:p>
    <w:p w14:paraId="0AD2BF1A" w14:textId="77777777" w:rsidR="00C034DC" w:rsidRDefault="00C034DC" w:rsidP="00C034DC">
      <w:pPr>
        <w:spacing w:before="120" w:after="120"/>
      </w:pPr>
      <w:r>
        <w:t xml:space="preserve">This work is continuing, and additional information regarding this Working Group and interagency collaboration will be provided in the FY17 </w:t>
      </w:r>
      <w:r>
        <w:rPr>
          <w:i/>
          <w:iCs/>
        </w:rPr>
        <w:t>Annual Report on Students with Disabilities</w:t>
      </w:r>
      <w:r>
        <w:t xml:space="preserve">. </w:t>
      </w:r>
    </w:p>
    <w:p w14:paraId="0AD2BF1B" w14:textId="77777777" w:rsidR="00634735" w:rsidRDefault="00E33BC2" w:rsidP="00BF66FE">
      <w:pPr>
        <w:pStyle w:val="Heading3"/>
        <w:numPr>
          <w:ilvl w:val="0"/>
          <w:numId w:val="18"/>
        </w:numPr>
        <w:spacing w:after="240"/>
      </w:pPr>
      <w:bookmarkStart w:id="18" w:name="_Toc484008169"/>
      <w:r>
        <w:lastRenderedPageBreak/>
        <w:t xml:space="preserve">Office of </w:t>
      </w:r>
      <w:r w:rsidR="00CF56DC">
        <w:t>Public School Monitoring</w:t>
      </w:r>
      <w:bookmarkEnd w:id="18"/>
      <w:r w:rsidR="00CF56DC">
        <w:t xml:space="preserve"> </w:t>
      </w:r>
    </w:p>
    <w:p w14:paraId="0AD2BF1C" w14:textId="77777777" w:rsidR="003B1705" w:rsidRPr="003B1705" w:rsidRDefault="003B1705" w:rsidP="007C0CC1">
      <w:pPr>
        <w:spacing w:after="240"/>
      </w:pPr>
      <w:r w:rsidRPr="003B1705">
        <w:t>The Office of Public School Monitoring implements the Department's compliance monitoring procedures through Coordinated Program Reviews and Mid-cycle Reviews for school districts, charter schools, collaboratives, SEIS programs</w:t>
      </w:r>
      <w:r w:rsidR="00405CAB">
        <w:t>,</w:t>
      </w:r>
      <w:r w:rsidRPr="003B1705">
        <w:t xml:space="preserve"> and career/vocational technical education schools, and provides technical assistance to school personnel.</w:t>
      </w:r>
      <w:r w:rsidR="00AE377D">
        <w:t xml:space="preserve"> </w:t>
      </w:r>
      <w:hyperlink r:id="rId32" w:history="1">
        <w:r w:rsidRPr="003B1705">
          <w:rPr>
            <w:rStyle w:val="Hyperlink"/>
          </w:rPr>
          <w:t>Coordinated Program Reviews</w:t>
        </w:r>
      </w:hyperlink>
      <w:r w:rsidRPr="003B1705">
        <w:t xml:space="preserve"> (CPRs) </w:t>
      </w:r>
      <w:r w:rsidR="00ED4FF6">
        <w:t xml:space="preserve">are conducted </w:t>
      </w:r>
      <w:r w:rsidRPr="003B1705">
        <w:t xml:space="preserve">every six years and include special education, civil rights, English language learner </w:t>
      </w:r>
      <w:proofErr w:type="gramStart"/>
      <w:r w:rsidRPr="003B1705">
        <w:t xml:space="preserve">education </w:t>
      </w:r>
      <w:r w:rsidR="00ED4FF6">
        <w:t>,</w:t>
      </w:r>
      <w:proofErr w:type="gramEnd"/>
      <w:r w:rsidR="00ED4FF6">
        <w:t xml:space="preserve"> </w:t>
      </w:r>
      <w:r w:rsidRPr="003B1705">
        <w:t>and career</w:t>
      </w:r>
      <w:r w:rsidR="00ED4FF6">
        <w:t xml:space="preserve">/vocational technical education. </w:t>
      </w:r>
      <w:hyperlink r:id="rId33" w:history="1">
        <w:r w:rsidRPr="003B1705">
          <w:rPr>
            <w:rStyle w:val="Hyperlink"/>
          </w:rPr>
          <w:t>Mid-cycle Reviews</w:t>
        </w:r>
      </w:hyperlink>
      <w:r w:rsidRPr="003B1705">
        <w:t xml:space="preserve"> (MCRs) occur three years after the CPR and focus on special education.</w:t>
      </w:r>
      <w:r w:rsidR="00405CAB">
        <w:t xml:space="preserve"> </w:t>
      </w:r>
      <w:r w:rsidRPr="003B1705">
        <w:t xml:space="preserve">Public School </w:t>
      </w:r>
      <w:proofErr w:type="gramStart"/>
      <w:r w:rsidRPr="003B1705">
        <w:t>Monitoring</w:t>
      </w:r>
      <w:proofErr w:type="gramEnd"/>
      <w:r w:rsidRPr="003B1705">
        <w:t xml:space="preserve"> staff </w:t>
      </w:r>
      <w:r w:rsidR="00711C05">
        <w:t xml:space="preserve">is </w:t>
      </w:r>
      <w:r w:rsidR="00405CAB">
        <w:t xml:space="preserve">also available </w:t>
      </w:r>
      <w:r w:rsidRPr="003B1705">
        <w:t>to provide technical assistance to districts in order to meet compliance requirements, which are monitored through progress reporting.</w:t>
      </w:r>
      <w:r w:rsidR="00405CAB">
        <w:t xml:space="preserve"> The positive </w:t>
      </w:r>
      <w:r w:rsidRPr="003B1705">
        <w:t>impact of the reviews include, but are not limited to, programmatic development, reallocation of instructional spaces for special education students, increased staffing in programs</w:t>
      </w:r>
      <w:r w:rsidR="00405CAB">
        <w:t>,</w:t>
      </w:r>
      <w:r w:rsidRPr="003B1705">
        <w:t xml:space="preserve"> and increased professional development in districts.</w:t>
      </w:r>
    </w:p>
    <w:p w14:paraId="0AD2BF1D" w14:textId="77777777" w:rsidR="00DB704C" w:rsidRDefault="00CF56DC" w:rsidP="00BF66FE">
      <w:pPr>
        <w:pStyle w:val="Heading2"/>
        <w:numPr>
          <w:ilvl w:val="0"/>
          <w:numId w:val="15"/>
        </w:numPr>
        <w:spacing w:after="240"/>
      </w:pPr>
      <w:bookmarkStart w:id="19" w:name="_Toc484008170"/>
      <w:r>
        <w:t>Educational Collaboratives</w:t>
      </w:r>
      <w:bookmarkEnd w:id="19"/>
      <w:r>
        <w:t xml:space="preserve"> </w:t>
      </w:r>
    </w:p>
    <w:p w14:paraId="0AD2BF1E" w14:textId="77777777" w:rsidR="003B1705" w:rsidRPr="00700F8B" w:rsidRDefault="000D5A5F" w:rsidP="00BF66FE">
      <w:pPr>
        <w:pStyle w:val="Default"/>
        <w:spacing w:after="120"/>
      </w:pPr>
      <w:r>
        <w:t>Twenty-six</w:t>
      </w:r>
      <w:r w:rsidR="003B1705" w:rsidRPr="00700F8B">
        <w:t xml:space="preserve"> </w:t>
      </w:r>
      <w:hyperlink r:id="rId34" w:history="1">
        <w:r w:rsidR="00FC0AE6">
          <w:rPr>
            <w:rStyle w:val="Hyperlink"/>
          </w:rPr>
          <w:t>e</w:t>
        </w:r>
        <w:r w:rsidR="00FC0AE6" w:rsidRPr="002C5262">
          <w:rPr>
            <w:rStyle w:val="Hyperlink"/>
          </w:rPr>
          <w:t>ducational collaboratives</w:t>
        </w:r>
      </w:hyperlink>
      <w:r w:rsidR="00FC0AE6" w:rsidRPr="00700F8B">
        <w:t xml:space="preserve"> </w:t>
      </w:r>
      <w:r w:rsidR="003B1705" w:rsidRPr="00700F8B">
        <w:t>collectively served 265 member districts during FY16.</w:t>
      </w:r>
      <w:r w:rsidR="00CE240B">
        <w:t xml:space="preserve"> </w:t>
      </w:r>
      <w:r w:rsidR="00711C05">
        <w:t>That year</w:t>
      </w:r>
      <w:r w:rsidR="003B1705" w:rsidRPr="00700F8B">
        <w:t xml:space="preserve">, 4,182 students with a full range of needs received direct services through educational collaboratives. Collaboratives </w:t>
      </w:r>
      <w:r w:rsidR="00035202">
        <w:t xml:space="preserve">also </w:t>
      </w:r>
      <w:r w:rsidR="003B1705" w:rsidRPr="00700F8B">
        <w:t>serve students and adults by providing therapy services, professional development, and vocational training for member and non-member districts.</w:t>
      </w:r>
      <w:r w:rsidR="008353EB">
        <w:t xml:space="preserve"> </w:t>
      </w:r>
      <w:r w:rsidR="002A4E3E">
        <w:t>W</w:t>
      </w:r>
      <w:r w:rsidR="003B1705" w:rsidRPr="00700F8B">
        <w:t xml:space="preserve">hile </w:t>
      </w:r>
      <w:r w:rsidR="00FC0AE6">
        <w:t>c</w:t>
      </w:r>
      <w:r w:rsidR="00035202">
        <w:t xml:space="preserve">ollaboratives were </w:t>
      </w:r>
      <w:r w:rsidR="003B1705" w:rsidRPr="00700F8B">
        <w:t>formed</w:t>
      </w:r>
      <w:r w:rsidR="00035202">
        <w:t xml:space="preserve"> over forty years ago</w:t>
      </w:r>
      <w:r w:rsidR="003B1705" w:rsidRPr="00700F8B">
        <w:t xml:space="preserve"> to operate joint special education programs for member districts (and some non-member districts), they have evolved since that time to meet additional needs of public school districts, such as cooperative purchasing, transportation and in-service training. </w:t>
      </w:r>
    </w:p>
    <w:p w14:paraId="0AD2BF1F" w14:textId="77777777" w:rsidR="003B1705" w:rsidRPr="00700F8B" w:rsidRDefault="003B1705" w:rsidP="007C0CC1">
      <w:pPr>
        <w:pStyle w:val="Default"/>
        <w:spacing w:after="240"/>
      </w:pPr>
      <w:r w:rsidRPr="00700F8B">
        <w:t xml:space="preserve">Additional information on collaboratives, including the authorizing law and companion regulations (603 CMR 50.00) may be accessed on the Department’s </w:t>
      </w:r>
      <w:hyperlink r:id="rId35" w:history="1">
        <w:r w:rsidRPr="00700F8B">
          <w:rPr>
            <w:rStyle w:val="Hyperlink"/>
          </w:rPr>
          <w:t>website</w:t>
        </w:r>
      </w:hyperlink>
      <w:r w:rsidRPr="00700F8B">
        <w:t>.</w:t>
      </w:r>
    </w:p>
    <w:p w14:paraId="0AD2BF20" w14:textId="77777777" w:rsidR="00CF56DC" w:rsidRDefault="00CF56DC" w:rsidP="00BF66FE">
      <w:pPr>
        <w:pStyle w:val="Heading2"/>
        <w:numPr>
          <w:ilvl w:val="0"/>
          <w:numId w:val="15"/>
        </w:numPr>
        <w:spacing w:after="240"/>
      </w:pPr>
      <w:bookmarkStart w:id="20" w:name="_Toc484008171"/>
      <w:r>
        <w:t>Bureau of Special Education Appeals</w:t>
      </w:r>
      <w:bookmarkEnd w:id="20"/>
      <w:r>
        <w:t xml:space="preserve"> </w:t>
      </w:r>
    </w:p>
    <w:p w14:paraId="0AD2BF21" w14:textId="77777777" w:rsidR="003B1705" w:rsidRDefault="003B1705" w:rsidP="006A1726">
      <w:r w:rsidRPr="00700F8B">
        <w:t>The Bureau of Special Education Appeals ("BSEA"), an independent subdivision of the Division of Administrative Law Appeals, conducts mediations and due process hearings to resolve disputes among parents, school districts, private schools and state agencies.</w:t>
      </w:r>
      <w:r w:rsidRPr="00700F8B">
        <w:rPr>
          <w:vertAlign w:val="superscript"/>
        </w:rPr>
        <w:t xml:space="preserve"> </w:t>
      </w:r>
      <w:r w:rsidRPr="00700F8B">
        <w:rPr>
          <w:vertAlign w:val="superscript"/>
        </w:rPr>
        <w:footnoteReference w:id="7"/>
      </w:r>
      <w:r w:rsidR="00B01467">
        <w:t xml:space="preserve"> </w:t>
      </w:r>
      <w:r w:rsidR="00911178">
        <w:t xml:space="preserve">Consistent with authorities derived from </w:t>
      </w:r>
      <w:r w:rsidRPr="00700F8B">
        <w:t xml:space="preserve">federal law and regulations (the </w:t>
      </w:r>
      <w:hyperlink r:id="rId36" w:tooltip="External Link" w:history="1">
        <w:r w:rsidRPr="00700F8B">
          <w:rPr>
            <w:color w:val="0000FF"/>
            <w:u w:val="single"/>
          </w:rPr>
          <w:t>Individuals with Disabilities Education Act</w:t>
        </w:r>
      </w:hyperlink>
      <w:r w:rsidRPr="00700F8B">
        <w:t>, "IDEA") and Massachusetts law and regulations. (M</w:t>
      </w:r>
      <w:r w:rsidR="00911178">
        <w:t>.</w:t>
      </w:r>
      <w:r w:rsidRPr="00700F8B">
        <w:t>G</w:t>
      </w:r>
      <w:r w:rsidR="00911178">
        <w:t>.</w:t>
      </w:r>
      <w:r w:rsidRPr="00700F8B">
        <w:t>L</w:t>
      </w:r>
      <w:r w:rsidR="00911178">
        <w:t>.</w:t>
      </w:r>
      <w:r w:rsidRPr="00700F8B">
        <w:t xml:space="preserve"> c.71B)</w:t>
      </w:r>
      <w:r w:rsidR="00911178">
        <w:t>, the BSEA provides due process and dispute resolution procedures</w:t>
      </w:r>
      <w:r w:rsidR="006A1726">
        <w:t xml:space="preserve"> –</w:t>
      </w:r>
      <w:r w:rsidR="00317479">
        <w:t xml:space="preserve"> including mediation – on </w:t>
      </w:r>
      <w:r w:rsidRPr="00700F8B">
        <w:t>any matter concerning the eligibility, evaluation, placement, individualized education program (IEP), provision of special education, or procedural protections for students with disabilities</w:t>
      </w:r>
      <w:r w:rsidR="00D35E88">
        <w:t>.</w:t>
      </w:r>
      <w:r w:rsidRPr="00700F8B">
        <w:rPr>
          <w:vertAlign w:val="superscript"/>
        </w:rPr>
        <w:t xml:space="preserve"> </w:t>
      </w:r>
      <w:r w:rsidRPr="00700F8B">
        <w:rPr>
          <w:vertAlign w:val="superscript"/>
        </w:rPr>
        <w:footnoteReference w:id="8"/>
      </w:r>
      <w:r w:rsidR="006A1726">
        <w:rPr>
          <w:vertAlign w:val="superscript"/>
        </w:rPr>
        <w:t xml:space="preserve"> </w:t>
      </w:r>
      <w:r w:rsidR="006A1726">
        <w:t xml:space="preserve">The BSEA also may hear issues involving </w:t>
      </w:r>
      <w:r w:rsidRPr="00700F8B">
        <w:t xml:space="preserve">the denial of a free appropriate public education guaranteed by </w:t>
      </w:r>
      <w:hyperlink r:id="rId37" w:tooltip="External Link" w:history="1">
        <w:r w:rsidRPr="00700F8B">
          <w:rPr>
            <w:color w:val="0000FF"/>
            <w:u w:val="single"/>
          </w:rPr>
          <w:t>Section 504 of the Rehabilitation Act of 1973</w:t>
        </w:r>
      </w:hyperlink>
      <w:r w:rsidRPr="00700F8B">
        <w:t>.</w:t>
      </w:r>
    </w:p>
    <w:p w14:paraId="0AD2BF22" w14:textId="77777777" w:rsidR="00BF66FE" w:rsidRDefault="00A950EB" w:rsidP="00BF66FE">
      <w:pPr>
        <w:spacing w:before="120" w:after="120"/>
        <w:rPr>
          <w:color w:val="0D0D0D"/>
        </w:rPr>
      </w:pPr>
      <w:r>
        <w:lastRenderedPageBreak/>
        <w:t xml:space="preserve">During </w:t>
      </w:r>
      <w:r w:rsidR="00700F8B" w:rsidRPr="00700F8B">
        <w:rPr>
          <w:rFonts w:eastAsia="Arial Unicode MS"/>
        </w:rPr>
        <w:t xml:space="preserve">the period </w:t>
      </w:r>
      <w:r w:rsidR="003B1705" w:rsidRPr="00700F8B">
        <w:rPr>
          <w:rFonts w:eastAsia="Arial Unicode MS"/>
        </w:rPr>
        <w:t>July</w:t>
      </w:r>
      <w:r w:rsidR="00317479">
        <w:rPr>
          <w:rFonts w:eastAsia="Arial Unicode MS"/>
        </w:rPr>
        <w:t xml:space="preserve"> 1, 2015 through </w:t>
      </w:r>
      <w:r>
        <w:rPr>
          <w:rFonts w:eastAsia="Arial Unicode MS"/>
        </w:rPr>
        <w:t>June 30, 2016 (</w:t>
      </w:r>
      <w:r w:rsidR="00317479">
        <w:rPr>
          <w:rFonts w:eastAsia="Arial Unicode MS"/>
        </w:rPr>
        <w:t>FY16</w:t>
      </w:r>
      <w:r>
        <w:rPr>
          <w:rFonts w:eastAsia="Arial Unicode MS"/>
        </w:rPr>
        <w:t xml:space="preserve">), the </w:t>
      </w:r>
      <w:r w:rsidR="006A1726">
        <w:t xml:space="preserve">BSEA received notice of </w:t>
      </w:r>
      <w:r w:rsidR="003B1705" w:rsidRPr="00700F8B">
        <w:t>approximately</w:t>
      </w:r>
      <w:r w:rsidR="006A1726">
        <w:t xml:space="preserve"> </w:t>
      </w:r>
      <w:r w:rsidR="003B1705" w:rsidRPr="00700F8B">
        <w:t>10,800 rejected IEPs</w:t>
      </w:r>
      <w:r w:rsidR="006A1726">
        <w:t xml:space="preserve">, </w:t>
      </w:r>
      <w:r w:rsidR="008353EB">
        <w:t>representing an</w:t>
      </w:r>
      <w:r w:rsidR="003B1705" w:rsidRPr="00700F8B">
        <w:t xml:space="preserve"> increase </w:t>
      </w:r>
      <w:r w:rsidR="006A1726">
        <w:t xml:space="preserve">of 5 percent from the </w:t>
      </w:r>
      <w:r w:rsidR="00D35E88">
        <w:t>prior year</w:t>
      </w:r>
      <w:r w:rsidR="003B1705" w:rsidRPr="00700F8B">
        <w:t>.</w:t>
      </w:r>
      <w:r w:rsidR="006A1726">
        <w:t xml:space="preserve"> While not all of these became the subject of a dispute resolution process handled by the BSEA, the BSEA conducted </w:t>
      </w:r>
      <w:r w:rsidR="006A1726" w:rsidRPr="00700F8B">
        <w:rPr>
          <w:color w:val="0D0D0D"/>
        </w:rPr>
        <w:t>778 mediations</w:t>
      </w:r>
      <w:r w:rsidR="006A1726">
        <w:rPr>
          <w:color w:val="0D0D0D"/>
        </w:rPr>
        <w:t xml:space="preserve"> in this period, an increase of approximately 50 over last year’s number. Part</w:t>
      </w:r>
      <w:r w:rsidR="005A678C">
        <w:rPr>
          <w:color w:val="0D0D0D"/>
        </w:rPr>
        <w:t>ies reached an agreement in 85.9 percent</w:t>
      </w:r>
      <w:r w:rsidR="006A1726">
        <w:rPr>
          <w:color w:val="0D0D0D"/>
        </w:rPr>
        <w:t xml:space="preserve"> of the mediations conducted. </w:t>
      </w:r>
    </w:p>
    <w:p w14:paraId="0AD2BF23" w14:textId="77777777" w:rsidR="00BF66FE" w:rsidRDefault="00A950EB" w:rsidP="00BF66FE">
      <w:pPr>
        <w:spacing w:before="120" w:after="120"/>
        <w:rPr>
          <w:rFonts w:eastAsia="Arial Unicode MS"/>
          <w:bCs/>
        </w:rPr>
      </w:pPr>
      <w:r>
        <w:rPr>
          <w:color w:val="0D0D0D"/>
        </w:rPr>
        <w:t xml:space="preserve">The BSEA also saw a significant increase in the number of hearing requests received in </w:t>
      </w:r>
      <w:r w:rsidR="00317479">
        <w:rPr>
          <w:color w:val="0D0D0D"/>
        </w:rPr>
        <w:t>FY16</w:t>
      </w:r>
      <w:r>
        <w:rPr>
          <w:color w:val="0D0D0D"/>
        </w:rPr>
        <w:t xml:space="preserve">. </w:t>
      </w:r>
      <w:r w:rsidR="00D35E88">
        <w:rPr>
          <w:color w:val="0D0D0D"/>
        </w:rPr>
        <w:t>The</w:t>
      </w:r>
      <w:r w:rsidR="006A1726" w:rsidRPr="00700F8B">
        <w:rPr>
          <w:rFonts w:eastAsia="Arial Unicode MS"/>
        </w:rPr>
        <w:t xml:space="preserve"> </w:t>
      </w:r>
      <w:r>
        <w:rPr>
          <w:rFonts w:eastAsia="Arial Unicode MS"/>
        </w:rPr>
        <w:t>5</w:t>
      </w:r>
      <w:r w:rsidR="006A1726" w:rsidRPr="00700F8B">
        <w:rPr>
          <w:rFonts w:eastAsia="Arial Unicode MS"/>
        </w:rPr>
        <w:t>68 requests</w:t>
      </w:r>
      <w:r>
        <w:rPr>
          <w:rFonts w:eastAsia="Arial Unicode MS"/>
        </w:rPr>
        <w:t xml:space="preserve"> represen</w:t>
      </w:r>
      <w:r w:rsidR="005A678C">
        <w:rPr>
          <w:rFonts w:eastAsia="Arial Unicode MS"/>
        </w:rPr>
        <w:t>ted an increase of more than 15 percent</w:t>
      </w:r>
      <w:r>
        <w:rPr>
          <w:rFonts w:eastAsia="Arial Unicode MS"/>
        </w:rPr>
        <w:t xml:space="preserve"> over </w:t>
      </w:r>
      <w:r w:rsidR="00317479">
        <w:rPr>
          <w:rFonts w:eastAsia="Arial Unicode MS"/>
        </w:rPr>
        <w:t xml:space="preserve">FY15. </w:t>
      </w:r>
      <w:r w:rsidRPr="00700F8B">
        <w:rPr>
          <w:rFonts w:eastAsia="Arial Unicode MS"/>
        </w:rPr>
        <w:t xml:space="preserve">BSEA hearing officers conducted full hearings resulting in 23 decisions (representing an increase from the 18 decisions issued in the </w:t>
      </w:r>
      <w:r w:rsidR="00317479">
        <w:rPr>
          <w:rFonts w:eastAsia="Arial Unicode MS"/>
        </w:rPr>
        <w:t>previous</w:t>
      </w:r>
      <w:r w:rsidRPr="00700F8B">
        <w:rPr>
          <w:rFonts w:eastAsia="Arial Unicode MS"/>
        </w:rPr>
        <w:t xml:space="preserve"> year). </w:t>
      </w:r>
      <w:r w:rsidRPr="00700F8B">
        <w:rPr>
          <w:rFonts w:eastAsia="Arial Unicode MS"/>
          <w:bCs/>
        </w:rPr>
        <w:t>In addition at least 48 substant</w:t>
      </w:r>
      <w:r>
        <w:rPr>
          <w:rFonts w:eastAsia="Arial Unicode MS"/>
          <w:bCs/>
        </w:rPr>
        <w:t>ive written rulings were issued</w:t>
      </w:r>
      <w:r w:rsidRPr="00700F8B">
        <w:rPr>
          <w:rFonts w:eastAsia="Arial Unicode MS"/>
          <w:bCs/>
        </w:rPr>
        <w:t xml:space="preserve">. </w:t>
      </w:r>
      <w:r>
        <w:rPr>
          <w:rFonts w:eastAsia="Arial Unicode MS"/>
          <w:bCs/>
        </w:rPr>
        <w:t xml:space="preserve">An additional 82 cases were </w:t>
      </w:r>
      <w:r w:rsidR="00D35E88">
        <w:rPr>
          <w:rFonts w:eastAsia="Arial Unicode MS"/>
          <w:bCs/>
        </w:rPr>
        <w:t>resolved</w:t>
      </w:r>
      <w:r>
        <w:rPr>
          <w:rFonts w:eastAsia="Arial Unicode MS"/>
          <w:bCs/>
        </w:rPr>
        <w:t xml:space="preserve"> at settlement conferences conducted by BSEA staff. </w:t>
      </w:r>
    </w:p>
    <w:p w14:paraId="0AD2BF24" w14:textId="77777777" w:rsidR="005133F5" w:rsidRPr="00BF66FE" w:rsidRDefault="00A950EB" w:rsidP="00BF66FE">
      <w:pPr>
        <w:spacing w:before="120" w:after="360"/>
        <w:rPr>
          <w:rFonts w:eastAsia="Arial Unicode MS"/>
          <w:bCs/>
        </w:rPr>
      </w:pPr>
      <w:r>
        <w:rPr>
          <w:rFonts w:eastAsia="Arial Unicode MS"/>
          <w:bCs/>
        </w:rPr>
        <w:t xml:space="preserve">During </w:t>
      </w:r>
      <w:r w:rsidR="00317479">
        <w:rPr>
          <w:rFonts w:eastAsia="Arial Unicode MS"/>
          <w:bCs/>
        </w:rPr>
        <w:t>FY16</w:t>
      </w:r>
      <w:r>
        <w:rPr>
          <w:rFonts w:eastAsia="Arial Unicode MS"/>
          <w:bCs/>
        </w:rPr>
        <w:t xml:space="preserve">, the BSEA facilitated </w:t>
      </w:r>
      <w:r w:rsidR="003B1705" w:rsidRPr="00700F8B">
        <w:t xml:space="preserve">135 IEP Team meetings, an increase from the 127 conducted during the previous year. </w:t>
      </w:r>
      <w:r>
        <w:t xml:space="preserve">The BSEA declined </w:t>
      </w:r>
      <w:r w:rsidR="009143CB">
        <w:t xml:space="preserve">an </w:t>
      </w:r>
      <w:r>
        <w:t xml:space="preserve">additional </w:t>
      </w:r>
      <w:r w:rsidR="009143CB">
        <w:t xml:space="preserve">66 requests for Team </w:t>
      </w:r>
      <w:r w:rsidR="003B1705" w:rsidRPr="00700F8B">
        <w:t>meeting facilitation</w:t>
      </w:r>
      <w:r w:rsidR="009143CB">
        <w:t>,</w:t>
      </w:r>
      <w:r>
        <w:t xml:space="preserve"> because BSEA </w:t>
      </w:r>
      <w:r w:rsidR="009143CB">
        <w:t xml:space="preserve">staff </w:t>
      </w:r>
      <w:r w:rsidR="00711C05">
        <w:t xml:space="preserve">was </w:t>
      </w:r>
      <w:r w:rsidR="009143CB">
        <w:t>not available.</w:t>
      </w:r>
      <w:r>
        <w:t xml:space="preserve"> </w:t>
      </w:r>
    </w:p>
    <w:p w14:paraId="0AD2BF25" w14:textId="77777777" w:rsidR="005133F5" w:rsidRPr="00CD4510" w:rsidRDefault="005133F5" w:rsidP="00BF66FE">
      <w:pPr>
        <w:pStyle w:val="Heading1"/>
        <w:spacing w:before="0" w:after="240"/>
      </w:pPr>
      <w:bookmarkStart w:id="21" w:name="_Toc441569641"/>
      <w:bookmarkStart w:id="22" w:name="_Toc484008172"/>
      <w:r>
        <w:t>IV</w:t>
      </w:r>
      <w:r w:rsidRPr="00CD4510">
        <w:t xml:space="preserve">. </w:t>
      </w:r>
      <w:r w:rsidRPr="00CD4510">
        <w:tab/>
      </w:r>
      <w:proofErr w:type="gramStart"/>
      <w:r>
        <w:t>For</w:t>
      </w:r>
      <w:proofErr w:type="gramEnd"/>
      <w:r>
        <w:t xml:space="preserve"> More Information</w:t>
      </w:r>
      <w:bookmarkEnd w:id="21"/>
      <w:bookmarkEnd w:id="22"/>
    </w:p>
    <w:p w14:paraId="0AD2BF26" w14:textId="77777777" w:rsidR="005133F5" w:rsidRPr="0072770E" w:rsidRDefault="005133F5" w:rsidP="005133F5">
      <w:pPr>
        <w:spacing w:after="120"/>
      </w:pPr>
      <w:r w:rsidRPr="0072770E">
        <w:t xml:space="preserve">The information in this report is a compilation of data and narrative contributions from several units within the Department, as well as input from the Massachusetts Organization of Education Collaboratives, the state Office of Medicaid, and the Division of Administration Law Appeals. If you have any questions, please contact </w:t>
      </w:r>
      <w:r w:rsidR="00F45E3F">
        <w:t>Russell Johnston</w:t>
      </w:r>
      <w:r w:rsidRPr="0072770E">
        <w:t xml:space="preserve">, </w:t>
      </w:r>
      <w:r w:rsidR="00F45E3F">
        <w:t xml:space="preserve">PhD, State Director of Special Education, </w:t>
      </w:r>
      <w:r w:rsidRPr="0072770E">
        <w:t xml:space="preserve">by email at </w:t>
      </w:r>
      <w:hyperlink r:id="rId38" w:history="1">
        <w:r w:rsidR="00F45E3F" w:rsidRPr="004E6C1D">
          <w:rPr>
            <w:rStyle w:val="Hyperlink"/>
          </w:rPr>
          <w:t>rjohnston@doe.mass.edu</w:t>
        </w:r>
      </w:hyperlink>
      <w:r w:rsidRPr="0029686C">
        <w:t xml:space="preserve"> </w:t>
      </w:r>
      <w:r w:rsidRPr="0072770E">
        <w:t>or by phone at 781-</w:t>
      </w:r>
      <w:r w:rsidR="00F45E3F">
        <w:t>338-3564</w:t>
      </w:r>
      <w:r w:rsidRPr="009C3CDE">
        <w:t>.</w:t>
      </w:r>
    </w:p>
    <w:sectPr w:rsidR="005133F5" w:rsidRPr="0072770E" w:rsidSect="003F31D5">
      <w:footerReference w:type="default" r:id="rId39"/>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02051" w14:textId="77777777" w:rsidR="004215EF" w:rsidRDefault="004215EF" w:rsidP="00FD2C86">
      <w:r>
        <w:separator/>
      </w:r>
    </w:p>
  </w:endnote>
  <w:endnote w:type="continuationSeparator" w:id="0">
    <w:p w14:paraId="5D7FFEE7" w14:textId="77777777" w:rsidR="004215EF" w:rsidRDefault="004215EF"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2BF39" w14:textId="024BC0DD" w:rsidR="00D72B4D" w:rsidRDefault="00D72B4D" w:rsidP="00D674EF">
    <w:pPr>
      <w:pStyle w:val="Footer"/>
    </w:pPr>
    <w:r>
      <w:tab/>
    </w:r>
    <w:r w:rsidR="00661E08">
      <w:fldChar w:fldCharType="begin"/>
    </w:r>
    <w:r w:rsidR="00A75542">
      <w:instrText xml:space="preserve"> PAGE   \* MERGEFORMAT </w:instrText>
    </w:r>
    <w:r w:rsidR="00661E08">
      <w:fldChar w:fldCharType="separate"/>
    </w:r>
    <w:r w:rsidR="0023671C">
      <w:rPr>
        <w:noProof/>
      </w:rPr>
      <w:t>11</w:t>
    </w:r>
    <w:r w:rsidR="00661E0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155A2" w14:textId="77777777" w:rsidR="004215EF" w:rsidRDefault="004215EF" w:rsidP="00FD2C86">
      <w:r>
        <w:separator/>
      </w:r>
    </w:p>
  </w:footnote>
  <w:footnote w:type="continuationSeparator" w:id="0">
    <w:p w14:paraId="0F4D1243" w14:textId="77777777" w:rsidR="004215EF" w:rsidRDefault="004215EF" w:rsidP="00FD2C86">
      <w:r>
        <w:continuationSeparator/>
      </w:r>
    </w:p>
  </w:footnote>
  <w:footnote w:id="1">
    <w:p w14:paraId="0AD2BF3A" w14:textId="77777777" w:rsidR="00D72B4D" w:rsidRPr="000B4C51" w:rsidRDefault="00D72B4D">
      <w:pPr>
        <w:pStyle w:val="FootnoteText"/>
      </w:pPr>
      <w:r>
        <w:rPr>
          <w:rStyle w:val="FootnoteReference"/>
        </w:rPr>
        <w:footnoteRef/>
      </w:r>
      <w:r>
        <w:t xml:space="preserve"> For a full discussion of the data fluctuation in the categories of </w:t>
      </w:r>
      <w:r w:rsidRPr="00FC1804">
        <w:t>Specific Learning Disability, Communication Impairment, and Health Impairment</w:t>
      </w:r>
      <w:r>
        <w:t xml:space="preserve">, see </w:t>
      </w:r>
      <w:r w:rsidRPr="000B4C51">
        <w:rPr>
          <w:shd w:val="clear" w:color="auto" w:fill="FFFFFF"/>
        </w:rPr>
        <w:t>H</w:t>
      </w:r>
      <w:r w:rsidRPr="000B4C51">
        <w:t>ehir</w:t>
      </w:r>
      <w:r w:rsidRPr="000B4C51">
        <w:rPr>
          <w:shd w:val="clear" w:color="auto" w:fill="FFFFFF"/>
        </w:rPr>
        <w:t xml:space="preserve">, Thomas, et al., </w:t>
      </w:r>
      <w:r w:rsidRPr="000B4C51">
        <w:rPr>
          <w:i/>
          <w:shd w:val="clear" w:color="auto" w:fill="FFFFFF"/>
        </w:rPr>
        <w:t>Review of S</w:t>
      </w:r>
      <w:r w:rsidRPr="000B4C51">
        <w:rPr>
          <w:i/>
        </w:rPr>
        <w:t>pecial Education in the Commonwealth</w:t>
      </w:r>
      <w:r w:rsidRPr="000B4C51">
        <w:t>, April 2012</w:t>
      </w:r>
      <w:r>
        <w:t xml:space="preserve">, </w:t>
      </w:r>
      <w:hyperlink r:id="rId1" w:history="1">
        <w:r w:rsidRPr="00044662">
          <w:rPr>
            <w:rStyle w:val="Hyperlink"/>
          </w:rPr>
          <w:t>http://www.doe.mass.edu/sped/hehir/2012-04sped.pdf</w:t>
        </w:r>
      </w:hyperlink>
      <w:r>
        <w:t>.</w:t>
      </w:r>
    </w:p>
  </w:footnote>
  <w:footnote w:id="2">
    <w:p w14:paraId="0AD2BF3B" w14:textId="77777777" w:rsidR="00D72B4D" w:rsidRDefault="00D72B4D">
      <w:pPr>
        <w:pStyle w:val="FootnoteText"/>
      </w:pPr>
      <w:r>
        <w:rPr>
          <w:rStyle w:val="FootnoteReference"/>
        </w:rPr>
        <w:footnoteRef/>
      </w:r>
      <w:r>
        <w:t xml:space="preserve"> The State Performance Plan/Annual Performance Report is filed annually with OSEP. Each year states must report on their success in meeting compliance or performance targets focused on state and district special education systems and student outcomes. The most current report and historical SPP/APR documents are available at:   </w:t>
      </w:r>
      <w:hyperlink r:id="rId2" w:history="1">
        <w:r w:rsidRPr="004D2E41">
          <w:rPr>
            <w:rStyle w:val="Hyperlink"/>
          </w:rPr>
          <w:t>http://www.doe.mass.edu/sped/spp/maspp.html</w:t>
        </w:r>
      </w:hyperlink>
      <w:r>
        <w:t xml:space="preserve">. </w:t>
      </w:r>
    </w:p>
  </w:footnote>
  <w:footnote w:id="3">
    <w:p w14:paraId="0AD2BF3C" w14:textId="77777777" w:rsidR="00D72B4D" w:rsidRPr="002F64BC" w:rsidRDefault="00D72B4D">
      <w:pPr>
        <w:pStyle w:val="FootnoteText"/>
      </w:pPr>
      <w:r>
        <w:rPr>
          <w:rStyle w:val="FootnoteReference"/>
        </w:rPr>
        <w:footnoteRef/>
      </w:r>
      <w:r>
        <w:t xml:space="preserve"> </w:t>
      </w:r>
      <w:r w:rsidRPr="000B4C51">
        <w:rPr>
          <w:shd w:val="clear" w:color="auto" w:fill="FFFFFF"/>
        </w:rPr>
        <w:t>H</w:t>
      </w:r>
      <w:r w:rsidRPr="000B4C51">
        <w:t>ehir</w:t>
      </w:r>
      <w:r w:rsidRPr="000B4C51">
        <w:rPr>
          <w:shd w:val="clear" w:color="auto" w:fill="FFFFFF"/>
        </w:rPr>
        <w:t xml:space="preserve">, Thomas, et al., </w:t>
      </w:r>
      <w:r w:rsidRPr="000B4C51">
        <w:rPr>
          <w:i/>
          <w:shd w:val="clear" w:color="auto" w:fill="FFFFFF"/>
        </w:rPr>
        <w:t>Review of S</w:t>
      </w:r>
      <w:r w:rsidRPr="000B4C51">
        <w:rPr>
          <w:i/>
        </w:rPr>
        <w:t>pecial Education in the Commonwealth</w:t>
      </w:r>
      <w:r w:rsidRPr="000B4C51">
        <w:t>, April 2012</w:t>
      </w:r>
      <w:r>
        <w:t xml:space="preserve">, </w:t>
      </w:r>
      <w:hyperlink r:id="rId3" w:history="1">
        <w:r w:rsidRPr="00044662">
          <w:rPr>
            <w:rStyle w:val="Hyperlink"/>
          </w:rPr>
          <w:t>http://www.doe.mass.edu/sped/hehir/2012-04sped.pdf</w:t>
        </w:r>
      </w:hyperlink>
      <w:r>
        <w:t xml:space="preserve"> </w:t>
      </w:r>
    </w:p>
  </w:footnote>
  <w:footnote w:id="4">
    <w:p w14:paraId="0AD2BF3D" w14:textId="77777777" w:rsidR="00D72B4D" w:rsidRPr="00E37AA2" w:rsidRDefault="00D72B4D">
      <w:pPr>
        <w:pStyle w:val="FootnoteText"/>
      </w:pPr>
      <w:r>
        <w:rPr>
          <w:rStyle w:val="FootnoteReference"/>
        </w:rPr>
        <w:footnoteRef/>
      </w:r>
      <w:r>
        <w:t xml:space="preserve"> </w:t>
      </w:r>
      <w:r w:rsidRPr="00E37AA2">
        <w:t xml:space="preserve">Of particular note are LEAP’s </w:t>
      </w:r>
      <w:r w:rsidRPr="00E37AA2">
        <w:rPr>
          <w:color w:val="000000"/>
          <w:shd w:val="clear" w:color="auto" w:fill="FFFFFF"/>
        </w:rPr>
        <w:t>free</w:t>
      </w:r>
      <w:r w:rsidRPr="00E37AA2">
        <w:rPr>
          <w:rStyle w:val="apple-converted-space"/>
          <w:color w:val="000000"/>
          <w:shd w:val="clear" w:color="auto" w:fill="FFFFFF"/>
        </w:rPr>
        <w:t> </w:t>
      </w:r>
      <w:hyperlink r:id="rId4" w:history="1">
        <w:r w:rsidRPr="00E37AA2">
          <w:rPr>
            <w:rStyle w:val="Hyperlink"/>
            <w:shd w:val="clear" w:color="auto" w:fill="FFFFFF"/>
          </w:rPr>
          <w:t>online interactive training module</w:t>
        </w:r>
      </w:hyperlink>
      <w:r w:rsidRPr="00E37AA2">
        <w:t xml:space="preserve"> </w:t>
      </w:r>
      <w:r w:rsidRPr="00E37AA2">
        <w:rPr>
          <w:rStyle w:val="apple-converted-space"/>
          <w:color w:val="000000"/>
          <w:shd w:val="clear" w:color="auto" w:fill="FFFFFF"/>
        </w:rPr>
        <w:t xml:space="preserve">and </w:t>
      </w:r>
      <w:r w:rsidRPr="00E37AA2">
        <w:rPr>
          <w:color w:val="000000"/>
          <w:shd w:val="clear" w:color="auto" w:fill="FFFFFF"/>
        </w:rPr>
        <w:t>a statewide cadre of trainers available to support all districts in addressing the needs of low-income students. These</w:t>
      </w:r>
      <w:r>
        <w:rPr>
          <w:color w:val="000000"/>
          <w:shd w:val="clear" w:color="auto" w:fill="FFFFFF"/>
        </w:rPr>
        <w:t xml:space="preserve"> </w:t>
      </w:r>
      <w:hyperlink r:id="rId5" w:history="1">
        <w:r w:rsidRPr="00E37AA2">
          <w:rPr>
            <w:rStyle w:val="Hyperlink"/>
            <w:shd w:val="clear" w:color="auto" w:fill="FFFFFF"/>
          </w:rPr>
          <w:t>trainers are from twelve educational collaboratives</w:t>
        </w:r>
      </w:hyperlink>
      <w:r>
        <w:rPr>
          <w:rStyle w:val="apple-converted-space"/>
          <w:color w:val="000000"/>
          <w:shd w:val="clear" w:color="auto" w:fill="FFFFFF"/>
        </w:rPr>
        <w:t>.</w:t>
      </w:r>
    </w:p>
  </w:footnote>
  <w:footnote w:id="5">
    <w:p w14:paraId="0AD2BF3E" w14:textId="77777777" w:rsidR="00D72B4D" w:rsidRDefault="00D72B4D">
      <w:pPr>
        <w:pStyle w:val="FootnoteText"/>
      </w:pPr>
      <w:r>
        <w:rPr>
          <w:rStyle w:val="FootnoteReference"/>
        </w:rPr>
        <w:footnoteRef/>
      </w:r>
      <w:r>
        <w:t xml:space="preserve"> See </w:t>
      </w:r>
      <w:hyperlink r:id="rId6" w:history="1">
        <w:r w:rsidRPr="00766F99">
          <w:rPr>
            <w:rStyle w:val="Hyperlink"/>
          </w:rPr>
          <w:t>Social and Emotional Learning in Massachusetts</w:t>
        </w:r>
      </w:hyperlink>
      <w:r>
        <w:t>, from the Department’s Office of Curriculum and Instruction.</w:t>
      </w:r>
    </w:p>
  </w:footnote>
  <w:footnote w:id="6">
    <w:p w14:paraId="0AD2BF3F" w14:textId="77777777" w:rsidR="00D72B4D" w:rsidRPr="00A1236D" w:rsidRDefault="00D72B4D" w:rsidP="00A1236D">
      <w:pPr>
        <w:pStyle w:val="FootnoteText"/>
        <w:rPr>
          <w:bCs/>
          <w:iCs/>
        </w:rPr>
      </w:pPr>
      <w:r>
        <w:rPr>
          <w:rStyle w:val="FootnoteReference"/>
        </w:rPr>
        <w:footnoteRef/>
      </w:r>
      <w:r>
        <w:t xml:space="preserve"> See </w:t>
      </w:r>
      <w:r w:rsidRPr="00A1236D">
        <w:rPr>
          <w:bCs/>
          <w:iCs/>
        </w:rPr>
        <w:t xml:space="preserve">603 CMR 28.09 </w:t>
      </w:r>
      <w:hyperlink r:id="rId7" w:history="1">
        <w:r w:rsidRPr="002E4E28">
          <w:rPr>
            <w:rStyle w:val="Hyperlink"/>
            <w:bCs/>
            <w:i/>
            <w:iCs/>
          </w:rPr>
          <w:t>Approval of Public and Private Day and Residential Special Education School Programs</w:t>
        </w:r>
      </w:hyperlink>
      <w:r w:rsidRPr="00A1236D">
        <w:rPr>
          <w:bCs/>
          <w:iCs/>
        </w:rPr>
        <w:t xml:space="preserve"> and 603 CMR 18.00 </w:t>
      </w:r>
      <w:hyperlink r:id="rId8" w:history="1">
        <w:r w:rsidRPr="002E4E28">
          <w:rPr>
            <w:rStyle w:val="Hyperlink"/>
            <w:bCs/>
            <w:i/>
            <w:iCs/>
          </w:rPr>
          <w:t>Program and Safety Standards for Approved Public or Private Day and Residential Special Education School Programs</w:t>
        </w:r>
      </w:hyperlink>
      <w:r w:rsidRPr="00A1236D">
        <w:rPr>
          <w:bCs/>
          <w:iCs/>
        </w:rPr>
        <w:t>. If an applicant is specifically seeking to operate a private residential special education program, the applicant must also obtain licensure from the Department of Early Education and Care (EEC</w:t>
      </w:r>
      <w:r>
        <w:rPr>
          <w:bCs/>
          <w:iCs/>
        </w:rPr>
        <w:t>).</w:t>
      </w:r>
      <w:r w:rsidRPr="00A1236D">
        <w:rPr>
          <w:bCs/>
          <w:iCs/>
        </w:rPr>
        <w:t xml:space="preserve"> </w:t>
      </w:r>
    </w:p>
    <w:p w14:paraId="0AD2BF40" w14:textId="77777777" w:rsidR="00D72B4D" w:rsidRDefault="00D72B4D">
      <w:pPr>
        <w:pStyle w:val="FootnoteText"/>
      </w:pPr>
    </w:p>
  </w:footnote>
  <w:footnote w:id="7">
    <w:p w14:paraId="0AD2BF41" w14:textId="77777777" w:rsidR="00D72B4D" w:rsidRPr="00711C05" w:rsidRDefault="00D72B4D" w:rsidP="003B1705">
      <w:pPr>
        <w:jc w:val="both"/>
        <w:rPr>
          <w:sz w:val="20"/>
          <w:szCs w:val="20"/>
        </w:rPr>
      </w:pPr>
      <w:r w:rsidRPr="002E4E28">
        <w:rPr>
          <w:rStyle w:val="FootnoteReference"/>
          <w:sz w:val="20"/>
          <w:szCs w:val="20"/>
        </w:rPr>
        <w:footnoteRef/>
      </w:r>
      <w:r w:rsidRPr="002E4E28">
        <w:rPr>
          <w:sz w:val="20"/>
          <w:szCs w:val="20"/>
        </w:rPr>
        <w:t xml:space="preserve"> </w:t>
      </w:r>
      <w:r w:rsidRPr="00711C05">
        <w:rPr>
          <w:sz w:val="20"/>
          <w:szCs w:val="20"/>
        </w:rPr>
        <w:t xml:space="preserve">In addition to mediation and due process hearings (both of which must be offered pursuant to federal law), the BSEA offers the following alternative dispute resolution options: IEP Team meeting facilitations; settlement conferences; and advisory opinions. </w:t>
      </w:r>
    </w:p>
    <w:p w14:paraId="0AD2BF42" w14:textId="77777777" w:rsidR="00D72B4D" w:rsidRPr="00711C05" w:rsidRDefault="00D72B4D" w:rsidP="003B1705">
      <w:pPr>
        <w:pStyle w:val="FootnoteText"/>
      </w:pPr>
    </w:p>
  </w:footnote>
  <w:footnote w:id="8">
    <w:p w14:paraId="0AD2BF43" w14:textId="77777777" w:rsidR="00D72B4D" w:rsidRPr="00A83976" w:rsidRDefault="00D72B4D" w:rsidP="003B1705">
      <w:pPr>
        <w:pStyle w:val="FootnoteText"/>
      </w:pPr>
      <w:r w:rsidRPr="00711C05">
        <w:rPr>
          <w:rStyle w:val="FootnoteReference"/>
        </w:rPr>
        <w:footnoteRef/>
      </w:r>
      <w:r w:rsidRPr="00711C05">
        <w:t xml:space="preserve"> A school district may not, however, request a hearing on a parent's failure or refusal to consent to initial evaluation or initial placement of a child in a special education program, or to written revocation of parental consent for further provision of special education and related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15:restartNumberingAfterBreak="0">
    <w:nsid w:val="041D6CEA"/>
    <w:multiLevelType w:val="hybridMultilevel"/>
    <w:tmpl w:val="62E0A3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217D7"/>
    <w:multiLevelType w:val="hybridMultilevel"/>
    <w:tmpl w:val="22A44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E76C9"/>
    <w:multiLevelType w:val="hybridMultilevel"/>
    <w:tmpl w:val="3E84D98A"/>
    <w:lvl w:ilvl="0" w:tplc="3362949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126B6B"/>
    <w:multiLevelType w:val="hybridMultilevel"/>
    <w:tmpl w:val="97B45CE4"/>
    <w:lvl w:ilvl="0" w:tplc="3AAEA8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2E1407"/>
    <w:multiLevelType w:val="hybridMultilevel"/>
    <w:tmpl w:val="1D26B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A3F39"/>
    <w:multiLevelType w:val="hybridMultilevel"/>
    <w:tmpl w:val="69B25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44E24D05"/>
    <w:multiLevelType w:val="hybridMultilevel"/>
    <w:tmpl w:val="A720FCC4"/>
    <w:lvl w:ilvl="0" w:tplc="3AAEA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0" w15:restartNumberingAfterBreak="0">
    <w:nsid w:val="49A62B4F"/>
    <w:multiLevelType w:val="hybridMultilevel"/>
    <w:tmpl w:val="1556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4F0F81"/>
    <w:multiLevelType w:val="hybridMultilevel"/>
    <w:tmpl w:val="E3DE7BFA"/>
    <w:lvl w:ilvl="0" w:tplc="FC804B9A">
      <w:start w:val="1"/>
      <w:numFmt w:val="upperLetter"/>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FA2E4F"/>
    <w:multiLevelType w:val="hybridMultilevel"/>
    <w:tmpl w:val="5DE2F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A697E05"/>
    <w:multiLevelType w:val="hybridMultilevel"/>
    <w:tmpl w:val="B238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B64F4C"/>
    <w:multiLevelType w:val="hybridMultilevel"/>
    <w:tmpl w:val="32FA0B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745096"/>
    <w:multiLevelType w:val="hybridMultilevel"/>
    <w:tmpl w:val="E3DE7BFA"/>
    <w:lvl w:ilvl="0" w:tplc="FC804B9A">
      <w:start w:val="1"/>
      <w:numFmt w:val="upperLetter"/>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3548E"/>
    <w:multiLevelType w:val="hybridMultilevel"/>
    <w:tmpl w:val="F6E69926"/>
    <w:lvl w:ilvl="0" w:tplc="E5D4BC1A">
      <w:start w:val="1"/>
      <w:numFmt w:val="upperLetter"/>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71129A"/>
    <w:multiLevelType w:val="hybridMultilevel"/>
    <w:tmpl w:val="9986106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E8B7D99"/>
    <w:multiLevelType w:val="hybridMultilevel"/>
    <w:tmpl w:val="8660A1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5"/>
  </w:num>
  <w:num w:numId="3">
    <w:abstractNumId w:val="11"/>
  </w:num>
  <w:num w:numId="4">
    <w:abstractNumId w:val="9"/>
  </w:num>
  <w:num w:numId="5">
    <w:abstractNumId w:val="7"/>
  </w:num>
  <w:num w:numId="6">
    <w:abstractNumId w:val="12"/>
  </w:num>
  <w:num w:numId="7">
    <w:abstractNumId w:val="13"/>
  </w:num>
  <w:num w:numId="8">
    <w:abstractNumId w:val="5"/>
  </w:num>
  <w:num w:numId="9">
    <w:abstractNumId w:val="2"/>
  </w:num>
  <w:num w:numId="10">
    <w:abstractNumId w:val="19"/>
  </w:num>
  <w:num w:numId="11">
    <w:abstractNumId w:val="14"/>
  </w:num>
  <w:num w:numId="12">
    <w:abstractNumId w:val="17"/>
  </w:num>
  <w:num w:numId="13">
    <w:abstractNumId w:val="1"/>
  </w:num>
  <w:num w:numId="14">
    <w:abstractNumId w:val="20"/>
  </w:num>
  <w:num w:numId="15">
    <w:abstractNumId w:val="18"/>
  </w:num>
  <w:num w:numId="16">
    <w:abstractNumId w:val="10"/>
  </w:num>
  <w:num w:numId="17">
    <w:abstractNumId w:val="3"/>
  </w:num>
  <w:num w:numId="18">
    <w:abstractNumId w:val="8"/>
  </w:num>
  <w:num w:numId="19">
    <w:abstractNumId w:val="4"/>
  </w:num>
  <w:num w:numId="20">
    <w:abstractNumId w:val="16"/>
  </w:num>
  <w:num w:numId="21">
    <w:abstractNumId w:val="21"/>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64"/>
    <w:rsid w:val="000037F2"/>
    <w:rsid w:val="000041E4"/>
    <w:rsid w:val="00005D8C"/>
    <w:rsid w:val="00022100"/>
    <w:rsid w:val="0002769D"/>
    <w:rsid w:val="00031E29"/>
    <w:rsid w:val="00031ED8"/>
    <w:rsid w:val="00035202"/>
    <w:rsid w:val="000354F5"/>
    <w:rsid w:val="000403B6"/>
    <w:rsid w:val="00043AF4"/>
    <w:rsid w:val="000441D1"/>
    <w:rsid w:val="000506EE"/>
    <w:rsid w:val="00050756"/>
    <w:rsid w:val="000539CE"/>
    <w:rsid w:val="0006114F"/>
    <w:rsid w:val="0007118B"/>
    <w:rsid w:val="000711BA"/>
    <w:rsid w:val="00076BD2"/>
    <w:rsid w:val="0008314F"/>
    <w:rsid w:val="00083158"/>
    <w:rsid w:val="00091A5F"/>
    <w:rsid w:val="00092A27"/>
    <w:rsid w:val="000936BF"/>
    <w:rsid w:val="000A649B"/>
    <w:rsid w:val="000A7F57"/>
    <w:rsid w:val="000B1E0E"/>
    <w:rsid w:val="000B4C51"/>
    <w:rsid w:val="000B64EE"/>
    <w:rsid w:val="000C38BE"/>
    <w:rsid w:val="000C3B85"/>
    <w:rsid w:val="000C5AF1"/>
    <w:rsid w:val="000D0E81"/>
    <w:rsid w:val="000D1FA5"/>
    <w:rsid w:val="000D5A5F"/>
    <w:rsid w:val="000E4F6E"/>
    <w:rsid w:val="000E67EA"/>
    <w:rsid w:val="000F4F88"/>
    <w:rsid w:val="000F7065"/>
    <w:rsid w:val="00100600"/>
    <w:rsid w:val="00101A19"/>
    <w:rsid w:val="001042D1"/>
    <w:rsid w:val="00105193"/>
    <w:rsid w:val="00107DF8"/>
    <w:rsid w:val="00112CE2"/>
    <w:rsid w:val="00114A93"/>
    <w:rsid w:val="0014018E"/>
    <w:rsid w:val="0014102A"/>
    <w:rsid w:val="00144CB4"/>
    <w:rsid w:val="00147F76"/>
    <w:rsid w:val="00152BF1"/>
    <w:rsid w:val="00152CC8"/>
    <w:rsid w:val="00156EB4"/>
    <w:rsid w:val="00161A3F"/>
    <w:rsid w:val="0017022D"/>
    <w:rsid w:val="00170886"/>
    <w:rsid w:val="001740D7"/>
    <w:rsid w:val="00184ACF"/>
    <w:rsid w:val="001850D0"/>
    <w:rsid w:val="00186213"/>
    <w:rsid w:val="00191531"/>
    <w:rsid w:val="001A028D"/>
    <w:rsid w:val="001B0849"/>
    <w:rsid w:val="001B25AC"/>
    <w:rsid w:val="001B428C"/>
    <w:rsid w:val="001B76B8"/>
    <w:rsid w:val="001C1CF3"/>
    <w:rsid w:val="001C1E0E"/>
    <w:rsid w:val="001C2A24"/>
    <w:rsid w:val="001C4708"/>
    <w:rsid w:val="001D2C60"/>
    <w:rsid w:val="001D547D"/>
    <w:rsid w:val="001E08CB"/>
    <w:rsid w:val="002034A0"/>
    <w:rsid w:val="0020780F"/>
    <w:rsid w:val="00214BF2"/>
    <w:rsid w:val="00222A7A"/>
    <w:rsid w:val="0023671C"/>
    <w:rsid w:val="00236DB3"/>
    <w:rsid w:val="00237007"/>
    <w:rsid w:val="00247CAB"/>
    <w:rsid w:val="00255F9D"/>
    <w:rsid w:val="00262589"/>
    <w:rsid w:val="002625B1"/>
    <w:rsid w:val="00270233"/>
    <w:rsid w:val="0027042E"/>
    <w:rsid w:val="00271731"/>
    <w:rsid w:val="00272C35"/>
    <w:rsid w:val="00274356"/>
    <w:rsid w:val="00283191"/>
    <w:rsid w:val="00292ED1"/>
    <w:rsid w:val="00293CAE"/>
    <w:rsid w:val="00294DFB"/>
    <w:rsid w:val="002A4E3E"/>
    <w:rsid w:val="002A7F6D"/>
    <w:rsid w:val="002B5477"/>
    <w:rsid w:val="002C120B"/>
    <w:rsid w:val="002C2113"/>
    <w:rsid w:val="002C5262"/>
    <w:rsid w:val="002D1896"/>
    <w:rsid w:val="002D1F95"/>
    <w:rsid w:val="002D411F"/>
    <w:rsid w:val="002D750F"/>
    <w:rsid w:val="002E0728"/>
    <w:rsid w:val="002E4E28"/>
    <w:rsid w:val="002F64BC"/>
    <w:rsid w:val="00300902"/>
    <w:rsid w:val="003020F2"/>
    <w:rsid w:val="00303C7E"/>
    <w:rsid w:val="003125C6"/>
    <w:rsid w:val="00313111"/>
    <w:rsid w:val="00313DEF"/>
    <w:rsid w:val="003151B0"/>
    <w:rsid w:val="00317479"/>
    <w:rsid w:val="00324E05"/>
    <w:rsid w:val="00325CC9"/>
    <w:rsid w:val="00332C35"/>
    <w:rsid w:val="00332E4A"/>
    <w:rsid w:val="003341DD"/>
    <w:rsid w:val="00345DE2"/>
    <w:rsid w:val="003604F4"/>
    <w:rsid w:val="00365B11"/>
    <w:rsid w:val="0037656A"/>
    <w:rsid w:val="00383EEC"/>
    <w:rsid w:val="003B1705"/>
    <w:rsid w:val="003B1D70"/>
    <w:rsid w:val="003B382B"/>
    <w:rsid w:val="003B557F"/>
    <w:rsid w:val="003D0635"/>
    <w:rsid w:val="003D1DF5"/>
    <w:rsid w:val="003D40D2"/>
    <w:rsid w:val="003E01D3"/>
    <w:rsid w:val="003F31D5"/>
    <w:rsid w:val="003F3636"/>
    <w:rsid w:val="00405CAB"/>
    <w:rsid w:val="00407E6D"/>
    <w:rsid w:val="00416E39"/>
    <w:rsid w:val="004215EF"/>
    <w:rsid w:val="00426D86"/>
    <w:rsid w:val="004331E7"/>
    <w:rsid w:val="00436F55"/>
    <w:rsid w:val="00440BAB"/>
    <w:rsid w:val="00441F51"/>
    <w:rsid w:val="00442D67"/>
    <w:rsid w:val="00445492"/>
    <w:rsid w:val="0044758D"/>
    <w:rsid w:val="00456909"/>
    <w:rsid w:val="00464491"/>
    <w:rsid w:val="004744BB"/>
    <w:rsid w:val="00484760"/>
    <w:rsid w:val="00484A33"/>
    <w:rsid w:val="00494557"/>
    <w:rsid w:val="00495BFB"/>
    <w:rsid w:val="004B0144"/>
    <w:rsid w:val="004B160F"/>
    <w:rsid w:val="004B2AF6"/>
    <w:rsid w:val="004B4D5A"/>
    <w:rsid w:val="004C1FFA"/>
    <w:rsid w:val="004C1FFD"/>
    <w:rsid w:val="004C3259"/>
    <w:rsid w:val="004D3CD6"/>
    <w:rsid w:val="004D45D4"/>
    <w:rsid w:val="004E0CA6"/>
    <w:rsid w:val="004E5242"/>
    <w:rsid w:val="004F1C4B"/>
    <w:rsid w:val="004F6113"/>
    <w:rsid w:val="00507912"/>
    <w:rsid w:val="005133F5"/>
    <w:rsid w:val="005152E7"/>
    <w:rsid w:val="00520C1B"/>
    <w:rsid w:val="00520F8A"/>
    <w:rsid w:val="005350D7"/>
    <w:rsid w:val="00542290"/>
    <w:rsid w:val="00543C6D"/>
    <w:rsid w:val="0055364B"/>
    <w:rsid w:val="00561FB0"/>
    <w:rsid w:val="0056499B"/>
    <w:rsid w:val="00574CA4"/>
    <w:rsid w:val="0058234A"/>
    <w:rsid w:val="00595540"/>
    <w:rsid w:val="005973B5"/>
    <w:rsid w:val="005A0983"/>
    <w:rsid w:val="005A367D"/>
    <w:rsid w:val="005A678C"/>
    <w:rsid w:val="005B2FDD"/>
    <w:rsid w:val="005B4F3E"/>
    <w:rsid w:val="005C1711"/>
    <w:rsid w:val="005C7C7C"/>
    <w:rsid w:val="005D0D1D"/>
    <w:rsid w:val="005D337B"/>
    <w:rsid w:val="005E4B70"/>
    <w:rsid w:val="005E6ACA"/>
    <w:rsid w:val="005E7464"/>
    <w:rsid w:val="005F037D"/>
    <w:rsid w:val="005F152D"/>
    <w:rsid w:val="005F1897"/>
    <w:rsid w:val="005F4091"/>
    <w:rsid w:val="005F5CE4"/>
    <w:rsid w:val="00600532"/>
    <w:rsid w:val="00602B1D"/>
    <w:rsid w:val="00603BD5"/>
    <w:rsid w:val="00611733"/>
    <w:rsid w:val="00614C6E"/>
    <w:rsid w:val="00634735"/>
    <w:rsid w:val="00651ECC"/>
    <w:rsid w:val="0065736C"/>
    <w:rsid w:val="00661E08"/>
    <w:rsid w:val="0066221E"/>
    <w:rsid w:val="00675B1B"/>
    <w:rsid w:val="0069558B"/>
    <w:rsid w:val="006A1726"/>
    <w:rsid w:val="006B1961"/>
    <w:rsid w:val="006B5927"/>
    <w:rsid w:val="006B7616"/>
    <w:rsid w:val="006C1EBC"/>
    <w:rsid w:val="006C5ACA"/>
    <w:rsid w:val="006C6F88"/>
    <w:rsid w:val="006D1B5E"/>
    <w:rsid w:val="006D375F"/>
    <w:rsid w:val="006E233F"/>
    <w:rsid w:val="006E3C47"/>
    <w:rsid w:val="006F4CF2"/>
    <w:rsid w:val="006F7E53"/>
    <w:rsid w:val="00700F8B"/>
    <w:rsid w:val="007012FA"/>
    <w:rsid w:val="0070743D"/>
    <w:rsid w:val="007102D5"/>
    <w:rsid w:val="00711C05"/>
    <w:rsid w:val="00712E66"/>
    <w:rsid w:val="007204A2"/>
    <w:rsid w:val="0072713B"/>
    <w:rsid w:val="007333C9"/>
    <w:rsid w:val="00740C0D"/>
    <w:rsid w:val="00741DF2"/>
    <w:rsid w:val="007548B3"/>
    <w:rsid w:val="00755977"/>
    <w:rsid w:val="00755D11"/>
    <w:rsid w:val="00763DDA"/>
    <w:rsid w:val="00765318"/>
    <w:rsid w:val="00766F99"/>
    <w:rsid w:val="00767FA3"/>
    <w:rsid w:val="0077336E"/>
    <w:rsid w:val="007738F2"/>
    <w:rsid w:val="00776A73"/>
    <w:rsid w:val="007771A3"/>
    <w:rsid w:val="007771D5"/>
    <w:rsid w:val="0077761F"/>
    <w:rsid w:val="00781695"/>
    <w:rsid w:val="007944BA"/>
    <w:rsid w:val="0079520D"/>
    <w:rsid w:val="007B0C38"/>
    <w:rsid w:val="007C03AE"/>
    <w:rsid w:val="007C0CC1"/>
    <w:rsid w:val="007C3083"/>
    <w:rsid w:val="007C445C"/>
    <w:rsid w:val="007D6EC0"/>
    <w:rsid w:val="007E1FD7"/>
    <w:rsid w:val="007F1081"/>
    <w:rsid w:val="007F52D9"/>
    <w:rsid w:val="0080681D"/>
    <w:rsid w:val="008243B4"/>
    <w:rsid w:val="00826061"/>
    <w:rsid w:val="00832115"/>
    <w:rsid w:val="008353EB"/>
    <w:rsid w:val="008374A1"/>
    <w:rsid w:val="008421E2"/>
    <w:rsid w:val="00851C45"/>
    <w:rsid w:val="008618E7"/>
    <w:rsid w:val="00871349"/>
    <w:rsid w:val="008734A6"/>
    <w:rsid w:val="00880DA0"/>
    <w:rsid w:val="0088258A"/>
    <w:rsid w:val="00884567"/>
    <w:rsid w:val="00892AE4"/>
    <w:rsid w:val="008964A4"/>
    <w:rsid w:val="008A7A10"/>
    <w:rsid w:val="008C575C"/>
    <w:rsid w:val="008C65E5"/>
    <w:rsid w:val="008C7D7C"/>
    <w:rsid w:val="008E260F"/>
    <w:rsid w:val="00901891"/>
    <w:rsid w:val="00907BC7"/>
    <w:rsid w:val="00911178"/>
    <w:rsid w:val="009143CB"/>
    <w:rsid w:val="00917329"/>
    <w:rsid w:val="009331DD"/>
    <w:rsid w:val="00937E57"/>
    <w:rsid w:val="0095670D"/>
    <w:rsid w:val="00956805"/>
    <w:rsid w:val="0096516C"/>
    <w:rsid w:val="00975F4D"/>
    <w:rsid w:val="00976882"/>
    <w:rsid w:val="00984927"/>
    <w:rsid w:val="00992913"/>
    <w:rsid w:val="0099682E"/>
    <w:rsid w:val="009A3016"/>
    <w:rsid w:val="009A5EBB"/>
    <w:rsid w:val="009B6CFA"/>
    <w:rsid w:val="009C0602"/>
    <w:rsid w:val="009C3363"/>
    <w:rsid w:val="009C4322"/>
    <w:rsid w:val="009C550C"/>
    <w:rsid w:val="009D1266"/>
    <w:rsid w:val="009D72F6"/>
    <w:rsid w:val="009D7BA2"/>
    <w:rsid w:val="009E45FA"/>
    <w:rsid w:val="009E66C6"/>
    <w:rsid w:val="009F10CE"/>
    <w:rsid w:val="00A03535"/>
    <w:rsid w:val="00A11174"/>
    <w:rsid w:val="00A1236D"/>
    <w:rsid w:val="00A20685"/>
    <w:rsid w:val="00A253EF"/>
    <w:rsid w:val="00A303E2"/>
    <w:rsid w:val="00A413F4"/>
    <w:rsid w:val="00A45AFC"/>
    <w:rsid w:val="00A476CE"/>
    <w:rsid w:val="00A5157F"/>
    <w:rsid w:val="00A524CC"/>
    <w:rsid w:val="00A60561"/>
    <w:rsid w:val="00A60B29"/>
    <w:rsid w:val="00A72209"/>
    <w:rsid w:val="00A72DB3"/>
    <w:rsid w:val="00A73051"/>
    <w:rsid w:val="00A73394"/>
    <w:rsid w:val="00A75542"/>
    <w:rsid w:val="00A75DED"/>
    <w:rsid w:val="00A91F91"/>
    <w:rsid w:val="00A950EB"/>
    <w:rsid w:val="00AA2AF8"/>
    <w:rsid w:val="00AB069C"/>
    <w:rsid w:val="00AB0D8E"/>
    <w:rsid w:val="00AB3B7A"/>
    <w:rsid w:val="00AC1A47"/>
    <w:rsid w:val="00AC1EA1"/>
    <w:rsid w:val="00AC6895"/>
    <w:rsid w:val="00AC746A"/>
    <w:rsid w:val="00AC7C67"/>
    <w:rsid w:val="00AD0A1F"/>
    <w:rsid w:val="00AD298F"/>
    <w:rsid w:val="00AD72FC"/>
    <w:rsid w:val="00AD734D"/>
    <w:rsid w:val="00AE377D"/>
    <w:rsid w:val="00AE53BE"/>
    <w:rsid w:val="00AF1841"/>
    <w:rsid w:val="00B01467"/>
    <w:rsid w:val="00B019DF"/>
    <w:rsid w:val="00B06DBC"/>
    <w:rsid w:val="00B114D1"/>
    <w:rsid w:val="00B129CE"/>
    <w:rsid w:val="00B12DDA"/>
    <w:rsid w:val="00B205B5"/>
    <w:rsid w:val="00B316B3"/>
    <w:rsid w:val="00B31D6B"/>
    <w:rsid w:val="00B31DF8"/>
    <w:rsid w:val="00B42CA2"/>
    <w:rsid w:val="00B447DA"/>
    <w:rsid w:val="00B55562"/>
    <w:rsid w:val="00B56B01"/>
    <w:rsid w:val="00B601E6"/>
    <w:rsid w:val="00B616AF"/>
    <w:rsid w:val="00B61B2F"/>
    <w:rsid w:val="00B81EF9"/>
    <w:rsid w:val="00B826C7"/>
    <w:rsid w:val="00B8322C"/>
    <w:rsid w:val="00B87F39"/>
    <w:rsid w:val="00B9061D"/>
    <w:rsid w:val="00B97EA1"/>
    <w:rsid w:val="00BA12E2"/>
    <w:rsid w:val="00BA4E52"/>
    <w:rsid w:val="00BB27E5"/>
    <w:rsid w:val="00BC227D"/>
    <w:rsid w:val="00BC592F"/>
    <w:rsid w:val="00BC596A"/>
    <w:rsid w:val="00BD21C2"/>
    <w:rsid w:val="00BE2C57"/>
    <w:rsid w:val="00BE317A"/>
    <w:rsid w:val="00BE39EF"/>
    <w:rsid w:val="00BE4319"/>
    <w:rsid w:val="00BF66FE"/>
    <w:rsid w:val="00C034DC"/>
    <w:rsid w:val="00C050BF"/>
    <w:rsid w:val="00C052D1"/>
    <w:rsid w:val="00C0573F"/>
    <w:rsid w:val="00C07E91"/>
    <w:rsid w:val="00C104A9"/>
    <w:rsid w:val="00C118B2"/>
    <w:rsid w:val="00C346B5"/>
    <w:rsid w:val="00C444A9"/>
    <w:rsid w:val="00C53FE0"/>
    <w:rsid w:val="00C55D2C"/>
    <w:rsid w:val="00C6738A"/>
    <w:rsid w:val="00C730B3"/>
    <w:rsid w:val="00C85704"/>
    <w:rsid w:val="00C87B1B"/>
    <w:rsid w:val="00C9358C"/>
    <w:rsid w:val="00C97B07"/>
    <w:rsid w:val="00CA19D0"/>
    <w:rsid w:val="00CA37BC"/>
    <w:rsid w:val="00CA455D"/>
    <w:rsid w:val="00CA63E8"/>
    <w:rsid w:val="00CB5EE8"/>
    <w:rsid w:val="00CC22F1"/>
    <w:rsid w:val="00CD476C"/>
    <w:rsid w:val="00CD5012"/>
    <w:rsid w:val="00CE1085"/>
    <w:rsid w:val="00CE240B"/>
    <w:rsid w:val="00CE5CA9"/>
    <w:rsid w:val="00CE7B53"/>
    <w:rsid w:val="00CF407C"/>
    <w:rsid w:val="00CF56DC"/>
    <w:rsid w:val="00CF6B07"/>
    <w:rsid w:val="00D033F9"/>
    <w:rsid w:val="00D10B36"/>
    <w:rsid w:val="00D3078C"/>
    <w:rsid w:val="00D339E4"/>
    <w:rsid w:val="00D35E88"/>
    <w:rsid w:val="00D40A4A"/>
    <w:rsid w:val="00D42AD8"/>
    <w:rsid w:val="00D515D0"/>
    <w:rsid w:val="00D5394C"/>
    <w:rsid w:val="00D53B5E"/>
    <w:rsid w:val="00D639AC"/>
    <w:rsid w:val="00D66A98"/>
    <w:rsid w:val="00D6724C"/>
    <w:rsid w:val="00D674EF"/>
    <w:rsid w:val="00D72B4D"/>
    <w:rsid w:val="00D72BD5"/>
    <w:rsid w:val="00DB1CFF"/>
    <w:rsid w:val="00DB704C"/>
    <w:rsid w:val="00DC2200"/>
    <w:rsid w:val="00DC228A"/>
    <w:rsid w:val="00DD07C4"/>
    <w:rsid w:val="00DD4A21"/>
    <w:rsid w:val="00DE0201"/>
    <w:rsid w:val="00DE1217"/>
    <w:rsid w:val="00DF0A63"/>
    <w:rsid w:val="00DF1F4D"/>
    <w:rsid w:val="00E01151"/>
    <w:rsid w:val="00E04B8E"/>
    <w:rsid w:val="00E068D5"/>
    <w:rsid w:val="00E07E88"/>
    <w:rsid w:val="00E110A9"/>
    <w:rsid w:val="00E15ECC"/>
    <w:rsid w:val="00E20C37"/>
    <w:rsid w:val="00E20CF6"/>
    <w:rsid w:val="00E253B2"/>
    <w:rsid w:val="00E33BC2"/>
    <w:rsid w:val="00E34296"/>
    <w:rsid w:val="00E3460D"/>
    <w:rsid w:val="00E37AA2"/>
    <w:rsid w:val="00E41300"/>
    <w:rsid w:val="00E5114D"/>
    <w:rsid w:val="00E53ECD"/>
    <w:rsid w:val="00E72815"/>
    <w:rsid w:val="00E72AAF"/>
    <w:rsid w:val="00E849B6"/>
    <w:rsid w:val="00E94259"/>
    <w:rsid w:val="00E94E92"/>
    <w:rsid w:val="00EB1F6F"/>
    <w:rsid w:val="00EB21ED"/>
    <w:rsid w:val="00EB4EEB"/>
    <w:rsid w:val="00EB7C68"/>
    <w:rsid w:val="00EB7F04"/>
    <w:rsid w:val="00ED25CF"/>
    <w:rsid w:val="00ED4FF6"/>
    <w:rsid w:val="00ED55E0"/>
    <w:rsid w:val="00EF0CFC"/>
    <w:rsid w:val="00EF464F"/>
    <w:rsid w:val="00F00582"/>
    <w:rsid w:val="00F03CB1"/>
    <w:rsid w:val="00F05C54"/>
    <w:rsid w:val="00F13965"/>
    <w:rsid w:val="00F21B8C"/>
    <w:rsid w:val="00F35976"/>
    <w:rsid w:val="00F36062"/>
    <w:rsid w:val="00F37C71"/>
    <w:rsid w:val="00F44B62"/>
    <w:rsid w:val="00F44C7B"/>
    <w:rsid w:val="00F4520B"/>
    <w:rsid w:val="00F45AE1"/>
    <w:rsid w:val="00F45E3F"/>
    <w:rsid w:val="00F47C49"/>
    <w:rsid w:val="00F57DE8"/>
    <w:rsid w:val="00F66EB7"/>
    <w:rsid w:val="00F6726D"/>
    <w:rsid w:val="00F7310B"/>
    <w:rsid w:val="00F7387F"/>
    <w:rsid w:val="00F75E49"/>
    <w:rsid w:val="00F90C66"/>
    <w:rsid w:val="00F91AAD"/>
    <w:rsid w:val="00FA0025"/>
    <w:rsid w:val="00FA37DE"/>
    <w:rsid w:val="00FC06EE"/>
    <w:rsid w:val="00FC0AE6"/>
    <w:rsid w:val="00FC1804"/>
    <w:rsid w:val="00FD2C86"/>
    <w:rsid w:val="00FD49F2"/>
    <w:rsid w:val="00FD69E2"/>
    <w:rsid w:val="00FD72F8"/>
    <w:rsid w:val="00FE4464"/>
    <w:rsid w:val="00FE721F"/>
    <w:rsid w:val="00FF1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AD2BD66"/>
  <w15:docId w15:val="{C4BD2267-4F30-4D1A-8FE5-2C2D06E7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113"/>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0A7F57"/>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semiHidden/>
    <w:rsid w:val="00D674EF"/>
    <w:pPr>
      <w:tabs>
        <w:tab w:val="right" w:pos="9360"/>
      </w:tabs>
    </w:pPr>
    <w:rPr>
      <w:i/>
      <w:sz w:val="20"/>
    </w:rPr>
  </w:style>
  <w:style w:type="character" w:customStyle="1" w:styleId="FooterChar">
    <w:name w:val="Footer Char"/>
    <w:link w:val="Footer"/>
    <w:uiPriority w:val="99"/>
    <w:rsid w:val="00D674EF"/>
    <w:rPr>
      <w:i/>
      <w:szCs w:val="24"/>
      <w:lang w:val="en-US" w:eastAsia="en-US" w:bidi="ar-SA"/>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BalloonText">
    <w:name w:val="Balloon Text"/>
    <w:basedOn w:val="Normal"/>
    <w:link w:val="BalloonTextChar"/>
    <w:rsid w:val="00F7310B"/>
    <w:rPr>
      <w:rFonts w:ascii="Tahoma" w:hAnsi="Tahoma" w:cs="Tahoma"/>
      <w:sz w:val="16"/>
      <w:szCs w:val="16"/>
    </w:rPr>
  </w:style>
  <w:style w:type="character" w:customStyle="1" w:styleId="BalloonTextChar">
    <w:name w:val="Balloon Text Char"/>
    <w:basedOn w:val="DefaultParagraphFont"/>
    <w:link w:val="BalloonText"/>
    <w:rsid w:val="00F7310B"/>
    <w:rPr>
      <w:rFonts w:ascii="Tahoma" w:hAnsi="Tahoma" w:cs="Tahoma"/>
      <w:sz w:val="16"/>
      <w:szCs w:val="16"/>
    </w:rPr>
  </w:style>
  <w:style w:type="table" w:styleId="TableGrid">
    <w:name w:val="Table Grid"/>
    <w:basedOn w:val="TableNormal"/>
    <w:rsid w:val="00E253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B0D8E"/>
    <w:pPr>
      <w:autoSpaceDE w:val="0"/>
      <w:autoSpaceDN w:val="0"/>
    </w:pPr>
    <w:rPr>
      <w:rFonts w:eastAsiaTheme="minorHAnsi"/>
      <w:color w:val="000000"/>
    </w:rPr>
  </w:style>
  <w:style w:type="paragraph" w:styleId="ListParagraph">
    <w:name w:val="List Paragraph"/>
    <w:basedOn w:val="Normal"/>
    <w:uiPriority w:val="34"/>
    <w:qFormat/>
    <w:rsid w:val="007F1081"/>
    <w:pPr>
      <w:ind w:left="720"/>
      <w:contextualSpacing/>
    </w:pPr>
  </w:style>
  <w:style w:type="table" w:customStyle="1" w:styleId="ESETablesGridStyle1">
    <w:name w:val="ESE Tables Grid Style1"/>
    <w:basedOn w:val="TableNormal"/>
    <w:rsid w:val="00BB27E5"/>
    <w:pPr>
      <w:jc w:val="center"/>
    </w:pPr>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character" w:styleId="CommentReference">
    <w:name w:val="annotation reference"/>
    <w:basedOn w:val="DefaultParagraphFont"/>
    <w:rsid w:val="00BB27E5"/>
    <w:rPr>
      <w:sz w:val="16"/>
      <w:szCs w:val="16"/>
    </w:rPr>
  </w:style>
  <w:style w:type="paragraph" w:styleId="CommentText">
    <w:name w:val="annotation text"/>
    <w:basedOn w:val="Normal"/>
    <w:link w:val="CommentTextChar"/>
    <w:rsid w:val="00BB27E5"/>
    <w:rPr>
      <w:sz w:val="20"/>
      <w:szCs w:val="20"/>
    </w:rPr>
  </w:style>
  <w:style w:type="character" w:customStyle="1" w:styleId="CommentTextChar">
    <w:name w:val="Comment Text Char"/>
    <w:basedOn w:val="DefaultParagraphFont"/>
    <w:link w:val="CommentText"/>
    <w:rsid w:val="00BB27E5"/>
  </w:style>
  <w:style w:type="paragraph" w:styleId="CommentSubject">
    <w:name w:val="annotation subject"/>
    <w:basedOn w:val="CommentText"/>
    <w:next w:val="CommentText"/>
    <w:link w:val="CommentSubjectChar"/>
    <w:rsid w:val="00BB27E5"/>
    <w:rPr>
      <w:b/>
      <w:bCs/>
    </w:rPr>
  </w:style>
  <w:style w:type="character" w:customStyle="1" w:styleId="CommentSubjectChar">
    <w:name w:val="Comment Subject Char"/>
    <w:basedOn w:val="CommentTextChar"/>
    <w:link w:val="CommentSubject"/>
    <w:rsid w:val="00BB27E5"/>
    <w:rPr>
      <w:b/>
      <w:bCs/>
    </w:rPr>
  </w:style>
  <w:style w:type="character" w:styleId="FollowedHyperlink">
    <w:name w:val="FollowedHyperlink"/>
    <w:basedOn w:val="DefaultParagraphFont"/>
    <w:rsid w:val="00BB27E5"/>
    <w:rPr>
      <w:color w:val="800080" w:themeColor="followedHyperlink"/>
      <w:u w:val="single"/>
    </w:rPr>
  </w:style>
  <w:style w:type="paragraph" w:styleId="FootnoteText">
    <w:name w:val="footnote text"/>
    <w:basedOn w:val="Normal"/>
    <w:link w:val="FootnoteTextChar"/>
    <w:rsid w:val="003B1705"/>
    <w:rPr>
      <w:sz w:val="20"/>
      <w:szCs w:val="20"/>
    </w:rPr>
  </w:style>
  <w:style w:type="character" w:customStyle="1" w:styleId="FootnoteTextChar">
    <w:name w:val="Footnote Text Char"/>
    <w:basedOn w:val="DefaultParagraphFont"/>
    <w:link w:val="FootnoteText"/>
    <w:uiPriority w:val="99"/>
    <w:rsid w:val="003B1705"/>
  </w:style>
  <w:style w:type="character" w:styleId="FootnoteReference">
    <w:name w:val="footnote reference"/>
    <w:rsid w:val="003B1705"/>
    <w:rPr>
      <w:vertAlign w:val="superscript"/>
    </w:rPr>
  </w:style>
  <w:style w:type="paragraph" w:styleId="NormalWeb">
    <w:name w:val="Normal (Web)"/>
    <w:basedOn w:val="Normal"/>
    <w:rsid w:val="004B2AF6"/>
  </w:style>
  <w:style w:type="character" w:customStyle="1" w:styleId="apple-converted-space">
    <w:name w:val="apple-converted-space"/>
    <w:basedOn w:val="DefaultParagraphFont"/>
    <w:rsid w:val="002F64BC"/>
  </w:style>
  <w:style w:type="character" w:styleId="Emphasis">
    <w:name w:val="Emphasis"/>
    <w:basedOn w:val="DefaultParagraphFont"/>
    <w:uiPriority w:val="20"/>
    <w:qFormat/>
    <w:rsid w:val="002F64BC"/>
    <w:rPr>
      <w:i/>
      <w:iCs/>
    </w:rPr>
  </w:style>
  <w:style w:type="character" w:customStyle="1" w:styleId="Heading1Char">
    <w:name w:val="Heading 1 Char"/>
    <w:basedOn w:val="DefaultParagraphFont"/>
    <w:link w:val="Heading1"/>
    <w:rsid w:val="005133F5"/>
    <w:rPr>
      <w:rFonts w:ascii="Arial" w:hAnsi="Arial" w:cs="Arial"/>
      <w:b/>
      <w:bCs/>
      <w:kern w:val="32"/>
      <w:sz w:val="32"/>
      <w:szCs w:val="32"/>
    </w:rPr>
  </w:style>
  <w:style w:type="paragraph" w:styleId="Revision">
    <w:name w:val="Revision"/>
    <w:hidden/>
    <w:uiPriority w:val="99"/>
    <w:semiHidden/>
    <w:rsid w:val="00574C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2668">
      <w:bodyDiv w:val="1"/>
      <w:marLeft w:val="0"/>
      <w:marRight w:val="0"/>
      <w:marTop w:val="0"/>
      <w:marBottom w:val="0"/>
      <w:divBdr>
        <w:top w:val="none" w:sz="0" w:space="0" w:color="auto"/>
        <w:left w:val="none" w:sz="0" w:space="0" w:color="auto"/>
        <w:bottom w:val="none" w:sz="0" w:space="0" w:color="auto"/>
        <w:right w:val="none" w:sz="0" w:space="0" w:color="auto"/>
      </w:divBdr>
    </w:div>
    <w:div w:id="127431981">
      <w:bodyDiv w:val="1"/>
      <w:marLeft w:val="0"/>
      <w:marRight w:val="0"/>
      <w:marTop w:val="0"/>
      <w:marBottom w:val="0"/>
      <w:divBdr>
        <w:top w:val="none" w:sz="0" w:space="0" w:color="auto"/>
        <w:left w:val="none" w:sz="0" w:space="0" w:color="auto"/>
        <w:bottom w:val="none" w:sz="0" w:space="0" w:color="auto"/>
        <w:right w:val="none" w:sz="0" w:space="0" w:color="auto"/>
      </w:divBdr>
    </w:div>
    <w:div w:id="165949362">
      <w:bodyDiv w:val="1"/>
      <w:marLeft w:val="0"/>
      <w:marRight w:val="0"/>
      <w:marTop w:val="0"/>
      <w:marBottom w:val="0"/>
      <w:divBdr>
        <w:top w:val="none" w:sz="0" w:space="0" w:color="auto"/>
        <w:left w:val="none" w:sz="0" w:space="0" w:color="auto"/>
        <w:bottom w:val="none" w:sz="0" w:space="0" w:color="auto"/>
        <w:right w:val="none" w:sz="0" w:space="0" w:color="auto"/>
      </w:divBdr>
    </w:div>
    <w:div w:id="168717641">
      <w:bodyDiv w:val="1"/>
      <w:marLeft w:val="0"/>
      <w:marRight w:val="0"/>
      <w:marTop w:val="0"/>
      <w:marBottom w:val="0"/>
      <w:divBdr>
        <w:top w:val="none" w:sz="0" w:space="0" w:color="auto"/>
        <w:left w:val="none" w:sz="0" w:space="0" w:color="auto"/>
        <w:bottom w:val="none" w:sz="0" w:space="0" w:color="auto"/>
        <w:right w:val="none" w:sz="0" w:space="0" w:color="auto"/>
      </w:divBdr>
    </w:div>
    <w:div w:id="215548819">
      <w:bodyDiv w:val="1"/>
      <w:marLeft w:val="0"/>
      <w:marRight w:val="0"/>
      <w:marTop w:val="0"/>
      <w:marBottom w:val="0"/>
      <w:divBdr>
        <w:top w:val="none" w:sz="0" w:space="0" w:color="auto"/>
        <w:left w:val="none" w:sz="0" w:space="0" w:color="auto"/>
        <w:bottom w:val="none" w:sz="0" w:space="0" w:color="auto"/>
        <w:right w:val="none" w:sz="0" w:space="0" w:color="auto"/>
      </w:divBdr>
    </w:div>
    <w:div w:id="332950144">
      <w:bodyDiv w:val="1"/>
      <w:marLeft w:val="0"/>
      <w:marRight w:val="0"/>
      <w:marTop w:val="0"/>
      <w:marBottom w:val="0"/>
      <w:divBdr>
        <w:top w:val="none" w:sz="0" w:space="0" w:color="auto"/>
        <w:left w:val="none" w:sz="0" w:space="0" w:color="auto"/>
        <w:bottom w:val="none" w:sz="0" w:space="0" w:color="auto"/>
        <w:right w:val="none" w:sz="0" w:space="0" w:color="auto"/>
      </w:divBdr>
    </w:div>
    <w:div w:id="618151207">
      <w:bodyDiv w:val="1"/>
      <w:marLeft w:val="0"/>
      <w:marRight w:val="0"/>
      <w:marTop w:val="0"/>
      <w:marBottom w:val="0"/>
      <w:divBdr>
        <w:top w:val="none" w:sz="0" w:space="0" w:color="auto"/>
        <w:left w:val="none" w:sz="0" w:space="0" w:color="auto"/>
        <w:bottom w:val="none" w:sz="0" w:space="0" w:color="auto"/>
        <w:right w:val="none" w:sz="0" w:space="0" w:color="auto"/>
      </w:divBdr>
    </w:div>
    <w:div w:id="644821780">
      <w:bodyDiv w:val="1"/>
      <w:marLeft w:val="0"/>
      <w:marRight w:val="0"/>
      <w:marTop w:val="0"/>
      <w:marBottom w:val="0"/>
      <w:divBdr>
        <w:top w:val="none" w:sz="0" w:space="0" w:color="auto"/>
        <w:left w:val="none" w:sz="0" w:space="0" w:color="auto"/>
        <w:bottom w:val="none" w:sz="0" w:space="0" w:color="auto"/>
        <w:right w:val="none" w:sz="0" w:space="0" w:color="auto"/>
      </w:divBdr>
    </w:div>
    <w:div w:id="964234510">
      <w:bodyDiv w:val="1"/>
      <w:marLeft w:val="0"/>
      <w:marRight w:val="0"/>
      <w:marTop w:val="0"/>
      <w:marBottom w:val="0"/>
      <w:divBdr>
        <w:top w:val="none" w:sz="0" w:space="0" w:color="auto"/>
        <w:left w:val="none" w:sz="0" w:space="0" w:color="auto"/>
        <w:bottom w:val="none" w:sz="0" w:space="0" w:color="auto"/>
        <w:right w:val="none" w:sz="0" w:space="0" w:color="auto"/>
      </w:divBdr>
    </w:div>
    <w:div w:id="1126236931">
      <w:bodyDiv w:val="1"/>
      <w:marLeft w:val="0"/>
      <w:marRight w:val="0"/>
      <w:marTop w:val="0"/>
      <w:marBottom w:val="0"/>
      <w:divBdr>
        <w:top w:val="none" w:sz="0" w:space="0" w:color="auto"/>
        <w:left w:val="none" w:sz="0" w:space="0" w:color="auto"/>
        <w:bottom w:val="none" w:sz="0" w:space="0" w:color="auto"/>
        <w:right w:val="none" w:sz="0" w:space="0" w:color="auto"/>
      </w:divBdr>
    </w:div>
    <w:div w:id="1191650567">
      <w:bodyDiv w:val="1"/>
      <w:marLeft w:val="0"/>
      <w:marRight w:val="0"/>
      <w:marTop w:val="0"/>
      <w:marBottom w:val="0"/>
      <w:divBdr>
        <w:top w:val="none" w:sz="0" w:space="0" w:color="auto"/>
        <w:left w:val="none" w:sz="0" w:space="0" w:color="auto"/>
        <w:bottom w:val="none" w:sz="0" w:space="0" w:color="auto"/>
        <w:right w:val="none" w:sz="0" w:space="0" w:color="auto"/>
      </w:divBdr>
      <w:divsChild>
        <w:div w:id="1553419882">
          <w:marLeft w:val="0"/>
          <w:marRight w:val="0"/>
          <w:marTop w:val="0"/>
          <w:marBottom w:val="0"/>
          <w:divBdr>
            <w:top w:val="none" w:sz="0" w:space="0" w:color="auto"/>
            <w:left w:val="none" w:sz="0" w:space="0" w:color="auto"/>
            <w:bottom w:val="none" w:sz="0" w:space="0" w:color="auto"/>
            <w:right w:val="none" w:sz="0" w:space="0" w:color="auto"/>
          </w:divBdr>
          <w:divsChild>
            <w:div w:id="1374190453">
              <w:marLeft w:val="0"/>
              <w:marRight w:val="0"/>
              <w:marTop w:val="0"/>
              <w:marBottom w:val="0"/>
              <w:divBdr>
                <w:top w:val="none" w:sz="0" w:space="0" w:color="auto"/>
                <w:left w:val="none" w:sz="0" w:space="0" w:color="auto"/>
                <w:bottom w:val="none" w:sz="0" w:space="0" w:color="auto"/>
                <w:right w:val="none" w:sz="0" w:space="0" w:color="auto"/>
              </w:divBdr>
              <w:divsChild>
                <w:div w:id="783889380">
                  <w:marLeft w:val="0"/>
                  <w:marRight w:val="0"/>
                  <w:marTop w:val="0"/>
                  <w:marBottom w:val="0"/>
                  <w:divBdr>
                    <w:top w:val="none" w:sz="0" w:space="0" w:color="auto"/>
                    <w:left w:val="none" w:sz="0" w:space="0" w:color="auto"/>
                    <w:bottom w:val="none" w:sz="0" w:space="0" w:color="auto"/>
                    <w:right w:val="none" w:sz="0" w:space="0" w:color="auto"/>
                  </w:divBdr>
                  <w:divsChild>
                    <w:div w:id="1649244530">
                      <w:marLeft w:val="2325"/>
                      <w:marRight w:val="0"/>
                      <w:marTop w:val="0"/>
                      <w:marBottom w:val="0"/>
                      <w:divBdr>
                        <w:top w:val="none" w:sz="0" w:space="0" w:color="auto"/>
                        <w:left w:val="none" w:sz="0" w:space="0" w:color="auto"/>
                        <w:bottom w:val="none" w:sz="0" w:space="0" w:color="auto"/>
                        <w:right w:val="none" w:sz="0" w:space="0" w:color="auto"/>
                      </w:divBdr>
                      <w:divsChild>
                        <w:div w:id="762266047">
                          <w:marLeft w:val="0"/>
                          <w:marRight w:val="0"/>
                          <w:marTop w:val="0"/>
                          <w:marBottom w:val="0"/>
                          <w:divBdr>
                            <w:top w:val="none" w:sz="0" w:space="0" w:color="auto"/>
                            <w:left w:val="none" w:sz="0" w:space="0" w:color="auto"/>
                            <w:bottom w:val="none" w:sz="0" w:space="0" w:color="auto"/>
                            <w:right w:val="none" w:sz="0" w:space="0" w:color="auto"/>
                          </w:divBdr>
                          <w:divsChild>
                            <w:div w:id="82335217">
                              <w:marLeft w:val="0"/>
                              <w:marRight w:val="0"/>
                              <w:marTop w:val="0"/>
                              <w:marBottom w:val="0"/>
                              <w:divBdr>
                                <w:top w:val="none" w:sz="0" w:space="0" w:color="auto"/>
                                <w:left w:val="none" w:sz="0" w:space="0" w:color="auto"/>
                                <w:bottom w:val="none" w:sz="0" w:space="0" w:color="auto"/>
                                <w:right w:val="none" w:sz="0" w:space="0" w:color="auto"/>
                              </w:divBdr>
                              <w:divsChild>
                                <w:div w:id="1531525581">
                                  <w:marLeft w:val="0"/>
                                  <w:marRight w:val="0"/>
                                  <w:marTop w:val="0"/>
                                  <w:marBottom w:val="0"/>
                                  <w:divBdr>
                                    <w:top w:val="none" w:sz="0" w:space="0" w:color="auto"/>
                                    <w:left w:val="none" w:sz="0" w:space="0" w:color="auto"/>
                                    <w:bottom w:val="none" w:sz="0" w:space="0" w:color="auto"/>
                                    <w:right w:val="none" w:sz="0" w:space="0" w:color="auto"/>
                                  </w:divBdr>
                                  <w:divsChild>
                                    <w:div w:id="1400783248">
                                      <w:marLeft w:val="0"/>
                                      <w:marRight w:val="0"/>
                                      <w:marTop w:val="0"/>
                                      <w:marBottom w:val="0"/>
                                      <w:divBdr>
                                        <w:top w:val="none" w:sz="0" w:space="0" w:color="auto"/>
                                        <w:left w:val="none" w:sz="0" w:space="0" w:color="auto"/>
                                        <w:bottom w:val="none" w:sz="0" w:space="0" w:color="auto"/>
                                        <w:right w:val="none" w:sz="0" w:space="0" w:color="auto"/>
                                      </w:divBdr>
                                      <w:divsChild>
                                        <w:div w:id="1055085856">
                                          <w:marLeft w:val="0"/>
                                          <w:marRight w:val="0"/>
                                          <w:marTop w:val="0"/>
                                          <w:marBottom w:val="0"/>
                                          <w:divBdr>
                                            <w:top w:val="none" w:sz="0" w:space="0" w:color="auto"/>
                                            <w:left w:val="none" w:sz="0" w:space="0" w:color="auto"/>
                                            <w:bottom w:val="none" w:sz="0" w:space="0" w:color="auto"/>
                                            <w:right w:val="none" w:sz="0" w:space="0" w:color="auto"/>
                                          </w:divBdr>
                                          <w:divsChild>
                                            <w:div w:id="1943414054">
                                              <w:marLeft w:val="0"/>
                                              <w:marRight w:val="0"/>
                                              <w:marTop w:val="0"/>
                                              <w:marBottom w:val="0"/>
                                              <w:divBdr>
                                                <w:top w:val="none" w:sz="0" w:space="0" w:color="auto"/>
                                                <w:left w:val="none" w:sz="0" w:space="0" w:color="auto"/>
                                                <w:bottom w:val="none" w:sz="0" w:space="0" w:color="auto"/>
                                                <w:right w:val="none" w:sz="0" w:space="0" w:color="auto"/>
                                              </w:divBdr>
                                              <w:divsChild>
                                                <w:div w:id="2041853915">
                                                  <w:marLeft w:val="0"/>
                                                  <w:marRight w:val="0"/>
                                                  <w:marTop w:val="0"/>
                                                  <w:marBottom w:val="0"/>
                                                  <w:divBdr>
                                                    <w:top w:val="none" w:sz="0" w:space="0" w:color="auto"/>
                                                    <w:left w:val="none" w:sz="0" w:space="0" w:color="auto"/>
                                                    <w:bottom w:val="none" w:sz="0" w:space="0" w:color="auto"/>
                                                    <w:right w:val="none" w:sz="0" w:space="0" w:color="auto"/>
                                                  </w:divBdr>
                                                  <w:divsChild>
                                                    <w:div w:id="1441342853">
                                                      <w:marLeft w:val="0"/>
                                                      <w:marRight w:val="0"/>
                                                      <w:marTop w:val="0"/>
                                                      <w:marBottom w:val="0"/>
                                                      <w:divBdr>
                                                        <w:top w:val="none" w:sz="0" w:space="0" w:color="auto"/>
                                                        <w:left w:val="none" w:sz="0" w:space="0" w:color="auto"/>
                                                        <w:bottom w:val="none" w:sz="0" w:space="0" w:color="auto"/>
                                                        <w:right w:val="none" w:sz="0" w:space="0" w:color="auto"/>
                                                      </w:divBdr>
                                                      <w:divsChild>
                                                        <w:div w:id="1213008012">
                                                          <w:marLeft w:val="0"/>
                                                          <w:marRight w:val="0"/>
                                                          <w:marTop w:val="0"/>
                                                          <w:marBottom w:val="0"/>
                                                          <w:divBdr>
                                                            <w:top w:val="none" w:sz="0" w:space="0" w:color="auto"/>
                                                            <w:left w:val="none" w:sz="0" w:space="0" w:color="auto"/>
                                                            <w:bottom w:val="none" w:sz="0" w:space="0" w:color="auto"/>
                                                            <w:right w:val="none" w:sz="0" w:space="0" w:color="auto"/>
                                                          </w:divBdr>
                                                        </w:div>
                                                        <w:div w:id="1685206533">
                                                          <w:marLeft w:val="0"/>
                                                          <w:marRight w:val="0"/>
                                                          <w:marTop w:val="0"/>
                                                          <w:marBottom w:val="0"/>
                                                          <w:divBdr>
                                                            <w:top w:val="none" w:sz="0" w:space="0" w:color="auto"/>
                                                            <w:left w:val="none" w:sz="0" w:space="0" w:color="auto"/>
                                                            <w:bottom w:val="none" w:sz="0" w:space="0" w:color="auto"/>
                                                            <w:right w:val="none" w:sz="0" w:space="0" w:color="auto"/>
                                                          </w:divBdr>
                                                        </w:div>
                                                        <w:div w:id="2041782376">
                                                          <w:marLeft w:val="0"/>
                                                          <w:marRight w:val="0"/>
                                                          <w:marTop w:val="0"/>
                                                          <w:marBottom w:val="0"/>
                                                          <w:divBdr>
                                                            <w:top w:val="none" w:sz="0" w:space="0" w:color="auto"/>
                                                            <w:left w:val="none" w:sz="0" w:space="0" w:color="auto"/>
                                                            <w:bottom w:val="none" w:sz="0" w:space="0" w:color="auto"/>
                                                            <w:right w:val="none" w:sz="0" w:space="0" w:color="auto"/>
                                                          </w:divBdr>
                                                        </w:div>
                                                        <w:div w:id="1254171415">
                                                          <w:marLeft w:val="0"/>
                                                          <w:marRight w:val="0"/>
                                                          <w:marTop w:val="0"/>
                                                          <w:marBottom w:val="0"/>
                                                          <w:divBdr>
                                                            <w:top w:val="none" w:sz="0" w:space="0" w:color="auto"/>
                                                            <w:left w:val="none" w:sz="0" w:space="0" w:color="auto"/>
                                                            <w:bottom w:val="none" w:sz="0" w:space="0" w:color="auto"/>
                                                            <w:right w:val="none" w:sz="0" w:space="0" w:color="auto"/>
                                                          </w:divBdr>
                                                        </w:div>
                                                        <w:div w:id="1086803605">
                                                          <w:marLeft w:val="0"/>
                                                          <w:marRight w:val="0"/>
                                                          <w:marTop w:val="0"/>
                                                          <w:marBottom w:val="0"/>
                                                          <w:divBdr>
                                                            <w:top w:val="none" w:sz="0" w:space="0" w:color="auto"/>
                                                            <w:left w:val="none" w:sz="0" w:space="0" w:color="auto"/>
                                                            <w:bottom w:val="none" w:sz="0" w:space="0" w:color="auto"/>
                                                            <w:right w:val="none" w:sz="0" w:space="0" w:color="auto"/>
                                                          </w:divBdr>
                                                        </w:div>
                                                        <w:div w:id="1525552349">
                                                          <w:marLeft w:val="0"/>
                                                          <w:marRight w:val="0"/>
                                                          <w:marTop w:val="0"/>
                                                          <w:marBottom w:val="0"/>
                                                          <w:divBdr>
                                                            <w:top w:val="none" w:sz="0" w:space="0" w:color="auto"/>
                                                            <w:left w:val="none" w:sz="0" w:space="0" w:color="auto"/>
                                                            <w:bottom w:val="none" w:sz="0" w:space="0" w:color="auto"/>
                                                            <w:right w:val="none" w:sz="0" w:space="0" w:color="auto"/>
                                                          </w:divBdr>
                                                        </w:div>
                                                        <w:div w:id="1909921011">
                                                          <w:marLeft w:val="0"/>
                                                          <w:marRight w:val="0"/>
                                                          <w:marTop w:val="0"/>
                                                          <w:marBottom w:val="0"/>
                                                          <w:divBdr>
                                                            <w:top w:val="none" w:sz="0" w:space="0" w:color="auto"/>
                                                            <w:left w:val="none" w:sz="0" w:space="0" w:color="auto"/>
                                                            <w:bottom w:val="none" w:sz="0" w:space="0" w:color="auto"/>
                                                            <w:right w:val="none" w:sz="0" w:space="0" w:color="auto"/>
                                                          </w:divBdr>
                                                        </w:div>
                                                        <w:div w:id="806705373">
                                                          <w:marLeft w:val="0"/>
                                                          <w:marRight w:val="0"/>
                                                          <w:marTop w:val="0"/>
                                                          <w:marBottom w:val="0"/>
                                                          <w:divBdr>
                                                            <w:top w:val="none" w:sz="0" w:space="0" w:color="auto"/>
                                                            <w:left w:val="none" w:sz="0" w:space="0" w:color="auto"/>
                                                            <w:bottom w:val="none" w:sz="0" w:space="0" w:color="auto"/>
                                                            <w:right w:val="none" w:sz="0" w:space="0" w:color="auto"/>
                                                          </w:divBdr>
                                                        </w:div>
                                                        <w:div w:id="771514579">
                                                          <w:marLeft w:val="0"/>
                                                          <w:marRight w:val="0"/>
                                                          <w:marTop w:val="0"/>
                                                          <w:marBottom w:val="0"/>
                                                          <w:divBdr>
                                                            <w:top w:val="none" w:sz="0" w:space="0" w:color="auto"/>
                                                            <w:left w:val="none" w:sz="0" w:space="0" w:color="auto"/>
                                                            <w:bottom w:val="none" w:sz="0" w:space="0" w:color="auto"/>
                                                            <w:right w:val="none" w:sz="0" w:space="0" w:color="auto"/>
                                                          </w:divBdr>
                                                        </w:div>
                                                        <w:div w:id="6963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4446093">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496989507">
      <w:bodyDiv w:val="1"/>
      <w:marLeft w:val="0"/>
      <w:marRight w:val="0"/>
      <w:marTop w:val="0"/>
      <w:marBottom w:val="0"/>
      <w:divBdr>
        <w:top w:val="none" w:sz="0" w:space="0" w:color="auto"/>
        <w:left w:val="none" w:sz="0" w:space="0" w:color="auto"/>
        <w:bottom w:val="none" w:sz="0" w:space="0" w:color="auto"/>
        <w:right w:val="none" w:sz="0" w:space="0" w:color="auto"/>
      </w:divBdr>
    </w:div>
    <w:div w:id="1564681855">
      <w:bodyDiv w:val="1"/>
      <w:marLeft w:val="0"/>
      <w:marRight w:val="0"/>
      <w:marTop w:val="0"/>
      <w:marBottom w:val="0"/>
      <w:divBdr>
        <w:top w:val="none" w:sz="0" w:space="0" w:color="auto"/>
        <w:left w:val="none" w:sz="0" w:space="0" w:color="auto"/>
        <w:bottom w:val="none" w:sz="0" w:space="0" w:color="auto"/>
        <w:right w:val="none" w:sz="0" w:space="0" w:color="auto"/>
      </w:divBdr>
    </w:div>
    <w:div w:id="1651135204">
      <w:bodyDiv w:val="1"/>
      <w:marLeft w:val="0"/>
      <w:marRight w:val="0"/>
      <w:marTop w:val="0"/>
      <w:marBottom w:val="0"/>
      <w:divBdr>
        <w:top w:val="none" w:sz="0" w:space="0" w:color="auto"/>
        <w:left w:val="none" w:sz="0" w:space="0" w:color="auto"/>
        <w:bottom w:val="none" w:sz="0" w:space="0" w:color="auto"/>
        <w:right w:val="none" w:sz="0" w:space="0" w:color="auto"/>
      </w:divBdr>
    </w:div>
    <w:div w:id="1842743495">
      <w:bodyDiv w:val="1"/>
      <w:marLeft w:val="0"/>
      <w:marRight w:val="0"/>
      <w:marTop w:val="0"/>
      <w:marBottom w:val="0"/>
      <w:divBdr>
        <w:top w:val="none" w:sz="0" w:space="0" w:color="auto"/>
        <w:left w:val="none" w:sz="0" w:space="0" w:color="auto"/>
        <w:bottom w:val="none" w:sz="0" w:space="0" w:color="auto"/>
        <w:right w:val="none" w:sz="0" w:space="0" w:color="auto"/>
      </w:divBdr>
    </w:div>
    <w:div w:id="19050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e.mass.edu" TargetMode="External"/><Relationship Id="rId18" Type="http://schemas.openxmlformats.org/officeDocument/2006/relationships/hyperlink" Target="https://www2.ed.gov/programs/osepidea/618-data/static-tables/2015-2016/part-b/child-count-and-educational-environment/1516-bchildcountandedenvironment-7.xlsx" TargetMode="External"/><Relationship Id="rId26" Type="http://schemas.openxmlformats.org/officeDocument/2006/relationships/hyperlink" Target="http://www.doe.mass.edu/finance/circuitbreaker" TargetMode="External"/><Relationship Id="rId39" Type="http://schemas.openxmlformats.org/officeDocument/2006/relationships/footer" Target="footer1.xml"/><Relationship Id="rId21" Type="http://schemas.openxmlformats.org/officeDocument/2006/relationships/diagramLayout" Target="diagrams/layout1.xml"/><Relationship Id="rId34" Type="http://schemas.openxmlformats.org/officeDocument/2006/relationships/hyperlink" Target="http://moecnet.org/"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doe.mass.edu/boe/docs/fy2016/2016-03/item5.pdf" TargetMode="External"/><Relationship Id="rId20" Type="http://schemas.openxmlformats.org/officeDocument/2006/relationships/diagramData" Target="diagrams/data1.xml"/><Relationship Id="rId29" Type="http://schemas.openxmlformats.org/officeDocument/2006/relationships/hyperlink" Target="http://www.doe.mass.edu/seis/program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1.xml"/><Relationship Id="rId32" Type="http://schemas.openxmlformats.org/officeDocument/2006/relationships/hyperlink" Target="http://www.doe.mass.edu/pqa/review/cpr/reports/" TargetMode="External"/><Relationship Id="rId37" Type="http://schemas.openxmlformats.org/officeDocument/2006/relationships/hyperlink" Target="http://www.ed.gov/policy/rights/reg/ocr/edlite-34cfr104.html"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diagramColors" Target="diagrams/colors1.xml"/><Relationship Id="rId28" Type="http://schemas.openxmlformats.org/officeDocument/2006/relationships/hyperlink" Target="http://www.doe.mass.edu/leap/" TargetMode="External"/><Relationship Id="rId36" Type="http://schemas.openxmlformats.org/officeDocument/2006/relationships/hyperlink" Target="http://frwebgate.access.gpo.gov/cgi-bin/getdoc.cgi?dbname=108_cong_public_laws&amp;docid=f:publ446.108" TargetMode="External"/><Relationship Id="rId10" Type="http://schemas.openxmlformats.org/officeDocument/2006/relationships/footnotes" Target="footnotes.xml"/><Relationship Id="rId19" Type="http://schemas.openxmlformats.org/officeDocument/2006/relationships/hyperlink" Target="http://www.doe.mass.edu/finance/circuitbreaker" TargetMode="External"/><Relationship Id="rId31" Type="http://schemas.openxmlformats.org/officeDocument/2006/relationships/hyperlink" Target="http://www.doe.mass.edu/pqa/review/psr/reports/followup.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diagramQuickStyle" Target="diagrams/quickStyle1.xml"/><Relationship Id="rId27" Type="http://schemas.openxmlformats.org/officeDocument/2006/relationships/hyperlink" Target="http://www.doe.mass.edu/finance/circuitbreaker/fy17reimburse.xlsx" TargetMode="External"/><Relationship Id="rId30" Type="http://schemas.openxmlformats.org/officeDocument/2006/relationships/hyperlink" Target="http://www.doe.mass.edu/pqa/review/psr/reports/" TargetMode="External"/><Relationship Id="rId35" Type="http://schemas.openxmlformats.org/officeDocument/2006/relationships/hyperlink" Target="http://www.doe.mass.edu/finance/collaborative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2.ed.gov/programs/osepidea/618-data/static-tables/index.html" TargetMode="External"/><Relationship Id="rId25" Type="http://schemas.openxmlformats.org/officeDocument/2006/relationships/chart" Target="charts/chart1.xml"/><Relationship Id="rId33" Type="http://schemas.openxmlformats.org/officeDocument/2006/relationships/hyperlink" Target="http://www.doe.mass.edu/pqa/review/cpr/reports/followup.html" TargetMode="External"/><Relationship Id="rId38" Type="http://schemas.openxmlformats.org/officeDocument/2006/relationships/hyperlink" Target="mailto:rjohnston@doe.mass.ed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doe.mass.edu/lawsregs/603cmr18.html" TargetMode="External"/><Relationship Id="rId3" Type="http://schemas.openxmlformats.org/officeDocument/2006/relationships/hyperlink" Target="http://www.doe.mass.edu/sped/hehir/2012-04sped.pdf" TargetMode="External"/><Relationship Id="rId7" Type="http://schemas.openxmlformats.org/officeDocument/2006/relationships/hyperlink" Target="http://www.doe.mass.edu/lawsregs/603cmr28.html" TargetMode="External"/><Relationship Id="rId2" Type="http://schemas.openxmlformats.org/officeDocument/2006/relationships/hyperlink" Target="http://www.doe.mass.edu/sped/spp/maspp.html" TargetMode="External"/><Relationship Id="rId1" Type="http://schemas.openxmlformats.org/officeDocument/2006/relationships/hyperlink" Target="http://www.doe.mass.edu/sped/hehir/2012-04sped.pdf" TargetMode="External"/><Relationship Id="rId6" Type="http://schemas.openxmlformats.org/officeDocument/2006/relationships/hyperlink" Target="http://www.doe.mass.edu/candi/sel/" TargetMode="External"/><Relationship Id="rId5" Type="http://schemas.openxmlformats.org/officeDocument/2006/relationships/hyperlink" Target="http://www.doe.mass.edu/leap/trainers.html" TargetMode="External"/><Relationship Id="rId4" Type="http://schemas.openxmlformats.org/officeDocument/2006/relationships/hyperlink" Target="http://www.doe.mass.edu/lea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dLbls>
            <c:dLbl>
              <c:idx val="3"/>
              <c:layout>
                <c:manualLayout>
                  <c:x val="-1.0490890943369621E-2"/>
                  <c:y val="-4.03464809393059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5C-4D65-AFFE-2D0B1D55AB4A}"/>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Sheet1!$A$1:$A$9</c:f>
              <c:strCache>
                <c:ptCount val="9"/>
                <c:pt idx="0">
                  <c:v>FY7</c:v>
                </c:pt>
                <c:pt idx="1">
                  <c:v>FY8</c:v>
                </c:pt>
                <c:pt idx="2">
                  <c:v>FY9</c:v>
                </c:pt>
                <c:pt idx="3">
                  <c:v>FY10</c:v>
                </c:pt>
                <c:pt idx="4">
                  <c:v>FY11</c:v>
                </c:pt>
                <c:pt idx="5">
                  <c:v>FY12</c:v>
                </c:pt>
                <c:pt idx="6">
                  <c:v>FY13</c:v>
                </c:pt>
                <c:pt idx="7">
                  <c:v>FY14</c:v>
                </c:pt>
                <c:pt idx="8">
                  <c:v>FY15</c:v>
                </c:pt>
              </c:strCache>
            </c:strRef>
          </c:cat>
          <c:val>
            <c:numRef>
              <c:f>Sheet1!$B$1:$B$9</c:f>
              <c:numCache>
                <c:formatCode>0%</c:formatCode>
                <c:ptCount val="9"/>
                <c:pt idx="0">
                  <c:v>0.86000000000000165</c:v>
                </c:pt>
                <c:pt idx="1">
                  <c:v>0.9</c:v>
                </c:pt>
                <c:pt idx="2">
                  <c:v>0.87000000000000355</c:v>
                </c:pt>
                <c:pt idx="3">
                  <c:v>0.78</c:v>
                </c:pt>
                <c:pt idx="4">
                  <c:v>0.75000000000000355</c:v>
                </c:pt>
                <c:pt idx="5">
                  <c:v>0.81</c:v>
                </c:pt>
                <c:pt idx="6">
                  <c:v>0.82000000000000162</c:v>
                </c:pt>
                <c:pt idx="7">
                  <c:v>0.81</c:v>
                </c:pt>
                <c:pt idx="8">
                  <c:v>0.82000000000000162</c:v>
                </c:pt>
              </c:numCache>
            </c:numRef>
          </c:val>
          <c:smooth val="0"/>
          <c:extLst>
            <c:ext xmlns:c16="http://schemas.microsoft.com/office/drawing/2014/chart" uri="{C3380CC4-5D6E-409C-BE32-E72D297353CC}">
              <c16:uniqueId val="{00000001-0C5C-4D65-AFFE-2D0B1D55AB4A}"/>
            </c:ext>
          </c:extLst>
        </c:ser>
        <c:dLbls>
          <c:showLegendKey val="0"/>
          <c:showVal val="1"/>
          <c:showCatName val="0"/>
          <c:showSerName val="0"/>
          <c:showPercent val="0"/>
          <c:showBubbleSize val="0"/>
        </c:dLbls>
        <c:smooth val="0"/>
        <c:axId val="60057856"/>
        <c:axId val="60059648"/>
      </c:lineChart>
      <c:catAx>
        <c:axId val="60057856"/>
        <c:scaling>
          <c:orientation val="minMax"/>
        </c:scaling>
        <c:delete val="0"/>
        <c:axPos val="b"/>
        <c:numFmt formatCode="General" sourceLinked="0"/>
        <c:majorTickMark val="out"/>
        <c:minorTickMark val="none"/>
        <c:tickLblPos val="nextTo"/>
        <c:crossAx val="60059648"/>
        <c:crosses val="autoZero"/>
        <c:auto val="1"/>
        <c:lblAlgn val="ctr"/>
        <c:lblOffset val="100"/>
        <c:noMultiLvlLbl val="0"/>
      </c:catAx>
      <c:valAx>
        <c:axId val="60059648"/>
        <c:scaling>
          <c:orientation val="minMax"/>
          <c:max val="0.95000000000000162"/>
          <c:min val="0.70000000000000162"/>
        </c:scaling>
        <c:delete val="0"/>
        <c:axPos val="l"/>
        <c:majorGridlines/>
        <c:numFmt formatCode="0%" sourceLinked="1"/>
        <c:majorTickMark val="out"/>
        <c:minorTickMark val="none"/>
        <c:tickLblPos val="nextTo"/>
        <c:crossAx val="60057856"/>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96E738-6255-40B4-9560-63B7C79148CB}"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US"/>
        </a:p>
      </dgm:t>
    </dgm:pt>
    <dgm:pt modelId="{C225DE99-90EB-4FFE-8C72-8FB971C8CC69}">
      <dgm:prSet phldrT="[Text]"/>
      <dgm:spPr>
        <a:solidFill>
          <a:schemeClr val="bg1">
            <a:lumMod val="85000"/>
          </a:schemeClr>
        </a:solidFill>
      </dgm:spPr>
      <dgm:t>
        <a:bodyPr/>
        <a:lstStyle/>
        <a:p>
          <a:r>
            <a:rPr lang="en-US">
              <a:solidFill>
                <a:sysClr val="windowText" lastClr="000000"/>
              </a:solidFill>
              <a:latin typeface="+mn-lt"/>
            </a:rPr>
            <a:t>408 Districts in State</a:t>
          </a:r>
          <a:endParaRPr lang="en-US">
            <a:solidFill>
              <a:sysClr val="windowText" lastClr="000000"/>
            </a:solidFill>
          </a:endParaRPr>
        </a:p>
      </dgm:t>
    </dgm:pt>
    <dgm:pt modelId="{C04A0ED6-E3AE-4164-AB1C-D4F23E819934}" type="parTrans" cxnId="{62F7FF4F-6F82-43A4-BF9B-A0C6A1A4D3F3}">
      <dgm:prSet/>
      <dgm:spPr/>
      <dgm:t>
        <a:bodyPr/>
        <a:lstStyle/>
        <a:p>
          <a:endParaRPr lang="en-US">
            <a:solidFill>
              <a:sysClr val="windowText" lastClr="000000"/>
            </a:solidFill>
          </a:endParaRPr>
        </a:p>
      </dgm:t>
    </dgm:pt>
    <dgm:pt modelId="{8E2B68BE-4B8F-4C76-BE49-A4C34DE88660}" type="sibTrans" cxnId="{62F7FF4F-6F82-43A4-BF9B-A0C6A1A4D3F3}">
      <dgm:prSet/>
      <dgm:spPr/>
      <dgm:t>
        <a:bodyPr/>
        <a:lstStyle/>
        <a:p>
          <a:endParaRPr lang="en-US">
            <a:solidFill>
              <a:sysClr val="windowText" lastClr="000000"/>
            </a:solidFill>
          </a:endParaRPr>
        </a:p>
      </dgm:t>
    </dgm:pt>
    <dgm:pt modelId="{10F7EF5D-A9BB-4877-AB6B-33EB15CC4725}" type="asst">
      <dgm:prSet/>
      <dgm:spPr/>
      <dgm:t>
        <a:bodyPr/>
        <a:lstStyle/>
        <a:p>
          <a:r>
            <a:rPr lang="en-US">
              <a:solidFill>
                <a:sysClr val="windowText" lastClr="000000"/>
              </a:solidFill>
            </a:rPr>
            <a:t>75 Districts Did Not Participate (18.4%)</a:t>
          </a:r>
        </a:p>
      </dgm:t>
    </dgm:pt>
    <dgm:pt modelId="{603D0F55-E3CB-4CF3-B253-FE85B53A69E4}" type="parTrans" cxnId="{4C9F5794-F077-4610-8D30-5EE760753A65}">
      <dgm:prSet/>
      <dgm:spPr/>
      <dgm:t>
        <a:bodyPr/>
        <a:lstStyle/>
        <a:p>
          <a:endParaRPr lang="en-US">
            <a:solidFill>
              <a:sysClr val="windowText" lastClr="000000"/>
            </a:solidFill>
          </a:endParaRPr>
        </a:p>
      </dgm:t>
    </dgm:pt>
    <dgm:pt modelId="{FC33FE64-66BE-4B42-8815-051B104BC094}" type="sibTrans" cxnId="{4C9F5794-F077-4610-8D30-5EE760753A65}">
      <dgm:prSet/>
      <dgm:spPr/>
      <dgm:t>
        <a:bodyPr/>
        <a:lstStyle/>
        <a:p>
          <a:endParaRPr lang="en-US">
            <a:solidFill>
              <a:sysClr val="windowText" lastClr="000000"/>
            </a:solidFill>
          </a:endParaRPr>
        </a:p>
      </dgm:t>
    </dgm:pt>
    <dgm:pt modelId="{EF42854B-F976-4709-9817-D00648FA9A08}">
      <dgm:prSet/>
      <dgm:spPr>
        <a:solidFill>
          <a:schemeClr val="bg1">
            <a:lumMod val="85000"/>
          </a:schemeClr>
        </a:solidFill>
      </dgm:spPr>
      <dgm:t>
        <a:bodyPr/>
        <a:lstStyle/>
        <a:p>
          <a:r>
            <a:rPr lang="en-US">
              <a:solidFill>
                <a:sysClr val="windowText" lastClr="000000"/>
              </a:solidFill>
            </a:rPr>
            <a:t>296 Districts Received Revenue</a:t>
          </a:r>
        </a:p>
      </dgm:t>
    </dgm:pt>
    <dgm:pt modelId="{433F244A-BA52-4CBF-9CAC-273A0EFB1D10}" type="parTrans" cxnId="{3142B2D6-BF64-4AA8-9AC9-CCE4ABB0FA5A}">
      <dgm:prSet/>
      <dgm:spPr/>
      <dgm:t>
        <a:bodyPr/>
        <a:lstStyle/>
        <a:p>
          <a:endParaRPr lang="en-US">
            <a:solidFill>
              <a:sysClr val="windowText" lastClr="000000"/>
            </a:solidFill>
          </a:endParaRPr>
        </a:p>
      </dgm:t>
    </dgm:pt>
    <dgm:pt modelId="{15D32282-4644-4815-8CB5-163ADF8E9D4E}" type="sibTrans" cxnId="{3142B2D6-BF64-4AA8-9AC9-CCE4ABB0FA5A}">
      <dgm:prSet/>
      <dgm:spPr/>
      <dgm:t>
        <a:bodyPr/>
        <a:lstStyle/>
        <a:p>
          <a:endParaRPr lang="en-US">
            <a:solidFill>
              <a:sysClr val="windowText" lastClr="000000"/>
            </a:solidFill>
          </a:endParaRPr>
        </a:p>
      </dgm:t>
    </dgm:pt>
    <dgm:pt modelId="{4B4A28F4-B1F7-45D0-8C80-690FDC9A0175}">
      <dgm:prSet/>
      <dgm:spPr/>
      <dgm:t>
        <a:bodyPr/>
        <a:lstStyle/>
        <a:p>
          <a:r>
            <a:rPr lang="en-US">
              <a:solidFill>
                <a:sysClr val="windowText" lastClr="000000"/>
              </a:solidFill>
            </a:rPr>
            <a:t>37 Districts Received No Revenue</a:t>
          </a:r>
        </a:p>
      </dgm:t>
    </dgm:pt>
    <dgm:pt modelId="{DC60B17A-450F-4436-9A18-43E33C360404}" type="parTrans" cxnId="{FFE333D2-FB3C-475E-87CE-AD5DA183FFE9}">
      <dgm:prSet/>
      <dgm:spPr/>
      <dgm:t>
        <a:bodyPr/>
        <a:lstStyle/>
        <a:p>
          <a:endParaRPr lang="en-US">
            <a:solidFill>
              <a:sysClr val="windowText" lastClr="000000"/>
            </a:solidFill>
          </a:endParaRPr>
        </a:p>
      </dgm:t>
    </dgm:pt>
    <dgm:pt modelId="{DE1720F3-869D-4DAC-95F4-8CC033C2C254}" type="sibTrans" cxnId="{FFE333D2-FB3C-475E-87CE-AD5DA183FFE9}">
      <dgm:prSet/>
      <dgm:spPr/>
      <dgm:t>
        <a:bodyPr/>
        <a:lstStyle/>
        <a:p>
          <a:endParaRPr lang="en-US">
            <a:solidFill>
              <a:sysClr val="windowText" lastClr="000000"/>
            </a:solidFill>
          </a:endParaRPr>
        </a:p>
      </dgm:t>
    </dgm:pt>
    <dgm:pt modelId="{9C95855E-DB23-4744-B405-1CAB66C98170}">
      <dgm:prSet/>
      <dgm:spPr/>
      <dgm:t>
        <a:bodyPr/>
        <a:lstStyle/>
        <a:p>
          <a:r>
            <a:rPr lang="en-US">
              <a:solidFill>
                <a:sysClr val="windowText" lastClr="000000"/>
              </a:solidFill>
            </a:rPr>
            <a:t>76 Districts Received Some Revenue</a:t>
          </a:r>
        </a:p>
      </dgm:t>
    </dgm:pt>
    <dgm:pt modelId="{4B026543-B400-4EC6-8ECA-CEEC527B2926}" type="parTrans" cxnId="{A5A6EF4B-B85A-457E-9DE5-D5C3D3F3701A}">
      <dgm:prSet/>
      <dgm:spPr/>
      <dgm:t>
        <a:bodyPr/>
        <a:lstStyle/>
        <a:p>
          <a:endParaRPr lang="en-US">
            <a:solidFill>
              <a:sysClr val="windowText" lastClr="000000"/>
            </a:solidFill>
          </a:endParaRPr>
        </a:p>
      </dgm:t>
    </dgm:pt>
    <dgm:pt modelId="{5238523C-E6A8-4B1C-B462-2A8AE987A008}" type="sibTrans" cxnId="{A5A6EF4B-B85A-457E-9DE5-D5C3D3F3701A}">
      <dgm:prSet/>
      <dgm:spPr/>
      <dgm:t>
        <a:bodyPr/>
        <a:lstStyle/>
        <a:p>
          <a:endParaRPr lang="en-US">
            <a:solidFill>
              <a:sysClr val="windowText" lastClr="000000"/>
            </a:solidFill>
          </a:endParaRPr>
        </a:p>
      </dgm:t>
    </dgm:pt>
    <dgm:pt modelId="{9D2CD2A3-B8A0-47ED-A7E4-D19121BABA6F}">
      <dgm:prSet/>
      <dgm:spPr>
        <a:solidFill>
          <a:schemeClr val="bg1">
            <a:lumMod val="85000"/>
          </a:schemeClr>
        </a:solidFill>
      </dgm:spPr>
      <dgm:t>
        <a:bodyPr/>
        <a:lstStyle/>
        <a:p>
          <a:r>
            <a:rPr lang="en-US">
              <a:solidFill>
                <a:sysClr val="windowText" lastClr="000000"/>
              </a:solidFill>
            </a:rPr>
            <a:t>220 Districts Received 100% of Claims</a:t>
          </a:r>
        </a:p>
      </dgm:t>
    </dgm:pt>
    <dgm:pt modelId="{72750387-F266-46CC-81D1-4906173B8917}" type="parTrans" cxnId="{362EB4AA-E525-4E9D-8CAE-AF510705C294}">
      <dgm:prSet/>
      <dgm:spPr/>
      <dgm:t>
        <a:bodyPr/>
        <a:lstStyle/>
        <a:p>
          <a:endParaRPr lang="en-US">
            <a:solidFill>
              <a:sysClr val="windowText" lastClr="000000"/>
            </a:solidFill>
          </a:endParaRPr>
        </a:p>
      </dgm:t>
    </dgm:pt>
    <dgm:pt modelId="{196F379D-1C83-411C-A123-4FD0BBE20D32}" type="sibTrans" cxnId="{362EB4AA-E525-4E9D-8CAE-AF510705C294}">
      <dgm:prSet/>
      <dgm:spPr/>
      <dgm:t>
        <a:bodyPr/>
        <a:lstStyle/>
        <a:p>
          <a:endParaRPr lang="en-US">
            <a:solidFill>
              <a:sysClr val="windowText" lastClr="000000"/>
            </a:solidFill>
          </a:endParaRPr>
        </a:p>
      </dgm:t>
    </dgm:pt>
    <dgm:pt modelId="{E6949A7E-292C-424C-97A4-6EAF8A90370E}" type="asst">
      <dgm:prSet phldrT="[Text]"/>
      <dgm:spPr>
        <a:solidFill>
          <a:schemeClr val="bg1">
            <a:lumMod val="85000"/>
          </a:schemeClr>
        </a:solidFill>
      </dgm:spPr>
      <dgm:t>
        <a:bodyPr/>
        <a:lstStyle/>
        <a:p>
          <a:r>
            <a:rPr lang="en-US">
              <a:solidFill>
                <a:sysClr val="windowText" lastClr="000000"/>
              </a:solidFill>
            </a:rPr>
            <a:t>333 School Districts Participated (81.6%)</a:t>
          </a:r>
        </a:p>
      </dgm:t>
    </dgm:pt>
    <dgm:pt modelId="{9A2C3995-4530-454D-85ED-EE1B82CEE2CB}" type="sibTrans" cxnId="{D081E9EF-4BCA-4D4B-B3C1-2CAB6E241F05}">
      <dgm:prSet/>
      <dgm:spPr/>
      <dgm:t>
        <a:bodyPr/>
        <a:lstStyle/>
        <a:p>
          <a:endParaRPr lang="en-US">
            <a:solidFill>
              <a:sysClr val="windowText" lastClr="000000"/>
            </a:solidFill>
          </a:endParaRPr>
        </a:p>
      </dgm:t>
    </dgm:pt>
    <dgm:pt modelId="{DA0C8B97-5893-41C3-902C-8C9946324270}" type="parTrans" cxnId="{D081E9EF-4BCA-4D4B-B3C1-2CAB6E241F05}">
      <dgm:prSet/>
      <dgm:spPr/>
      <dgm:t>
        <a:bodyPr/>
        <a:lstStyle/>
        <a:p>
          <a:endParaRPr lang="en-US">
            <a:solidFill>
              <a:sysClr val="windowText" lastClr="000000"/>
            </a:solidFill>
          </a:endParaRPr>
        </a:p>
      </dgm:t>
    </dgm:pt>
    <dgm:pt modelId="{3F5174BC-5E2B-4F8C-BFBC-B46B1036F45F}" type="pres">
      <dgm:prSet presAssocID="{3796E738-6255-40B4-9560-63B7C79148CB}" presName="mainComposite" presStyleCnt="0">
        <dgm:presLayoutVars>
          <dgm:chPref val="1"/>
          <dgm:dir/>
          <dgm:animOne val="branch"/>
          <dgm:animLvl val="lvl"/>
          <dgm:resizeHandles val="exact"/>
        </dgm:presLayoutVars>
      </dgm:prSet>
      <dgm:spPr/>
      <dgm:t>
        <a:bodyPr/>
        <a:lstStyle/>
        <a:p>
          <a:endParaRPr lang="en-US"/>
        </a:p>
      </dgm:t>
    </dgm:pt>
    <dgm:pt modelId="{662D310E-C0DB-410B-AFF0-4E58239A5A94}" type="pres">
      <dgm:prSet presAssocID="{3796E738-6255-40B4-9560-63B7C79148CB}" presName="hierFlow" presStyleCnt="0"/>
      <dgm:spPr/>
      <dgm:t>
        <a:bodyPr/>
        <a:lstStyle/>
        <a:p>
          <a:endParaRPr lang="en-US"/>
        </a:p>
      </dgm:t>
    </dgm:pt>
    <dgm:pt modelId="{24255BDB-DD52-4BD1-A84B-606475587C91}" type="pres">
      <dgm:prSet presAssocID="{3796E738-6255-40B4-9560-63B7C79148CB}" presName="hierChild1" presStyleCnt="0">
        <dgm:presLayoutVars>
          <dgm:chPref val="1"/>
          <dgm:animOne val="branch"/>
          <dgm:animLvl val="lvl"/>
        </dgm:presLayoutVars>
      </dgm:prSet>
      <dgm:spPr/>
      <dgm:t>
        <a:bodyPr/>
        <a:lstStyle/>
        <a:p>
          <a:endParaRPr lang="en-US"/>
        </a:p>
      </dgm:t>
    </dgm:pt>
    <dgm:pt modelId="{51EA02DA-F502-4C70-B2BE-023268F40CB9}" type="pres">
      <dgm:prSet presAssocID="{C225DE99-90EB-4FFE-8C72-8FB971C8CC69}" presName="Name14" presStyleCnt="0"/>
      <dgm:spPr/>
      <dgm:t>
        <a:bodyPr/>
        <a:lstStyle/>
        <a:p>
          <a:endParaRPr lang="en-US"/>
        </a:p>
      </dgm:t>
    </dgm:pt>
    <dgm:pt modelId="{70038396-408A-4DF8-8B02-BE9BFF2D23F4}" type="pres">
      <dgm:prSet presAssocID="{C225DE99-90EB-4FFE-8C72-8FB971C8CC69}" presName="level1Shape" presStyleLbl="node0" presStyleIdx="0" presStyleCnt="1" custScaleX="75614" custScaleY="69352" custLinFactNeighborX="413" custLinFactNeighborY="619">
        <dgm:presLayoutVars>
          <dgm:chPref val="3"/>
        </dgm:presLayoutVars>
      </dgm:prSet>
      <dgm:spPr/>
      <dgm:t>
        <a:bodyPr/>
        <a:lstStyle/>
        <a:p>
          <a:endParaRPr lang="en-US"/>
        </a:p>
      </dgm:t>
    </dgm:pt>
    <dgm:pt modelId="{21AA2220-A2C6-4602-B178-AE16354A3A23}" type="pres">
      <dgm:prSet presAssocID="{C225DE99-90EB-4FFE-8C72-8FB971C8CC69}" presName="hierChild2" presStyleCnt="0"/>
      <dgm:spPr/>
      <dgm:t>
        <a:bodyPr/>
        <a:lstStyle/>
        <a:p>
          <a:endParaRPr lang="en-US"/>
        </a:p>
      </dgm:t>
    </dgm:pt>
    <dgm:pt modelId="{52D39BAA-D141-44A7-AFC8-78BDB6ED3419}" type="pres">
      <dgm:prSet presAssocID="{603D0F55-E3CB-4CF3-B253-FE85B53A69E4}" presName="Name19" presStyleLbl="parChTrans1D2" presStyleIdx="0" presStyleCnt="2"/>
      <dgm:spPr/>
      <dgm:t>
        <a:bodyPr/>
        <a:lstStyle/>
        <a:p>
          <a:endParaRPr lang="en-US"/>
        </a:p>
      </dgm:t>
    </dgm:pt>
    <dgm:pt modelId="{CCF66381-8169-4A9B-BD0D-5FEF9266C9C1}" type="pres">
      <dgm:prSet presAssocID="{10F7EF5D-A9BB-4877-AB6B-33EB15CC4725}" presName="Name21" presStyleCnt="0"/>
      <dgm:spPr/>
      <dgm:t>
        <a:bodyPr/>
        <a:lstStyle/>
        <a:p>
          <a:endParaRPr lang="en-US"/>
        </a:p>
      </dgm:t>
    </dgm:pt>
    <dgm:pt modelId="{4A141375-2D7A-4633-9345-E9DA980EABB6}" type="pres">
      <dgm:prSet presAssocID="{10F7EF5D-A9BB-4877-AB6B-33EB15CC4725}" presName="level2Shape" presStyleLbl="asst1" presStyleIdx="0" presStyleCnt="2" custScaleX="76858" custScaleY="60698"/>
      <dgm:spPr/>
      <dgm:t>
        <a:bodyPr/>
        <a:lstStyle/>
        <a:p>
          <a:endParaRPr lang="en-US"/>
        </a:p>
      </dgm:t>
    </dgm:pt>
    <dgm:pt modelId="{197600FB-F0A2-406B-BD10-21BCA55E3A49}" type="pres">
      <dgm:prSet presAssocID="{10F7EF5D-A9BB-4877-AB6B-33EB15CC4725}" presName="hierChild3" presStyleCnt="0"/>
      <dgm:spPr/>
      <dgm:t>
        <a:bodyPr/>
        <a:lstStyle/>
        <a:p>
          <a:endParaRPr lang="en-US"/>
        </a:p>
      </dgm:t>
    </dgm:pt>
    <dgm:pt modelId="{B9788B94-52F5-4F72-91DA-D970F80FC3D8}" type="pres">
      <dgm:prSet presAssocID="{DA0C8B97-5893-41C3-902C-8C9946324270}" presName="Name19" presStyleLbl="parChTrans1D2" presStyleIdx="1" presStyleCnt="2"/>
      <dgm:spPr/>
      <dgm:t>
        <a:bodyPr/>
        <a:lstStyle/>
        <a:p>
          <a:endParaRPr lang="en-US"/>
        </a:p>
      </dgm:t>
    </dgm:pt>
    <dgm:pt modelId="{8B0ED2AB-9C10-4459-8AAC-F7915A76C550}" type="pres">
      <dgm:prSet presAssocID="{E6949A7E-292C-424C-97A4-6EAF8A90370E}" presName="Name21" presStyleCnt="0"/>
      <dgm:spPr/>
      <dgm:t>
        <a:bodyPr/>
        <a:lstStyle/>
        <a:p>
          <a:endParaRPr lang="en-US"/>
        </a:p>
      </dgm:t>
    </dgm:pt>
    <dgm:pt modelId="{4EDDB55C-14EF-442C-916A-8A7FA2855BF6}" type="pres">
      <dgm:prSet presAssocID="{E6949A7E-292C-424C-97A4-6EAF8A90370E}" presName="level2Shape" presStyleLbl="asst1" presStyleIdx="1" presStyleCnt="2" custScaleX="73299" custScaleY="45561"/>
      <dgm:spPr/>
      <dgm:t>
        <a:bodyPr/>
        <a:lstStyle/>
        <a:p>
          <a:endParaRPr lang="en-US"/>
        </a:p>
      </dgm:t>
    </dgm:pt>
    <dgm:pt modelId="{115E9457-F9DB-4677-BB00-57F8FC79AE1D}" type="pres">
      <dgm:prSet presAssocID="{E6949A7E-292C-424C-97A4-6EAF8A90370E}" presName="hierChild3" presStyleCnt="0"/>
      <dgm:spPr/>
      <dgm:t>
        <a:bodyPr/>
        <a:lstStyle/>
        <a:p>
          <a:endParaRPr lang="en-US"/>
        </a:p>
      </dgm:t>
    </dgm:pt>
    <dgm:pt modelId="{EE043C36-BAE6-48C7-9138-AAC2DF2FB8F4}" type="pres">
      <dgm:prSet presAssocID="{DC60B17A-450F-4436-9A18-43E33C360404}" presName="Name19" presStyleLbl="parChTrans1D3" presStyleIdx="0" presStyleCnt="2"/>
      <dgm:spPr/>
      <dgm:t>
        <a:bodyPr/>
        <a:lstStyle/>
        <a:p>
          <a:endParaRPr lang="en-US"/>
        </a:p>
      </dgm:t>
    </dgm:pt>
    <dgm:pt modelId="{76E03503-C559-4336-B501-F55FADD6EAFF}" type="pres">
      <dgm:prSet presAssocID="{4B4A28F4-B1F7-45D0-8C80-690FDC9A0175}" presName="Name21" presStyleCnt="0"/>
      <dgm:spPr/>
      <dgm:t>
        <a:bodyPr/>
        <a:lstStyle/>
        <a:p>
          <a:endParaRPr lang="en-US"/>
        </a:p>
      </dgm:t>
    </dgm:pt>
    <dgm:pt modelId="{0CD3AECE-C54E-4E03-B53F-0911AA2B5721}" type="pres">
      <dgm:prSet presAssocID="{4B4A28F4-B1F7-45D0-8C80-690FDC9A0175}" presName="level2Shape" presStyleLbl="node3" presStyleIdx="0" presStyleCnt="2" custScaleX="76557" custScaleY="56687"/>
      <dgm:spPr/>
      <dgm:t>
        <a:bodyPr/>
        <a:lstStyle/>
        <a:p>
          <a:endParaRPr lang="en-US"/>
        </a:p>
      </dgm:t>
    </dgm:pt>
    <dgm:pt modelId="{46944CEC-C1BE-4001-B218-00ECBDF432CF}" type="pres">
      <dgm:prSet presAssocID="{4B4A28F4-B1F7-45D0-8C80-690FDC9A0175}" presName="hierChild3" presStyleCnt="0"/>
      <dgm:spPr/>
      <dgm:t>
        <a:bodyPr/>
        <a:lstStyle/>
        <a:p>
          <a:endParaRPr lang="en-US"/>
        </a:p>
      </dgm:t>
    </dgm:pt>
    <dgm:pt modelId="{4178954A-8392-4469-AABB-8DA71E3BC680}" type="pres">
      <dgm:prSet presAssocID="{433F244A-BA52-4CBF-9CAC-273A0EFB1D10}" presName="Name19" presStyleLbl="parChTrans1D3" presStyleIdx="1" presStyleCnt="2"/>
      <dgm:spPr/>
      <dgm:t>
        <a:bodyPr/>
        <a:lstStyle/>
        <a:p>
          <a:endParaRPr lang="en-US"/>
        </a:p>
      </dgm:t>
    </dgm:pt>
    <dgm:pt modelId="{E425BA47-5F74-4D0B-B307-37482305893E}" type="pres">
      <dgm:prSet presAssocID="{EF42854B-F976-4709-9817-D00648FA9A08}" presName="Name21" presStyleCnt="0"/>
      <dgm:spPr/>
      <dgm:t>
        <a:bodyPr/>
        <a:lstStyle/>
        <a:p>
          <a:endParaRPr lang="en-US"/>
        </a:p>
      </dgm:t>
    </dgm:pt>
    <dgm:pt modelId="{D6F7E802-A8AC-4161-A9B0-480C7D17E259}" type="pres">
      <dgm:prSet presAssocID="{EF42854B-F976-4709-9817-D00648FA9A08}" presName="level2Shape" presStyleLbl="node3" presStyleIdx="1" presStyleCnt="2" custScaleX="69188" custScaleY="65756" custLinFactNeighborY="16"/>
      <dgm:spPr/>
      <dgm:t>
        <a:bodyPr/>
        <a:lstStyle/>
        <a:p>
          <a:endParaRPr lang="en-US"/>
        </a:p>
      </dgm:t>
    </dgm:pt>
    <dgm:pt modelId="{38C4FD8E-2BFB-41DE-8B8E-CC9C74A80BFD}" type="pres">
      <dgm:prSet presAssocID="{EF42854B-F976-4709-9817-D00648FA9A08}" presName="hierChild3" presStyleCnt="0"/>
      <dgm:spPr/>
      <dgm:t>
        <a:bodyPr/>
        <a:lstStyle/>
        <a:p>
          <a:endParaRPr lang="en-US"/>
        </a:p>
      </dgm:t>
    </dgm:pt>
    <dgm:pt modelId="{7CFBD841-2B21-4E3A-A637-1725D78EF286}" type="pres">
      <dgm:prSet presAssocID="{4B026543-B400-4EC6-8ECA-CEEC527B2926}" presName="Name19" presStyleLbl="parChTrans1D4" presStyleIdx="0" presStyleCnt="2"/>
      <dgm:spPr/>
      <dgm:t>
        <a:bodyPr/>
        <a:lstStyle/>
        <a:p>
          <a:endParaRPr lang="en-US"/>
        </a:p>
      </dgm:t>
    </dgm:pt>
    <dgm:pt modelId="{EED28BAA-BE14-43C9-BBA6-901B9BF79271}" type="pres">
      <dgm:prSet presAssocID="{9C95855E-DB23-4744-B405-1CAB66C98170}" presName="Name21" presStyleCnt="0"/>
      <dgm:spPr/>
      <dgm:t>
        <a:bodyPr/>
        <a:lstStyle/>
        <a:p>
          <a:endParaRPr lang="en-US"/>
        </a:p>
      </dgm:t>
    </dgm:pt>
    <dgm:pt modelId="{CB44605C-EAB0-45B4-A876-6DB691F961C2}" type="pres">
      <dgm:prSet presAssocID="{9C95855E-DB23-4744-B405-1CAB66C98170}" presName="level2Shape" presStyleLbl="node4" presStyleIdx="0" presStyleCnt="2" custScaleX="83217" custScaleY="47361"/>
      <dgm:spPr/>
      <dgm:t>
        <a:bodyPr/>
        <a:lstStyle/>
        <a:p>
          <a:endParaRPr lang="en-US"/>
        </a:p>
      </dgm:t>
    </dgm:pt>
    <dgm:pt modelId="{BDB2AA4A-9112-452D-A31C-1BC5A0406395}" type="pres">
      <dgm:prSet presAssocID="{9C95855E-DB23-4744-B405-1CAB66C98170}" presName="hierChild3" presStyleCnt="0"/>
      <dgm:spPr/>
      <dgm:t>
        <a:bodyPr/>
        <a:lstStyle/>
        <a:p>
          <a:endParaRPr lang="en-US"/>
        </a:p>
      </dgm:t>
    </dgm:pt>
    <dgm:pt modelId="{FB89B606-A6E3-48FE-9C79-BBC8E76098C0}" type="pres">
      <dgm:prSet presAssocID="{72750387-F266-46CC-81D1-4906173B8917}" presName="Name19" presStyleLbl="parChTrans1D4" presStyleIdx="1" presStyleCnt="2"/>
      <dgm:spPr/>
      <dgm:t>
        <a:bodyPr/>
        <a:lstStyle/>
        <a:p>
          <a:endParaRPr lang="en-US"/>
        </a:p>
      </dgm:t>
    </dgm:pt>
    <dgm:pt modelId="{B797C848-1F0E-4BAA-9BC4-958406D1A4D7}" type="pres">
      <dgm:prSet presAssocID="{9D2CD2A3-B8A0-47ED-A7E4-D19121BABA6F}" presName="Name21" presStyleCnt="0"/>
      <dgm:spPr/>
      <dgm:t>
        <a:bodyPr/>
        <a:lstStyle/>
        <a:p>
          <a:endParaRPr lang="en-US"/>
        </a:p>
      </dgm:t>
    </dgm:pt>
    <dgm:pt modelId="{C1B3AC6D-2DBC-4E26-AE14-FD882358930B}" type="pres">
      <dgm:prSet presAssocID="{9D2CD2A3-B8A0-47ED-A7E4-D19121BABA6F}" presName="level2Shape" presStyleLbl="node4" presStyleIdx="1" presStyleCnt="2" custScaleX="88439" custScaleY="45537"/>
      <dgm:spPr/>
      <dgm:t>
        <a:bodyPr/>
        <a:lstStyle/>
        <a:p>
          <a:endParaRPr lang="en-US"/>
        </a:p>
      </dgm:t>
    </dgm:pt>
    <dgm:pt modelId="{9458E5F4-17B4-4054-BF46-98156F5E7400}" type="pres">
      <dgm:prSet presAssocID="{9D2CD2A3-B8A0-47ED-A7E4-D19121BABA6F}" presName="hierChild3" presStyleCnt="0"/>
      <dgm:spPr/>
      <dgm:t>
        <a:bodyPr/>
        <a:lstStyle/>
        <a:p>
          <a:endParaRPr lang="en-US"/>
        </a:p>
      </dgm:t>
    </dgm:pt>
    <dgm:pt modelId="{BB9B9C71-73EA-46FB-B4D2-D6787C415CC4}" type="pres">
      <dgm:prSet presAssocID="{3796E738-6255-40B4-9560-63B7C79148CB}" presName="bgShapesFlow" presStyleCnt="0"/>
      <dgm:spPr/>
      <dgm:t>
        <a:bodyPr/>
        <a:lstStyle/>
        <a:p>
          <a:endParaRPr lang="en-US"/>
        </a:p>
      </dgm:t>
    </dgm:pt>
  </dgm:ptLst>
  <dgm:cxnLst>
    <dgm:cxn modelId="{302A1BF6-15F8-43AF-A0F1-9C19F03590BB}" type="presOf" srcId="{433F244A-BA52-4CBF-9CAC-273A0EFB1D10}" destId="{4178954A-8392-4469-AABB-8DA71E3BC680}" srcOrd="0" destOrd="0" presId="urn:microsoft.com/office/officeart/2005/8/layout/hierarchy6"/>
    <dgm:cxn modelId="{FFE333D2-FB3C-475E-87CE-AD5DA183FFE9}" srcId="{E6949A7E-292C-424C-97A4-6EAF8A90370E}" destId="{4B4A28F4-B1F7-45D0-8C80-690FDC9A0175}" srcOrd="0" destOrd="0" parTransId="{DC60B17A-450F-4436-9A18-43E33C360404}" sibTransId="{DE1720F3-869D-4DAC-95F4-8CC033C2C254}"/>
    <dgm:cxn modelId="{362EB4AA-E525-4E9D-8CAE-AF510705C294}" srcId="{EF42854B-F976-4709-9817-D00648FA9A08}" destId="{9D2CD2A3-B8A0-47ED-A7E4-D19121BABA6F}" srcOrd="1" destOrd="0" parTransId="{72750387-F266-46CC-81D1-4906173B8917}" sibTransId="{196F379D-1C83-411C-A123-4FD0BBE20D32}"/>
    <dgm:cxn modelId="{162C7315-7ACC-498F-B5FC-6D524BD7E6C9}" type="presOf" srcId="{3796E738-6255-40B4-9560-63B7C79148CB}" destId="{3F5174BC-5E2B-4F8C-BFBC-B46B1036F45F}" srcOrd="0" destOrd="0" presId="urn:microsoft.com/office/officeart/2005/8/layout/hierarchy6"/>
    <dgm:cxn modelId="{B9B28932-4CB4-415E-AD71-AE2E65741A65}" type="presOf" srcId="{E6949A7E-292C-424C-97A4-6EAF8A90370E}" destId="{4EDDB55C-14EF-442C-916A-8A7FA2855BF6}" srcOrd="0" destOrd="0" presId="urn:microsoft.com/office/officeart/2005/8/layout/hierarchy6"/>
    <dgm:cxn modelId="{0DBD56FB-031E-4F03-A187-13DBDA52CFD4}" type="presOf" srcId="{C225DE99-90EB-4FFE-8C72-8FB971C8CC69}" destId="{70038396-408A-4DF8-8B02-BE9BFF2D23F4}" srcOrd="0" destOrd="0" presId="urn:microsoft.com/office/officeart/2005/8/layout/hierarchy6"/>
    <dgm:cxn modelId="{7C5281C8-2FAA-49DC-BE90-FBDD042A64DF}" type="presOf" srcId="{9C95855E-DB23-4744-B405-1CAB66C98170}" destId="{CB44605C-EAB0-45B4-A876-6DB691F961C2}" srcOrd="0" destOrd="0" presId="urn:microsoft.com/office/officeart/2005/8/layout/hierarchy6"/>
    <dgm:cxn modelId="{6D261B30-87B6-4D67-A02F-A13E3B2B37F3}" type="presOf" srcId="{EF42854B-F976-4709-9817-D00648FA9A08}" destId="{D6F7E802-A8AC-4161-A9B0-480C7D17E259}" srcOrd="0" destOrd="0" presId="urn:microsoft.com/office/officeart/2005/8/layout/hierarchy6"/>
    <dgm:cxn modelId="{3142B2D6-BF64-4AA8-9AC9-CCE4ABB0FA5A}" srcId="{E6949A7E-292C-424C-97A4-6EAF8A90370E}" destId="{EF42854B-F976-4709-9817-D00648FA9A08}" srcOrd="1" destOrd="0" parTransId="{433F244A-BA52-4CBF-9CAC-273A0EFB1D10}" sibTransId="{15D32282-4644-4815-8CB5-163ADF8E9D4E}"/>
    <dgm:cxn modelId="{2DC43A47-A17F-4EB6-A6EC-455C1DDAC09C}" type="presOf" srcId="{DC60B17A-450F-4436-9A18-43E33C360404}" destId="{EE043C36-BAE6-48C7-9138-AAC2DF2FB8F4}" srcOrd="0" destOrd="0" presId="urn:microsoft.com/office/officeart/2005/8/layout/hierarchy6"/>
    <dgm:cxn modelId="{D5361DC8-6E76-45BD-884B-F4A931732936}" type="presOf" srcId="{4B4A28F4-B1F7-45D0-8C80-690FDC9A0175}" destId="{0CD3AECE-C54E-4E03-B53F-0911AA2B5721}" srcOrd="0" destOrd="0" presId="urn:microsoft.com/office/officeart/2005/8/layout/hierarchy6"/>
    <dgm:cxn modelId="{C824DC2C-09F9-4759-AD81-1BF24F512481}" type="presOf" srcId="{603D0F55-E3CB-4CF3-B253-FE85B53A69E4}" destId="{52D39BAA-D141-44A7-AFC8-78BDB6ED3419}" srcOrd="0" destOrd="0" presId="urn:microsoft.com/office/officeart/2005/8/layout/hierarchy6"/>
    <dgm:cxn modelId="{62F7FF4F-6F82-43A4-BF9B-A0C6A1A4D3F3}" srcId="{3796E738-6255-40B4-9560-63B7C79148CB}" destId="{C225DE99-90EB-4FFE-8C72-8FB971C8CC69}" srcOrd="0" destOrd="0" parTransId="{C04A0ED6-E3AE-4164-AB1C-D4F23E819934}" sibTransId="{8E2B68BE-4B8F-4C76-BE49-A4C34DE88660}"/>
    <dgm:cxn modelId="{D081E9EF-4BCA-4D4B-B3C1-2CAB6E241F05}" srcId="{C225DE99-90EB-4FFE-8C72-8FB971C8CC69}" destId="{E6949A7E-292C-424C-97A4-6EAF8A90370E}" srcOrd="1" destOrd="0" parTransId="{DA0C8B97-5893-41C3-902C-8C9946324270}" sibTransId="{9A2C3995-4530-454D-85ED-EE1B82CEE2CB}"/>
    <dgm:cxn modelId="{A1DBFE1E-731C-42BB-8925-17E98F7A6321}" type="presOf" srcId="{10F7EF5D-A9BB-4877-AB6B-33EB15CC4725}" destId="{4A141375-2D7A-4633-9345-E9DA980EABB6}" srcOrd="0" destOrd="0" presId="urn:microsoft.com/office/officeart/2005/8/layout/hierarchy6"/>
    <dgm:cxn modelId="{A5A6EF4B-B85A-457E-9DE5-D5C3D3F3701A}" srcId="{EF42854B-F976-4709-9817-D00648FA9A08}" destId="{9C95855E-DB23-4744-B405-1CAB66C98170}" srcOrd="0" destOrd="0" parTransId="{4B026543-B400-4EC6-8ECA-CEEC527B2926}" sibTransId="{5238523C-E6A8-4B1C-B462-2A8AE987A008}"/>
    <dgm:cxn modelId="{CE7062E5-D44C-4069-A13F-7B136C48E8DA}" type="presOf" srcId="{9D2CD2A3-B8A0-47ED-A7E4-D19121BABA6F}" destId="{C1B3AC6D-2DBC-4E26-AE14-FD882358930B}" srcOrd="0" destOrd="0" presId="urn:microsoft.com/office/officeart/2005/8/layout/hierarchy6"/>
    <dgm:cxn modelId="{CFB6B162-9523-4D0A-9CBF-30DEFE9CA708}" type="presOf" srcId="{DA0C8B97-5893-41C3-902C-8C9946324270}" destId="{B9788B94-52F5-4F72-91DA-D970F80FC3D8}" srcOrd="0" destOrd="0" presId="urn:microsoft.com/office/officeart/2005/8/layout/hierarchy6"/>
    <dgm:cxn modelId="{94EB1DAF-EEAD-4A63-9B3F-792B52BDBA58}" type="presOf" srcId="{4B026543-B400-4EC6-8ECA-CEEC527B2926}" destId="{7CFBD841-2B21-4E3A-A637-1725D78EF286}" srcOrd="0" destOrd="0" presId="urn:microsoft.com/office/officeart/2005/8/layout/hierarchy6"/>
    <dgm:cxn modelId="{4C9F5794-F077-4610-8D30-5EE760753A65}" srcId="{C225DE99-90EB-4FFE-8C72-8FB971C8CC69}" destId="{10F7EF5D-A9BB-4877-AB6B-33EB15CC4725}" srcOrd="0" destOrd="0" parTransId="{603D0F55-E3CB-4CF3-B253-FE85B53A69E4}" sibTransId="{FC33FE64-66BE-4B42-8815-051B104BC094}"/>
    <dgm:cxn modelId="{EB26E6D2-EE40-4706-96D9-957DCAB0245A}" type="presOf" srcId="{72750387-F266-46CC-81D1-4906173B8917}" destId="{FB89B606-A6E3-48FE-9C79-BBC8E76098C0}" srcOrd="0" destOrd="0" presId="urn:microsoft.com/office/officeart/2005/8/layout/hierarchy6"/>
    <dgm:cxn modelId="{9BD89B32-FEFB-4E51-82FD-4ADEBE85655C}" type="presParOf" srcId="{3F5174BC-5E2B-4F8C-BFBC-B46B1036F45F}" destId="{662D310E-C0DB-410B-AFF0-4E58239A5A94}" srcOrd="0" destOrd="0" presId="urn:microsoft.com/office/officeart/2005/8/layout/hierarchy6"/>
    <dgm:cxn modelId="{D594CBF0-5518-4FB2-A828-E844737C4BAB}" type="presParOf" srcId="{662D310E-C0DB-410B-AFF0-4E58239A5A94}" destId="{24255BDB-DD52-4BD1-A84B-606475587C91}" srcOrd="0" destOrd="0" presId="urn:microsoft.com/office/officeart/2005/8/layout/hierarchy6"/>
    <dgm:cxn modelId="{73B5367B-3927-42E1-B3A5-83B96EE3943E}" type="presParOf" srcId="{24255BDB-DD52-4BD1-A84B-606475587C91}" destId="{51EA02DA-F502-4C70-B2BE-023268F40CB9}" srcOrd="0" destOrd="0" presId="urn:microsoft.com/office/officeart/2005/8/layout/hierarchy6"/>
    <dgm:cxn modelId="{2AA92968-9E9A-4A96-A4B4-58E67EA63967}" type="presParOf" srcId="{51EA02DA-F502-4C70-B2BE-023268F40CB9}" destId="{70038396-408A-4DF8-8B02-BE9BFF2D23F4}" srcOrd="0" destOrd="0" presId="urn:microsoft.com/office/officeart/2005/8/layout/hierarchy6"/>
    <dgm:cxn modelId="{C4D5164B-7CA5-4A64-AEBC-6F3BD638228D}" type="presParOf" srcId="{51EA02DA-F502-4C70-B2BE-023268F40CB9}" destId="{21AA2220-A2C6-4602-B178-AE16354A3A23}" srcOrd="1" destOrd="0" presId="urn:microsoft.com/office/officeart/2005/8/layout/hierarchy6"/>
    <dgm:cxn modelId="{7624F23E-0127-4769-BC37-663FFB9B58BF}" type="presParOf" srcId="{21AA2220-A2C6-4602-B178-AE16354A3A23}" destId="{52D39BAA-D141-44A7-AFC8-78BDB6ED3419}" srcOrd="0" destOrd="0" presId="urn:microsoft.com/office/officeart/2005/8/layout/hierarchy6"/>
    <dgm:cxn modelId="{DE726C12-71D9-445A-8E19-7E75F3E4FF06}" type="presParOf" srcId="{21AA2220-A2C6-4602-B178-AE16354A3A23}" destId="{CCF66381-8169-4A9B-BD0D-5FEF9266C9C1}" srcOrd="1" destOrd="0" presId="urn:microsoft.com/office/officeart/2005/8/layout/hierarchy6"/>
    <dgm:cxn modelId="{DF6FF376-EAFF-43FB-8897-D8A99F1971FC}" type="presParOf" srcId="{CCF66381-8169-4A9B-BD0D-5FEF9266C9C1}" destId="{4A141375-2D7A-4633-9345-E9DA980EABB6}" srcOrd="0" destOrd="0" presId="urn:microsoft.com/office/officeart/2005/8/layout/hierarchy6"/>
    <dgm:cxn modelId="{A72752AA-8673-43B5-9467-CE8C84A984E9}" type="presParOf" srcId="{CCF66381-8169-4A9B-BD0D-5FEF9266C9C1}" destId="{197600FB-F0A2-406B-BD10-21BCA55E3A49}" srcOrd="1" destOrd="0" presId="urn:microsoft.com/office/officeart/2005/8/layout/hierarchy6"/>
    <dgm:cxn modelId="{6D5A4607-F131-44FE-9C21-0C341D5445EA}" type="presParOf" srcId="{21AA2220-A2C6-4602-B178-AE16354A3A23}" destId="{B9788B94-52F5-4F72-91DA-D970F80FC3D8}" srcOrd="2" destOrd="0" presId="urn:microsoft.com/office/officeart/2005/8/layout/hierarchy6"/>
    <dgm:cxn modelId="{28506888-0113-43B8-B2C1-47AC45130724}" type="presParOf" srcId="{21AA2220-A2C6-4602-B178-AE16354A3A23}" destId="{8B0ED2AB-9C10-4459-8AAC-F7915A76C550}" srcOrd="3" destOrd="0" presId="urn:microsoft.com/office/officeart/2005/8/layout/hierarchy6"/>
    <dgm:cxn modelId="{A4E12C78-D462-4B56-B0B1-C694908A3360}" type="presParOf" srcId="{8B0ED2AB-9C10-4459-8AAC-F7915A76C550}" destId="{4EDDB55C-14EF-442C-916A-8A7FA2855BF6}" srcOrd="0" destOrd="0" presId="urn:microsoft.com/office/officeart/2005/8/layout/hierarchy6"/>
    <dgm:cxn modelId="{E71A2F7B-A3A0-4963-AE44-704CDD9EB526}" type="presParOf" srcId="{8B0ED2AB-9C10-4459-8AAC-F7915A76C550}" destId="{115E9457-F9DB-4677-BB00-57F8FC79AE1D}" srcOrd="1" destOrd="0" presId="urn:microsoft.com/office/officeart/2005/8/layout/hierarchy6"/>
    <dgm:cxn modelId="{385762D2-D610-47F0-A5AC-D7DBC69603C8}" type="presParOf" srcId="{115E9457-F9DB-4677-BB00-57F8FC79AE1D}" destId="{EE043C36-BAE6-48C7-9138-AAC2DF2FB8F4}" srcOrd="0" destOrd="0" presId="urn:microsoft.com/office/officeart/2005/8/layout/hierarchy6"/>
    <dgm:cxn modelId="{0E6DF64D-3486-41BD-98A3-3DB6ECAB86A0}" type="presParOf" srcId="{115E9457-F9DB-4677-BB00-57F8FC79AE1D}" destId="{76E03503-C559-4336-B501-F55FADD6EAFF}" srcOrd="1" destOrd="0" presId="urn:microsoft.com/office/officeart/2005/8/layout/hierarchy6"/>
    <dgm:cxn modelId="{96749666-3F98-4875-986D-FC2C42A97FFB}" type="presParOf" srcId="{76E03503-C559-4336-B501-F55FADD6EAFF}" destId="{0CD3AECE-C54E-4E03-B53F-0911AA2B5721}" srcOrd="0" destOrd="0" presId="urn:microsoft.com/office/officeart/2005/8/layout/hierarchy6"/>
    <dgm:cxn modelId="{39373368-19A9-4E80-987D-AAF3C1EC33FA}" type="presParOf" srcId="{76E03503-C559-4336-B501-F55FADD6EAFF}" destId="{46944CEC-C1BE-4001-B218-00ECBDF432CF}" srcOrd="1" destOrd="0" presId="urn:microsoft.com/office/officeart/2005/8/layout/hierarchy6"/>
    <dgm:cxn modelId="{D98E8ACD-2237-4450-AB36-A734DA637F94}" type="presParOf" srcId="{115E9457-F9DB-4677-BB00-57F8FC79AE1D}" destId="{4178954A-8392-4469-AABB-8DA71E3BC680}" srcOrd="2" destOrd="0" presId="urn:microsoft.com/office/officeart/2005/8/layout/hierarchy6"/>
    <dgm:cxn modelId="{16DCD196-21F5-4B91-B521-C71425770A29}" type="presParOf" srcId="{115E9457-F9DB-4677-BB00-57F8FC79AE1D}" destId="{E425BA47-5F74-4D0B-B307-37482305893E}" srcOrd="3" destOrd="0" presId="urn:microsoft.com/office/officeart/2005/8/layout/hierarchy6"/>
    <dgm:cxn modelId="{5ED40753-D1AB-498C-9436-6436DC9B3687}" type="presParOf" srcId="{E425BA47-5F74-4D0B-B307-37482305893E}" destId="{D6F7E802-A8AC-4161-A9B0-480C7D17E259}" srcOrd="0" destOrd="0" presId="urn:microsoft.com/office/officeart/2005/8/layout/hierarchy6"/>
    <dgm:cxn modelId="{ACCE3240-34D6-4EA1-AAA2-4E5D55B3CF02}" type="presParOf" srcId="{E425BA47-5F74-4D0B-B307-37482305893E}" destId="{38C4FD8E-2BFB-41DE-8B8E-CC9C74A80BFD}" srcOrd="1" destOrd="0" presId="urn:microsoft.com/office/officeart/2005/8/layout/hierarchy6"/>
    <dgm:cxn modelId="{41325D83-1F25-4840-8F7A-8A5189B026BD}" type="presParOf" srcId="{38C4FD8E-2BFB-41DE-8B8E-CC9C74A80BFD}" destId="{7CFBD841-2B21-4E3A-A637-1725D78EF286}" srcOrd="0" destOrd="0" presId="urn:microsoft.com/office/officeart/2005/8/layout/hierarchy6"/>
    <dgm:cxn modelId="{E82A086C-D8E7-4E23-B275-602A1D7AC1AE}" type="presParOf" srcId="{38C4FD8E-2BFB-41DE-8B8E-CC9C74A80BFD}" destId="{EED28BAA-BE14-43C9-BBA6-901B9BF79271}" srcOrd="1" destOrd="0" presId="urn:microsoft.com/office/officeart/2005/8/layout/hierarchy6"/>
    <dgm:cxn modelId="{B90F1A57-EDB1-4D94-BC73-FA19EE539EC1}" type="presParOf" srcId="{EED28BAA-BE14-43C9-BBA6-901B9BF79271}" destId="{CB44605C-EAB0-45B4-A876-6DB691F961C2}" srcOrd="0" destOrd="0" presId="urn:microsoft.com/office/officeart/2005/8/layout/hierarchy6"/>
    <dgm:cxn modelId="{19FC1FEE-56EC-47F3-9939-31F0CCC45D68}" type="presParOf" srcId="{EED28BAA-BE14-43C9-BBA6-901B9BF79271}" destId="{BDB2AA4A-9112-452D-A31C-1BC5A0406395}" srcOrd="1" destOrd="0" presId="urn:microsoft.com/office/officeart/2005/8/layout/hierarchy6"/>
    <dgm:cxn modelId="{A716E980-D44D-4DFC-9BF1-21731C1D9C52}" type="presParOf" srcId="{38C4FD8E-2BFB-41DE-8B8E-CC9C74A80BFD}" destId="{FB89B606-A6E3-48FE-9C79-BBC8E76098C0}" srcOrd="2" destOrd="0" presId="urn:microsoft.com/office/officeart/2005/8/layout/hierarchy6"/>
    <dgm:cxn modelId="{66CB7EF0-ECB9-4C70-9C2B-D975FD1787B3}" type="presParOf" srcId="{38C4FD8E-2BFB-41DE-8B8E-CC9C74A80BFD}" destId="{B797C848-1F0E-4BAA-9BC4-958406D1A4D7}" srcOrd="3" destOrd="0" presId="urn:microsoft.com/office/officeart/2005/8/layout/hierarchy6"/>
    <dgm:cxn modelId="{A42E9AF8-7440-435B-A754-8E7CCA0004EC}" type="presParOf" srcId="{B797C848-1F0E-4BAA-9BC4-958406D1A4D7}" destId="{C1B3AC6D-2DBC-4E26-AE14-FD882358930B}" srcOrd="0" destOrd="0" presId="urn:microsoft.com/office/officeart/2005/8/layout/hierarchy6"/>
    <dgm:cxn modelId="{8ACD5497-6AA1-405A-9205-4D4AA4AFFF85}" type="presParOf" srcId="{B797C848-1F0E-4BAA-9BC4-958406D1A4D7}" destId="{9458E5F4-17B4-4054-BF46-98156F5E7400}" srcOrd="1" destOrd="0" presId="urn:microsoft.com/office/officeart/2005/8/layout/hierarchy6"/>
    <dgm:cxn modelId="{D975C27D-0669-4FCC-8441-AB1A03C7A136}" type="presParOf" srcId="{3F5174BC-5E2B-4F8C-BFBC-B46B1036F45F}" destId="{BB9B9C71-73EA-46FB-B4D2-D6787C415CC4}" srcOrd="1" destOrd="0" presId="urn:microsoft.com/office/officeart/2005/8/layout/hierarchy6"/>
  </dgm:cxnLst>
  <dgm:bg>
    <a:noFill/>
  </dgm:bg>
  <dgm:whole>
    <a:ln>
      <a:noFill/>
    </a:ln>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038396-408A-4DF8-8B02-BE9BFF2D23F4}">
      <dsp:nvSpPr>
        <dsp:cNvPr id="0" name=""/>
        <dsp:cNvSpPr/>
      </dsp:nvSpPr>
      <dsp:spPr>
        <a:xfrm>
          <a:off x="1584820" y="198190"/>
          <a:ext cx="1091056" cy="667133"/>
        </a:xfrm>
        <a:prstGeom prst="roundRect">
          <a:avLst>
            <a:gd name="adj" fmla="val 10000"/>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mn-lt"/>
            </a:rPr>
            <a:t>408 Districts in State</a:t>
          </a:r>
          <a:endParaRPr lang="en-US" sz="900" kern="1200">
            <a:solidFill>
              <a:sysClr val="windowText" lastClr="000000"/>
            </a:solidFill>
          </a:endParaRPr>
        </a:p>
      </dsp:txBody>
      <dsp:txXfrm>
        <a:off x="1604360" y="217730"/>
        <a:ext cx="1051976" cy="628053"/>
      </dsp:txXfrm>
    </dsp:sp>
    <dsp:sp modelId="{52D39BAA-D141-44A7-AFC8-78BDB6ED3419}">
      <dsp:nvSpPr>
        <dsp:cNvPr id="0" name=""/>
        <dsp:cNvSpPr/>
      </dsp:nvSpPr>
      <dsp:spPr>
        <a:xfrm>
          <a:off x="1379123" y="865323"/>
          <a:ext cx="751224" cy="378826"/>
        </a:xfrm>
        <a:custGeom>
          <a:avLst/>
          <a:gdLst/>
          <a:ahLst/>
          <a:cxnLst/>
          <a:rect l="0" t="0" r="0" b="0"/>
          <a:pathLst>
            <a:path>
              <a:moveTo>
                <a:pt x="751224" y="0"/>
              </a:moveTo>
              <a:lnTo>
                <a:pt x="751224" y="189413"/>
              </a:lnTo>
              <a:lnTo>
                <a:pt x="0" y="189413"/>
              </a:lnTo>
              <a:lnTo>
                <a:pt x="0" y="37882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141375-2D7A-4633-9345-E9DA980EABB6}">
      <dsp:nvSpPr>
        <dsp:cNvPr id="0" name=""/>
        <dsp:cNvSpPr/>
      </dsp:nvSpPr>
      <dsp:spPr>
        <a:xfrm>
          <a:off x="824620" y="1244150"/>
          <a:ext cx="1109006" cy="58388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75 Districts Did Not Participate (18.4%)</a:t>
          </a:r>
        </a:p>
      </dsp:txBody>
      <dsp:txXfrm>
        <a:off x="841721" y="1261251"/>
        <a:ext cx="1074804" cy="549684"/>
      </dsp:txXfrm>
    </dsp:sp>
    <dsp:sp modelId="{B9788B94-52F5-4F72-91DA-D970F80FC3D8}">
      <dsp:nvSpPr>
        <dsp:cNvPr id="0" name=""/>
        <dsp:cNvSpPr/>
      </dsp:nvSpPr>
      <dsp:spPr>
        <a:xfrm>
          <a:off x="2130348" y="865323"/>
          <a:ext cx="764983" cy="378826"/>
        </a:xfrm>
        <a:custGeom>
          <a:avLst/>
          <a:gdLst/>
          <a:ahLst/>
          <a:cxnLst/>
          <a:rect l="0" t="0" r="0" b="0"/>
          <a:pathLst>
            <a:path>
              <a:moveTo>
                <a:pt x="0" y="0"/>
              </a:moveTo>
              <a:lnTo>
                <a:pt x="0" y="189413"/>
              </a:lnTo>
              <a:lnTo>
                <a:pt x="764983" y="189413"/>
              </a:lnTo>
              <a:lnTo>
                <a:pt x="764983" y="37882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DDB55C-14EF-442C-916A-8A7FA2855BF6}">
      <dsp:nvSpPr>
        <dsp:cNvPr id="0" name=""/>
        <dsp:cNvSpPr/>
      </dsp:nvSpPr>
      <dsp:spPr>
        <a:xfrm>
          <a:off x="2366505" y="1244150"/>
          <a:ext cx="1057652" cy="438275"/>
        </a:xfrm>
        <a:prstGeom prst="roundRect">
          <a:avLst>
            <a:gd name="adj" fmla="val 10000"/>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333 School Districts Participated (81.6%)</a:t>
          </a:r>
        </a:p>
      </dsp:txBody>
      <dsp:txXfrm>
        <a:off x="2379342" y="1256987"/>
        <a:ext cx="1031978" cy="412601"/>
      </dsp:txXfrm>
    </dsp:sp>
    <dsp:sp modelId="{EE043C36-BAE6-48C7-9138-AAC2DF2FB8F4}">
      <dsp:nvSpPr>
        <dsp:cNvPr id="0" name=""/>
        <dsp:cNvSpPr/>
      </dsp:nvSpPr>
      <dsp:spPr>
        <a:xfrm>
          <a:off x="2179725" y="1682425"/>
          <a:ext cx="715606" cy="384781"/>
        </a:xfrm>
        <a:custGeom>
          <a:avLst/>
          <a:gdLst/>
          <a:ahLst/>
          <a:cxnLst/>
          <a:rect l="0" t="0" r="0" b="0"/>
          <a:pathLst>
            <a:path>
              <a:moveTo>
                <a:pt x="715606" y="0"/>
              </a:moveTo>
              <a:lnTo>
                <a:pt x="715606" y="192390"/>
              </a:lnTo>
              <a:lnTo>
                <a:pt x="0" y="192390"/>
              </a:lnTo>
              <a:lnTo>
                <a:pt x="0" y="3847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D3AECE-C54E-4E03-B53F-0911AA2B5721}">
      <dsp:nvSpPr>
        <dsp:cNvPr id="0" name=""/>
        <dsp:cNvSpPr/>
      </dsp:nvSpPr>
      <dsp:spPr>
        <a:xfrm>
          <a:off x="1627394" y="2067206"/>
          <a:ext cx="1104663" cy="5453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37 Districts Received No Revenue</a:t>
          </a:r>
        </a:p>
      </dsp:txBody>
      <dsp:txXfrm>
        <a:off x="1643365" y="2083177"/>
        <a:ext cx="1072721" cy="513360"/>
      </dsp:txXfrm>
    </dsp:sp>
    <dsp:sp modelId="{4178954A-8392-4469-AABB-8DA71E3BC680}">
      <dsp:nvSpPr>
        <dsp:cNvPr id="0" name=""/>
        <dsp:cNvSpPr/>
      </dsp:nvSpPr>
      <dsp:spPr>
        <a:xfrm>
          <a:off x="2895331" y="1682425"/>
          <a:ext cx="768770" cy="384934"/>
        </a:xfrm>
        <a:custGeom>
          <a:avLst/>
          <a:gdLst/>
          <a:ahLst/>
          <a:cxnLst/>
          <a:rect l="0" t="0" r="0" b="0"/>
          <a:pathLst>
            <a:path>
              <a:moveTo>
                <a:pt x="0" y="0"/>
              </a:moveTo>
              <a:lnTo>
                <a:pt x="0" y="192467"/>
              </a:lnTo>
              <a:lnTo>
                <a:pt x="768770" y="192467"/>
              </a:lnTo>
              <a:lnTo>
                <a:pt x="768770" y="38493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F7E802-A8AC-4161-A9B0-480C7D17E259}">
      <dsp:nvSpPr>
        <dsp:cNvPr id="0" name=""/>
        <dsp:cNvSpPr/>
      </dsp:nvSpPr>
      <dsp:spPr>
        <a:xfrm>
          <a:off x="3164936" y="2067360"/>
          <a:ext cx="998333" cy="632541"/>
        </a:xfrm>
        <a:prstGeom prst="roundRect">
          <a:avLst>
            <a:gd name="adj" fmla="val 10000"/>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296 Districts Received Revenue</a:t>
          </a:r>
        </a:p>
      </dsp:txBody>
      <dsp:txXfrm>
        <a:off x="3183462" y="2085886"/>
        <a:ext cx="961281" cy="595489"/>
      </dsp:txXfrm>
    </dsp:sp>
    <dsp:sp modelId="{7CFBD841-2B21-4E3A-A637-1725D78EF286}">
      <dsp:nvSpPr>
        <dsp:cNvPr id="0" name=""/>
        <dsp:cNvSpPr/>
      </dsp:nvSpPr>
      <dsp:spPr>
        <a:xfrm>
          <a:off x="2809607" y="2699901"/>
          <a:ext cx="854495" cy="384627"/>
        </a:xfrm>
        <a:custGeom>
          <a:avLst/>
          <a:gdLst/>
          <a:ahLst/>
          <a:cxnLst/>
          <a:rect l="0" t="0" r="0" b="0"/>
          <a:pathLst>
            <a:path>
              <a:moveTo>
                <a:pt x="854495" y="0"/>
              </a:moveTo>
              <a:lnTo>
                <a:pt x="854495" y="192313"/>
              </a:lnTo>
              <a:lnTo>
                <a:pt x="0" y="192313"/>
              </a:lnTo>
              <a:lnTo>
                <a:pt x="0" y="3846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44605C-EAB0-45B4-A876-6DB691F961C2}">
      <dsp:nvSpPr>
        <dsp:cNvPr id="0" name=""/>
        <dsp:cNvSpPr/>
      </dsp:nvSpPr>
      <dsp:spPr>
        <a:xfrm>
          <a:off x="2209226" y="3084528"/>
          <a:ext cx="1200762" cy="4555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76 Districts Received Some Revenue</a:t>
          </a:r>
        </a:p>
      </dsp:txBody>
      <dsp:txXfrm>
        <a:off x="2222570" y="3097872"/>
        <a:ext cx="1174074" cy="428902"/>
      </dsp:txXfrm>
    </dsp:sp>
    <dsp:sp modelId="{FB89B606-A6E3-48FE-9C79-BBC8E76098C0}">
      <dsp:nvSpPr>
        <dsp:cNvPr id="0" name=""/>
        <dsp:cNvSpPr/>
      </dsp:nvSpPr>
      <dsp:spPr>
        <a:xfrm>
          <a:off x="3664102" y="2699901"/>
          <a:ext cx="816820" cy="384627"/>
        </a:xfrm>
        <a:custGeom>
          <a:avLst/>
          <a:gdLst/>
          <a:ahLst/>
          <a:cxnLst/>
          <a:rect l="0" t="0" r="0" b="0"/>
          <a:pathLst>
            <a:path>
              <a:moveTo>
                <a:pt x="0" y="0"/>
              </a:moveTo>
              <a:lnTo>
                <a:pt x="0" y="192313"/>
              </a:lnTo>
              <a:lnTo>
                <a:pt x="816820" y="192313"/>
              </a:lnTo>
              <a:lnTo>
                <a:pt x="816820" y="3846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B3AC6D-2DBC-4E26-AE14-FD882358930B}">
      <dsp:nvSpPr>
        <dsp:cNvPr id="0" name=""/>
        <dsp:cNvSpPr/>
      </dsp:nvSpPr>
      <dsp:spPr>
        <a:xfrm>
          <a:off x="3842867" y="3084528"/>
          <a:ext cx="1276111" cy="438044"/>
        </a:xfrm>
        <a:prstGeom prst="roundRect">
          <a:avLst>
            <a:gd name="adj" fmla="val 10000"/>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220 Districts Received 100% of Claims</a:t>
          </a:r>
        </a:p>
      </dsp:txBody>
      <dsp:txXfrm>
        <a:off x="3855697" y="3097358"/>
        <a:ext cx="1250451" cy="41238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33efe1c-5bbe-4968-87dc-d400e65c879f">true</_dlc_DocIdPersistId>
    <_dlc_DocId xmlns="733efe1c-5bbe-4968-87dc-d400e65c879f">DESE-231-50518</_dlc_DocId>
    <_dlc_DocIdUrl xmlns="733efe1c-5bbe-4968-87dc-d400e65c879f">
      <Url>https://sharepoint.doemass.org/ese/webteam/cps/_layouts/DocIdRedir.aspx?ID=DESE-231-50518</Url>
      <Description>DESE-231-50518</Description>
    </_dlc_DocIdUrl>
    <_vti_RoutingExistingProperties xmlns="0a4e05da-b9bc-4326-ad73-01ef31b9556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58556-B976-4E67-AE26-0710575E71DF}">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2.xml><?xml version="1.0" encoding="utf-8"?>
<ds:datastoreItem xmlns:ds="http://schemas.openxmlformats.org/officeDocument/2006/customXml" ds:itemID="{1CCC9FBD-AB39-435C-B3D6-1ADE2D8F63C2}">
  <ds:schemaRefs>
    <ds:schemaRef ds:uri="http://schemas.microsoft.com/sharepoint/events"/>
  </ds:schemaRefs>
</ds:datastoreItem>
</file>

<file path=customXml/itemProps3.xml><?xml version="1.0" encoding="utf-8"?>
<ds:datastoreItem xmlns:ds="http://schemas.openxmlformats.org/officeDocument/2006/customXml" ds:itemID="{AD9D240A-F3AD-42FD-92F5-82BB4566D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E2D74-1F02-4011-AB8F-76ACBC64D705}">
  <ds:schemaRefs>
    <ds:schemaRef ds:uri="http://schemas.microsoft.com/sharepoint/v3/contenttype/forms"/>
  </ds:schemaRefs>
</ds:datastoreItem>
</file>

<file path=customXml/itemProps5.xml><?xml version="1.0" encoding="utf-8"?>
<ds:datastoreItem xmlns:ds="http://schemas.openxmlformats.org/officeDocument/2006/customXml" ds:itemID="{D5DB36ED-82FA-4106-AED6-D85F11D6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5066</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Annual Report on Students with Disabilities 2015-16</vt:lpstr>
    </vt:vector>
  </TitlesOfParts>
  <Company/>
  <LinksUpToDate>false</LinksUpToDate>
  <CharactersWithSpaces>33876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on Students with Disabilities 2015-16</dc:title>
  <dc:creator>DESE</dc:creator>
  <cp:lastModifiedBy>Zou, Dong (EOE)</cp:lastModifiedBy>
  <cp:revision>5</cp:revision>
  <cp:lastPrinted>2017-07-13T15:45:00Z</cp:lastPrinted>
  <dcterms:created xsi:type="dcterms:W3CDTF">2019-04-11T17:56:00Z</dcterms:created>
  <dcterms:modified xsi:type="dcterms:W3CDTF">2019-04-16T15:56:00Z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16 2019</vt:lpwstr>
  </property>
</Properties>
</file>