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A0" w:rsidRDefault="00004F15" w:rsidP="00FE7EC7">
      <w:pPr>
        <w:pStyle w:val="Heading2"/>
        <w:pBdr>
          <w:bottom w:val="none" w:sz="0" w:space="0" w:color="auto"/>
        </w:pBdr>
      </w:pPr>
      <w:r>
        <w:rPr>
          <w:noProof/>
          <w:lang w:eastAsia="zh-CN"/>
        </w:rPr>
        <w:drawing>
          <wp:anchor distT="0" distB="0" distL="114300" distR="114300" simplePos="0" relativeHeight="251658239" behindDoc="1" locked="0" layoutInCell="1" allowOverlap="1">
            <wp:simplePos x="0" y="0"/>
            <wp:positionH relativeFrom="column">
              <wp:posOffset>-219075</wp:posOffset>
            </wp:positionH>
            <wp:positionV relativeFrom="paragraph">
              <wp:posOffset>-228600</wp:posOffset>
            </wp:positionV>
            <wp:extent cx="7309485" cy="3990975"/>
            <wp:effectExtent l="19050" t="0" r="5715" b="0"/>
            <wp:wrapNone/>
            <wp:docPr id="16" name="Picture 16" descr="teacher helping two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39406252.jpg"/>
                    <pic:cNvPicPr/>
                  </pic:nvPicPr>
                  <pic:blipFill rotWithShape="1">
                    <a:blip r:embed="rId12" cstate="print">
                      <a:extLst>
                        <a:ext uri="{28A0092B-C50C-407E-A947-70E740481C1C}">
                          <a14:useLocalDpi xmlns:a14="http://schemas.microsoft.com/office/drawing/2010/main"/>
                        </a:ext>
                      </a:extLst>
                    </a:blip>
                    <a:srcRect t="5193" b="2948"/>
                    <a:stretch/>
                  </pic:blipFill>
                  <pic:spPr bwMode="auto">
                    <a:xfrm>
                      <a:off x="0" y="0"/>
                      <a:ext cx="7315200" cy="3994095"/>
                    </a:xfrm>
                    <a:prstGeom prst="rect">
                      <a:avLst/>
                    </a:prstGeom>
                    <a:ln>
                      <a:noFill/>
                    </a:ln>
                    <a:effectLst/>
                    <a:extLst>
                      <a:ext uri="{53640926-AAD7-44D8-BBD7-CCE9431645EC}">
                        <a14:shadowObscured xmlns:a14="http://schemas.microsoft.com/office/drawing/2010/main"/>
                      </a:ext>
                    </a:extLst>
                  </pic:spPr>
                </pic:pic>
              </a:graphicData>
            </a:graphic>
          </wp:anchor>
        </w:drawing>
      </w:r>
    </w:p>
    <w:p w:rsidR="008E21A0" w:rsidRDefault="008E21A0" w:rsidP="00FE7EC7">
      <w:pPr>
        <w:pStyle w:val="Heading2"/>
        <w:pBdr>
          <w:bottom w:val="none" w:sz="0" w:space="0" w:color="auto"/>
        </w:pBdr>
      </w:pPr>
    </w:p>
    <w:p w:rsidR="008E21A0" w:rsidRDefault="008E21A0" w:rsidP="00FE7EC7">
      <w:pPr>
        <w:pStyle w:val="Heading2"/>
        <w:pBdr>
          <w:bottom w:val="none" w:sz="0" w:space="0" w:color="auto"/>
        </w:pBdr>
      </w:pPr>
    </w:p>
    <w:p w:rsidR="008E21A0" w:rsidRDefault="00077FA3" w:rsidP="00FE7EC7">
      <w:pPr>
        <w:pStyle w:val="Heading2"/>
        <w:pBdr>
          <w:bottom w:val="none" w:sz="0" w:space="0" w:color="auto"/>
        </w:pBdr>
      </w:pPr>
      <w:r>
        <w:tab/>
      </w:r>
    </w:p>
    <w:p w:rsidR="00077FA3" w:rsidRDefault="00077FA3" w:rsidP="00FE7EC7">
      <w:pPr>
        <w:pStyle w:val="Heading2"/>
        <w:pBdr>
          <w:bottom w:val="none" w:sz="0" w:space="0" w:color="auto"/>
        </w:pBdr>
      </w:pPr>
    </w:p>
    <w:p w:rsidR="00077FA3" w:rsidRDefault="00077FA3" w:rsidP="00FE7EC7">
      <w:pPr>
        <w:pStyle w:val="Heading2"/>
        <w:pBdr>
          <w:bottom w:val="none" w:sz="0" w:space="0" w:color="auto"/>
        </w:pBdr>
      </w:pPr>
    </w:p>
    <w:p w:rsidR="00077FA3" w:rsidRDefault="00077FA3" w:rsidP="00FE7EC7">
      <w:pPr>
        <w:pStyle w:val="Heading2"/>
        <w:pBdr>
          <w:bottom w:val="none" w:sz="0" w:space="0" w:color="auto"/>
        </w:pBdr>
      </w:pPr>
    </w:p>
    <w:p w:rsidR="00077FA3" w:rsidRDefault="00077FA3" w:rsidP="00FE7EC7">
      <w:pPr>
        <w:pStyle w:val="Heading2"/>
        <w:pBdr>
          <w:bottom w:val="none" w:sz="0" w:space="0" w:color="auto"/>
        </w:pBdr>
      </w:pPr>
    </w:p>
    <w:p w:rsidR="00077FA3" w:rsidRDefault="00282F99" w:rsidP="00FE7EC7">
      <w:pPr>
        <w:pStyle w:val="Heading2"/>
        <w:pBdr>
          <w:bottom w:val="none" w:sz="0" w:space="0" w:color="auto"/>
        </w:pBdr>
      </w:pPr>
      <w:r>
        <w:rPr>
          <w:noProof/>
          <w:lang w:eastAsia="zh-CN"/>
        </w:rPr>
        <mc:AlternateContent>
          <mc:Choice Requires="wps">
            <w:drawing>
              <wp:anchor distT="0" distB="0" distL="114300" distR="114300" simplePos="0" relativeHeight="251673600" behindDoc="1" locked="0" layoutInCell="1" allowOverlap="1">
                <wp:simplePos x="0" y="0"/>
                <wp:positionH relativeFrom="column">
                  <wp:posOffset>-476250</wp:posOffset>
                </wp:positionH>
                <wp:positionV relativeFrom="paragraph">
                  <wp:posOffset>182245</wp:posOffset>
                </wp:positionV>
                <wp:extent cx="5857875" cy="475615"/>
                <wp:effectExtent l="38100" t="38100" r="85725" b="76835"/>
                <wp:wrapNone/>
                <wp:docPr id="19" name="Pentago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475615"/>
                        </a:xfrm>
                        <a:prstGeom prst="homePlate">
                          <a:avLst/>
                        </a:prstGeom>
                        <a:solidFill>
                          <a:schemeClr val="accent5"/>
                        </a:solidFill>
                        <a:ln>
                          <a:noFill/>
                        </a:ln>
                        <a:effectLst>
                          <a:outerShdw blurRad="50800" dist="38100" dir="2700000" algn="tl"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txbx>
                        <w:txbxContent>
                          <w:p w:rsidR="00351436" w:rsidRPr="00077FA3" w:rsidRDefault="00351436" w:rsidP="00763ADB">
                            <w:pPr>
                              <w:ind w:left="540"/>
                              <w:rPr>
                                <w:sz w:val="18"/>
                              </w:rPr>
                            </w:pPr>
                            <w:r>
                              <w:rPr>
                                <w:rFonts w:asciiTheme="majorHAnsi" w:hAnsiTheme="majorHAnsi"/>
                                <w:color w:val="FFFFFF" w:themeColor="background1"/>
                                <w:sz w:val="48"/>
                                <w:szCs w:val="72"/>
                              </w:rPr>
                              <w:t>ESE Policy Brief •</w:t>
                            </w:r>
                            <w:r w:rsidRPr="00077FA3">
                              <w:rPr>
                                <w:rFonts w:asciiTheme="majorHAnsi" w:hAnsiTheme="majorHAnsi"/>
                                <w:color w:val="FFFFFF" w:themeColor="background1"/>
                                <w:sz w:val="48"/>
                                <w:szCs w:val="72"/>
                              </w:rPr>
                              <w:t xml:space="preserve"> </w:t>
                            </w:r>
                            <w:r>
                              <w:rPr>
                                <w:rFonts w:asciiTheme="majorHAnsi" w:hAnsiTheme="majorHAnsi"/>
                                <w:color w:val="FFFFFF" w:themeColor="background1"/>
                                <w:sz w:val="48"/>
                                <w:szCs w:val="72"/>
                              </w:rPr>
                              <w:t>Decembe</w:t>
                            </w:r>
                            <w:r w:rsidRPr="00077FA3">
                              <w:rPr>
                                <w:rFonts w:asciiTheme="majorHAnsi" w:hAnsiTheme="majorHAnsi"/>
                                <w:color w:val="FFFFFF" w:themeColor="background1"/>
                                <w:sz w:val="48"/>
                                <w:szCs w:val="72"/>
                              </w:rPr>
                              <w:t>r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37.5pt;margin-top:14.35pt;width:461.25pt;height:3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" adj="20723" fillcolor="#e28521 [3208]" stroked="f" strokeweight="2pt">
                <v:shadow on="t" color="black" opacity="26214f" origin="-.5,-.5" offset=".74836mm,.74836mm"/>
                <v:path arrowok="t"/>
                <v:textbox>
                  <w:txbxContent>
                    <w:p w:rsidR="00351436" w:rsidRPr="00077FA3" w:rsidRDefault="00351436" w:rsidP="00763ADB">
                      <w:pPr>
                        <w:ind w:left="540"/>
                        <w:rPr>
                          <w:sz w:val="18"/>
                        </w:rPr>
                      </w:pPr>
                      <w:r>
                        <w:rPr>
                          <w:rFonts w:asciiTheme="majorHAnsi" w:hAnsiTheme="majorHAnsi"/>
                          <w:color w:val="FFFFFF" w:themeColor="background1"/>
                          <w:sz w:val="48"/>
                          <w:szCs w:val="72"/>
                        </w:rPr>
                        <w:t>ESE Policy Brief •</w:t>
                      </w:r>
                      <w:r w:rsidRPr="00077FA3">
                        <w:rPr>
                          <w:rFonts w:asciiTheme="majorHAnsi" w:hAnsiTheme="majorHAnsi"/>
                          <w:color w:val="FFFFFF" w:themeColor="background1"/>
                          <w:sz w:val="48"/>
                          <w:szCs w:val="72"/>
                        </w:rPr>
                        <w:t xml:space="preserve"> </w:t>
                      </w:r>
                      <w:r>
                        <w:rPr>
                          <w:rFonts w:asciiTheme="majorHAnsi" w:hAnsiTheme="majorHAnsi"/>
                          <w:color w:val="FFFFFF" w:themeColor="background1"/>
                          <w:sz w:val="48"/>
                          <w:szCs w:val="72"/>
                        </w:rPr>
                        <w:t>Decembe</w:t>
                      </w:r>
                      <w:r w:rsidRPr="00077FA3">
                        <w:rPr>
                          <w:rFonts w:asciiTheme="majorHAnsi" w:hAnsiTheme="majorHAnsi"/>
                          <w:color w:val="FFFFFF" w:themeColor="background1"/>
                          <w:sz w:val="48"/>
                          <w:szCs w:val="72"/>
                        </w:rPr>
                        <w:t>r 2017</w:t>
                      </w:r>
                    </w:p>
                  </w:txbxContent>
                </v:textbox>
              </v:shape>
            </w:pict>
          </mc:Fallback>
        </mc:AlternateContent>
      </w:r>
    </w:p>
    <w:p w:rsidR="00077FA3" w:rsidRDefault="00282F99" w:rsidP="00CA11B6">
      <w:pPr>
        <w:pStyle w:val="Heading2"/>
        <w:pBdr>
          <w:bottom w:val="none" w:sz="0" w:space="0" w:color="auto"/>
        </w:pBdr>
        <w:tabs>
          <w:tab w:val="left" w:pos="870"/>
        </w:tabs>
      </w:pPr>
      <w:r>
        <w:rPr>
          <w:noProof/>
          <w:lang w:eastAsia="zh-CN"/>
        </w:rPr>
        <mc:AlternateContent>
          <mc:Choice Requires="wps">
            <w:drawing>
              <wp:anchor distT="0" distB="0" distL="114300" distR="114300" simplePos="0" relativeHeight="251672576" behindDoc="1" locked="0" layoutInCell="1" allowOverlap="1">
                <wp:simplePos x="0" y="0"/>
                <wp:positionH relativeFrom="column">
                  <wp:posOffset>-476250</wp:posOffset>
                </wp:positionH>
                <wp:positionV relativeFrom="paragraph">
                  <wp:posOffset>314960</wp:posOffset>
                </wp:positionV>
                <wp:extent cx="7566025" cy="590550"/>
                <wp:effectExtent l="38100" t="38100" r="73025" b="76200"/>
                <wp:wrapNone/>
                <wp:docPr id="13" name="Pentago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6025" cy="590550"/>
                        </a:xfrm>
                        <a:prstGeom prst="homePlate">
                          <a:avLst/>
                        </a:prstGeom>
                        <a:solidFill>
                          <a:schemeClr val="accent1"/>
                        </a:solidFill>
                        <a:ln>
                          <a:noFill/>
                        </a:ln>
                        <a:effectLst>
                          <a:outerShdw blurRad="50800" dist="38100" dir="2700000" algn="tl"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txbx>
                        <w:txbxContent>
                          <w:p w:rsidR="00351436" w:rsidRPr="0055217E" w:rsidRDefault="00351436" w:rsidP="00E11728">
                            <w:pPr>
                              <w:pStyle w:val="NoSpacing"/>
                              <w:tabs>
                                <w:tab w:val="left" w:pos="540"/>
                              </w:tabs>
                              <w:ind w:left="540"/>
                              <w:rPr>
                                <w:rFonts w:asciiTheme="majorHAnsi" w:hAnsiTheme="majorHAnsi"/>
                                <w:color w:val="FFFFFF" w:themeColor="background1"/>
                                <w:sz w:val="56"/>
                                <w:szCs w:val="56"/>
                              </w:rPr>
                            </w:pPr>
                            <w:r w:rsidRPr="0055217E">
                              <w:rPr>
                                <w:rFonts w:asciiTheme="majorHAnsi" w:hAnsiTheme="majorHAnsi"/>
                                <w:color w:val="FFFFFF" w:themeColor="background1"/>
                                <w:sz w:val="56"/>
                                <w:szCs w:val="56"/>
                              </w:rPr>
                              <w:t>Class Size and Resource Allocation</w:t>
                            </w:r>
                          </w:p>
                          <w:p w:rsidR="00351436" w:rsidRPr="0055217E" w:rsidRDefault="00351436" w:rsidP="0055217E">
                            <w:pPr>
                              <w:rPr>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3" o:spid="_x0000_s1027" type="#_x0000_t15" style="position:absolute;margin-left:-37.5pt;margin-top:24.8pt;width:595.75pt;height:4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" adj="20757" fillcolor="#004386 [3204]" stroked="f" strokeweight="2pt">
                <v:shadow on="t" color="black" opacity="26214f" origin="-.5,-.5" offset=".74836mm,.74836mm"/>
                <v:path arrowok="t"/>
                <v:textbox>
                  <w:txbxContent>
                    <w:p w:rsidR="00351436" w:rsidRPr="0055217E" w:rsidRDefault="00351436" w:rsidP="00E11728">
                      <w:pPr>
                        <w:pStyle w:val="NoSpacing"/>
                        <w:tabs>
                          <w:tab w:val="left" w:pos="540"/>
                        </w:tabs>
                        <w:ind w:left="540"/>
                        <w:rPr>
                          <w:rFonts w:asciiTheme="majorHAnsi" w:hAnsiTheme="majorHAnsi"/>
                          <w:color w:val="FFFFFF" w:themeColor="background1"/>
                          <w:sz w:val="56"/>
                          <w:szCs w:val="56"/>
                        </w:rPr>
                      </w:pPr>
                      <w:r w:rsidRPr="0055217E">
                        <w:rPr>
                          <w:rFonts w:asciiTheme="majorHAnsi" w:hAnsiTheme="majorHAnsi"/>
                          <w:color w:val="FFFFFF" w:themeColor="background1"/>
                          <w:sz w:val="56"/>
                          <w:szCs w:val="56"/>
                        </w:rPr>
                        <w:t>Class Size and Resource Allocation</w:t>
                      </w:r>
                    </w:p>
                    <w:p w:rsidR="00351436" w:rsidRPr="0055217E" w:rsidRDefault="00351436" w:rsidP="0055217E">
                      <w:pPr>
                        <w:rPr>
                          <w:szCs w:val="56"/>
                        </w:rPr>
                      </w:pPr>
                    </w:p>
                  </w:txbxContent>
                </v:textbox>
              </v:shape>
            </w:pict>
          </mc:Fallback>
        </mc:AlternateContent>
      </w:r>
      <w:r w:rsidR="00CA11B6">
        <w:tab/>
      </w:r>
    </w:p>
    <w:p w:rsidR="00077FA3" w:rsidRDefault="00077FA3" w:rsidP="00FE7EC7">
      <w:pPr>
        <w:pStyle w:val="Heading2"/>
        <w:pBdr>
          <w:bottom w:val="none" w:sz="0" w:space="0" w:color="auto"/>
        </w:pBdr>
      </w:pPr>
    </w:p>
    <w:p w:rsidR="00763ADB" w:rsidRPr="00F33370" w:rsidRDefault="00763ADB" w:rsidP="00FE7EC7">
      <w:pPr>
        <w:rPr>
          <w:sz w:val="16"/>
          <w:szCs w:val="16"/>
        </w:rPr>
      </w:pPr>
    </w:p>
    <w:p w:rsidR="00F33370" w:rsidRPr="00F33370" w:rsidRDefault="00F33370" w:rsidP="00F00E05">
      <w:pPr>
        <w:pStyle w:val="NoSpacing"/>
        <w:rPr>
          <w:rFonts w:ascii="Calibri" w:hAnsi="Calibri"/>
          <w:sz w:val="16"/>
          <w:szCs w:val="16"/>
        </w:rPr>
      </w:pPr>
    </w:p>
    <w:p w:rsidR="00E11728" w:rsidRPr="00E11728" w:rsidRDefault="00E11728" w:rsidP="00F00E05">
      <w:pPr>
        <w:pStyle w:val="NoSpacing"/>
        <w:rPr>
          <w:szCs w:val="22"/>
        </w:rPr>
      </w:pPr>
      <w:r w:rsidRPr="00E11728">
        <w:rPr>
          <w:rFonts w:ascii="Calibri" w:hAnsi="Calibri"/>
          <w:szCs w:val="22"/>
        </w:rPr>
        <w:t>Small</w:t>
      </w:r>
      <w:r w:rsidRPr="00E11728">
        <w:rPr>
          <w:szCs w:val="22"/>
        </w:rPr>
        <w:t xml:space="preserve"> classes are popular, but evidence of their positive impact on student outcomes is disappointing. Both the most well-known study (the Tennessee STAR experiment in the 1980s) and more recent work show that the impact of a broad-based reduction in class size on student outcomes is likely to be small at best and localized to particular grades and types of students. Meanwhile, small classes are an expensive intervention in terms of fiscal cost, recruitment of qualified teachers, and available building space. </w:t>
      </w:r>
    </w:p>
    <w:p w:rsidR="002A48D2" w:rsidRDefault="00E11728" w:rsidP="00E11728">
      <w:pPr>
        <w:pStyle w:val="NoSpacing"/>
        <w:rPr>
          <w:szCs w:val="22"/>
        </w:rPr>
      </w:pPr>
      <w:r w:rsidRPr="00E11728">
        <w:rPr>
          <w:szCs w:val="22"/>
        </w:rPr>
        <w:t xml:space="preserve">The choices districts make about class size have real, though often hidden, costs. This brief aims to help inform those choices by summarizing the research evidence on class size—both its impact and its costs—and putting those findings into the Massachusetts context. It provides specific examples of the resource allocation choices districts face related to class size and poses alternatives for resource redeployment that may be more effective in improving student outcomes. </w:t>
      </w:r>
    </w:p>
    <w:p w:rsidR="00E11728" w:rsidRDefault="00E11728" w:rsidP="002A48D2">
      <w:pPr>
        <w:pStyle w:val="NoSpacing"/>
        <w:spacing w:after="0"/>
        <w:rPr>
          <w:rFonts w:ascii="Times New Roman" w:hAnsi="Times New Roman"/>
          <w:sz w:val="24"/>
          <w:szCs w:val="24"/>
        </w:rPr>
      </w:pPr>
      <w:r w:rsidRPr="00E11728">
        <w:rPr>
          <w:szCs w:val="22"/>
        </w:rPr>
        <w:t>We address the following questions:</w:t>
      </w:r>
    </w:p>
    <w:p w:rsidR="00063EE4" w:rsidRPr="00063EE4" w:rsidRDefault="00063EE4" w:rsidP="00F33370">
      <w:pPr>
        <w:pStyle w:val="NoSpacing"/>
        <w:numPr>
          <w:ilvl w:val="0"/>
          <w:numId w:val="16"/>
        </w:numPr>
        <w:spacing w:after="0" w:line="240" w:lineRule="auto"/>
        <w:rPr>
          <w:color w:val="004386"/>
          <w:sz w:val="24"/>
          <w:szCs w:val="24"/>
        </w:rPr>
      </w:pPr>
      <w:r w:rsidRPr="00063EE4">
        <w:rPr>
          <w:color w:val="004386"/>
          <w:sz w:val="24"/>
          <w:szCs w:val="24"/>
        </w:rPr>
        <w:t>Are small classes effective at increasing student outcomes?</w:t>
      </w:r>
    </w:p>
    <w:p w:rsidR="00063EE4" w:rsidRPr="00063EE4" w:rsidRDefault="00063EE4" w:rsidP="00F33370">
      <w:pPr>
        <w:pStyle w:val="NoSpacing"/>
        <w:numPr>
          <w:ilvl w:val="0"/>
          <w:numId w:val="16"/>
        </w:numPr>
        <w:spacing w:after="0" w:line="240" w:lineRule="auto"/>
        <w:rPr>
          <w:color w:val="004386"/>
          <w:sz w:val="24"/>
          <w:szCs w:val="24"/>
        </w:rPr>
      </w:pPr>
      <w:r w:rsidRPr="00063EE4">
        <w:rPr>
          <w:color w:val="004386"/>
          <w:sz w:val="24"/>
          <w:szCs w:val="24"/>
        </w:rPr>
        <w:t>How small are Massachusetts class sizes?</w:t>
      </w:r>
    </w:p>
    <w:p w:rsidR="00063EE4" w:rsidRPr="00063EE4" w:rsidRDefault="00063EE4" w:rsidP="00F33370">
      <w:pPr>
        <w:pStyle w:val="NoSpacing"/>
        <w:numPr>
          <w:ilvl w:val="0"/>
          <w:numId w:val="16"/>
        </w:numPr>
        <w:spacing w:after="0" w:line="240" w:lineRule="auto"/>
        <w:rPr>
          <w:color w:val="004386"/>
          <w:sz w:val="24"/>
          <w:szCs w:val="24"/>
        </w:rPr>
      </w:pPr>
      <w:r w:rsidRPr="00063EE4">
        <w:rPr>
          <w:color w:val="004386"/>
          <w:sz w:val="24"/>
          <w:szCs w:val="24"/>
        </w:rPr>
        <w:t>Are classes small by design or by default?</w:t>
      </w:r>
    </w:p>
    <w:p w:rsidR="00063EE4" w:rsidRPr="00063EE4" w:rsidRDefault="00063EE4" w:rsidP="00F33370">
      <w:pPr>
        <w:pStyle w:val="NoSpacing"/>
        <w:numPr>
          <w:ilvl w:val="0"/>
          <w:numId w:val="16"/>
        </w:numPr>
        <w:spacing w:after="0" w:line="240" w:lineRule="auto"/>
        <w:rPr>
          <w:color w:val="004386"/>
          <w:sz w:val="24"/>
          <w:szCs w:val="24"/>
        </w:rPr>
      </w:pPr>
      <w:r w:rsidRPr="00063EE4">
        <w:rPr>
          <w:color w:val="004386"/>
          <w:sz w:val="24"/>
          <w:szCs w:val="24"/>
        </w:rPr>
        <w:t>What resources are required to have small classes?</w:t>
      </w:r>
    </w:p>
    <w:p w:rsidR="00063EE4" w:rsidRPr="00063EE4" w:rsidRDefault="00063EE4" w:rsidP="00F33370">
      <w:pPr>
        <w:pStyle w:val="NoSpacing"/>
        <w:numPr>
          <w:ilvl w:val="0"/>
          <w:numId w:val="16"/>
        </w:numPr>
        <w:spacing w:after="0" w:line="240" w:lineRule="auto"/>
        <w:rPr>
          <w:color w:val="004386"/>
          <w:sz w:val="24"/>
          <w:szCs w:val="24"/>
        </w:rPr>
      </w:pPr>
      <w:r w:rsidRPr="00063EE4">
        <w:rPr>
          <w:color w:val="004386"/>
          <w:sz w:val="24"/>
          <w:szCs w:val="24"/>
        </w:rPr>
        <w:t xml:space="preserve">When should districts consider small classes? </w:t>
      </w:r>
    </w:p>
    <w:p w:rsidR="0007389F" w:rsidRDefault="00063EE4" w:rsidP="00351436">
      <w:pPr>
        <w:pStyle w:val="NoSpacing"/>
        <w:numPr>
          <w:ilvl w:val="0"/>
          <w:numId w:val="16"/>
        </w:numPr>
        <w:spacing w:after="0" w:line="240" w:lineRule="auto"/>
        <w:rPr>
          <w:color w:val="004386" w:themeColor="accent1"/>
          <w:sz w:val="24"/>
        </w:rPr>
      </w:pPr>
      <w:r w:rsidRPr="00063EE4">
        <w:rPr>
          <w:color w:val="004386"/>
          <w:sz w:val="24"/>
          <w:szCs w:val="24"/>
        </w:rPr>
        <w:t>What additional resources are available on class size from the Department of Ele</w:t>
      </w:r>
      <w:r>
        <w:rPr>
          <w:color w:val="004386"/>
          <w:sz w:val="24"/>
          <w:szCs w:val="24"/>
        </w:rPr>
        <w:t xml:space="preserve">mentary and Secondary Education? </w:t>
      </w:r>
    </w:p>
    <w:p w:rsidR="00351436" w:rsidRDefault="00351436" w:rsidP="00351436">
      <w:pPr>
        <w:pStyle w:val="NoSpacing"/>
        <w:spacing w:after="0" w:line="240" w:lineRule="auto"/>
        <w:rPr>
          <w:color w:val="004386" w:themeColor="accent1"/>
          <w:sz w:val="24"/>
        </w:rPr>
      </w:pPr>
    </w:p>
    <w:p w:rsidR="00351436" w:rsidRPr="00351436" w:rsidRDefault="00351436" w:rsidP="00351436">
      <w:pPr>
        <w:pStyle w:val="NoSpacing"/>
        <w:spacing w:after="0" w:line="240" w:lineRule="auto"/>
        <w:rPr>
          <w:color w:val="004386" w:themeColor="accent1"/>
          <w:sz w:val="24"/>
        </w:rPr>
        <w:sectPr w:rsidR="00351436" w:rsidRPr="00351436" w:rsidSect="00351436">
          <w:footerReference w:type="even" r:id="rId13"/>
          <w:footerReference w:type="default" r:id="rId14"/>
          <w:footerReference w:type="first" r:id="rId15"/>
          <w:endnotePr>
            <w:numFmt w:val="decimal"/>
          </w:endnotePr>
          <w:pgSz w:w="12240" w:h="15840"/>
          <w:pgMar w:top="720" w:right="720" w:bottom="720" w:left="720" w:header="720" w:footer="720" w:gutter="0"/>
          <w:cols w:space="720"/>
          <w:titlePg/>
          <w:docGrid w:linePitch="360"/>
        </w:sectPr>
      </w:pPr>
    </w:p>
    <w:p w:rsidR="0007389F" w:rsidRDefault="00351436" w:rsidP="00F33370">
      <w:pPr>
        <w:sectPr w:rsidR="0007389F" w:rsidSect="000B335A">
          <w:endnotePr>
            <w:numFmt w:val="decimal"/>
          </w:endnotePr>
          <w:type w:val="continuous"/>
          <w:pgSz w:w="12240" w:h="15840"/>
          <w:pgMar w:top="720" w:right="720" w:bottom="720" w:left="720" w:header="720" w:footer="720" w:gutter="0"/>
          <w:cols w:num="2" w:space="720"/>
          <w:docGrid w:linePitch="360"/>
        </w:sectPr>
      </w:pPr>
      <w:r>
        <w:rPr>
          <w:noProof/>
          <w:lang w:eastAsia="zh-CN"/>
        </w:rPr>
        <w:lastRenderedPageBreak/>
        <mc:AlternateContent>
          <mc:Choice Requires="wps">
            <w:drawing>
              <wp:inline distT="0" distB="0" distL="0" distR="0" wp14:anchorId="2E6E4257" wp14:editId="56F3C517">
                <wp:extent cx="3200400" cy="687489"/>
                <wp:effectExtent l="0" t="0" r="0"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687489"/>
                        </a:xfrm>
                        <a:prstGeom prst="rect">
                          <a:avLst/>
                        </a:prstGeom>
                        <a:solidFill>
                          <a:schemeClr val="accent3"/>
                        </a:solidFill>
                        <a:ln w="28575">
                          <a:noFill/>
                          <a:prstDash val="sysDot"/>
                        </a:ln>
                      </wps:spPr>
                      <wps:style>
                        <a:lnRef idx="2">
                          <a:schemeClr val="accent5">
                            <a:shade val="50000"/>
                          </a:schemeClr>
                        </a:lnRef>
                        <a:fillRef idx="1">
                          <a:schemeClr val="accent5"/>
                        </a:fillRef>
                        <a:effectRef idx="0">
                          <a:schemeClr val="accent5"/>
                        </a:effectRef>
                        <a:fontRef idx="minor">
                          <a:schemeClr val="lt1"/>
                        </a:fontRef>
                      </wps:style>
                      <wps:txbx>
                        <w:txbxContent>
                          <w:p w:rsidR="00351436" w:rsidRPr="007F034D" w:rsidRDefault="00351436" w:rsidP="00351436">
                            <w:pPr>
                              <w:pStyle w:val="NoSpacing"/>
                              <w:spacing w:after="0"/>
                              <w:rPr>
                                <w:i/>
                                <w:color w:val="004386" w:themeColor="accent1"/>
                                <w:sz w:val="24"/>
                                <w:szCs w:val="24"/>
                              </w:rPr>
                            </w:pPr>
                            <w:r>
                              <w:rPr>
                                <w:rStyle w:val="Heading3Char"/>
                                <w:rFonts w:asciiTheme="minorHAnsi" w:hAnsiTheme="minorHAnsi"/>
                                <w:i w:val="0"/>
                                <w:sz w:val="24"/>
                                <w:szCs w:val="24"/>
                              </w:rPr>
                              <w:t>Written</w:t>
                            </w:r>
                            <w:r w:rsidRPr="00FE7EC7">
                              <w:rPr>
                                <w:rStyle w:val="Heading3Char"/>
                                <w:rFonts w:asciiTheme="minorHAnsi" w:hAnsiTheme="minorHAnsi"/>
                                <w:i w:val="0"/>
                                <w:sz w:val="24"/>
                                <w:szCs w:val="24"/>
                              </w:rPr>
                              <w:t xml:space="preserve"> by: </w:t>
                            </w:r>
                            <w:r w:rsidRPr="0037417A">
                              <w:rPr>
                                <w:rStyle w:val="Heading3Char"/>
                                <w:rFonts w:asciiTheme="minorHAnsi" w:hAnsiTheme="minorHAnsi"/>
                                <w:b w:val="0"/>
                                <w:i w:val="0"/>
                                <w:sz w:val="24"/>
                              </w:rPr>
                              <w:t>Amy Ellen Schwartz,</w:t>
                            </w:r>
                            <w:r w:rsidRPr="002A48D2">
                              <w:rPr>
                                <w:rStyle w:val="Heading3Char"/>
                                <w:rFonts w:asciiTheme="minorHAnsi" w:hAnsiTheme="minorHAnsi"/>
                                <w:b w:val="0"/>
                                <w:sz w:val="24"/>
                              </w:rPr>
                              <w:t xml:space="preserve"> Syracuse </w:t>
                            </w:r>
                            <w:r w:rsidRPr="007F034D">
                              <w:rPr>
                                <w:rStyle w:val="Heading3Char"/>
                                <w:rFonts w:asciiTheme="minorHAnsi" w:hAnsiTheme="minorHAnsi"/>
                                <w:b w:val="0"/>
                                <w:sz w:val="24"/>
                              </w:rPr>
                              <w:t>University</w:t>
                            </w:r>
                            <w:r>
                              <w:rPr>
                                <w:rStyle w:val="Heading3Char"/>
                                <w:rFonts w:asciiTheme="minorHAnsi" w:hAnsiTheme="minorHAnsi"/>
                                <w:b w:val="0"/>
                                <w:sz w:val="24"/>
                              </w:rPr>
                              <w:t>;</w:t>
                            </w:r>
                            <w:r>
                              <w:rPr>
                                <w:rFonts w:ascii="Times New Roman" w:hAnsi="Times New Roman"/>
                                <w:sz w:val="24"/>
                                <w:szCs w:val="24"/>
                              </w:rPr>
                              <w:t xml:space="preserve"> </w:t>
                            </w:r>
                            <w:r w:rsidRPr="0037417A">
                              <w:rPr>
                                <w:color w:val="004386" w:themeColor="accent1"/>
                                <w:sz w:val="24"/>
                                <w:szCs w:val="24"/>
                              </w:rPr>
                              <w:t xml:space="preserve">Jeffrey </w:t>
                            </w:r>
                            <w:proofErr w:type="spellStart"/>
                            <w:r w:rsidRPr="0037417A">
                              <w:rPr>
                                <w:color w:val="004386" w:themeColor="accent1"/>
                                <w:sz w:val="24"/>
                                <w:szCs w:val="24"/>
                              </w:rPr>
                              <w:t>Zabel</w:t>
                            </w:r>
                            <w:proofErr w:type="spellEnd"/>
                            <w:r w:rsidRPr="0037417A">
                              <w:rPr>
                                <w:color w:val="004386" w:themeColor="accent1"/>
                                <w:sz w:val="24"/>
                                <w:szCs w:val="24"/>
                              </w:rPr>
                              <w:t>,</w:t>
                            </w:r>
                            <w:r w:rsidRPr="002A48D2">
                              <w:rPr>
                                <w:i/>
                                <w:color w:val="004386" w:themeColor="accent1"/>
                                <w:sz w:val="24"/>
                                <w:szCs w:val="24"/>
                              </w:rPr>
                              <w:t xml:space="preserve"> Tufts University</w:t>
                            </w:r>
                            <w:r>
                              <w:rPr>
                                <w:i/>
                                <w:color w:val="004386" w:themeColor="accent1"/>
                                <w:sz w:val="24"/>
                                <w:szCs w:val="24"/>
                              </w:rPr>
                              <w:t xml:space="preserve">; </w:t>
                            </w:r>
                            <w:r>
                              <w:rPr>
                                <w:color w:val="004386" w:themeColor="accent1"/>
                                <w:sz w:val="24"/>
                                <w:szCs w:val="24"/>
                              </w:rPr>
                              <w:t xml:space="preserve">and </w:t>
                            </w:r>
                            <w:r w:rsidRPr="0037417A">
                              <w:rPr>
                                <w:color w:val="004386" w:themeColor="accent1"/>
                                <w:sz w:val="24"/>
                                <w:szCs w:val="24"/>
                              </w:rPr>
                              <w:t xml:space="preserve">Michele </w:t>
                            </w:r>
                            <w:proofErr w:type="spellStart"/>
                            <w:r w:rsidRPr="0037417A">
                              <w:rPr>
                                <w:color w:val="004386" w:themeColor="accent1"/>
                                <w:sz w:val="24"/>
                                <w:szCs w:val="24"/>
                              </w:rPr>
                              <w:t>Leardo</w:t>
                            </w:r>
                            <w:proofErr w:type="spellEnd"/>
                            <w:r w:rsidRPr="0037417A">
                              <w:rPr>
                                <w:color w:val="004386" w:themeColor="accent1"/>
                                <w:sz w:val="24"/>
                                <w:szCs w:val="24"/>
                              </w:rPr>
                              <w:t>,</w:t>
                            </w:r>
                            <w:r>
                              <w:rPr>
                                <w:i/>
                                <w:color w:val="004386" w:themeColor="accent1"/>
                                <w:sz w:val="24"/>
                                <w:szCs w:val="24"/>
                              </w:rPr>
                              <w:t xml:space="preserve"> New York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6E4257" id="_x0000_t202" coordsize="21600,21600" o:spt="202" path="m,l,21600r21600,l21600,xe">
                <v:stroke joinstyle="miter"/>
                <v:path gradientshapeok="t" o:connecttype="rect"/>
              </v:shapetype>
              <v:shape id="Text Box 14" o:spid="_x0000_s1028" type="#_x0000_t202" style="width:252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" fillcolor="#e2eaf6 [3206]" stroked="f" strokeweight="2.25pt">
                <v:stroke dashstyle="1 1"/>
                <v:path arrowok="t"/>
                <v:textbox>
                  <w:txbxContent>
                    <w:p w:rsidR="00351436" w:rsidRPr="007F034D" w:rsidRDefault="00351436" w:rsidP="00351436">
                      <w:pPr>
                        <w:pStyle w:val="NoSpacing"/>
                        <w:spacing w:after="0"/>
                        <w:rPr>
                          <w:i/>
                          <w:color w:val="004386" w:themeColor="accent1"/>
                          <w:sz w:val="24"/>
                          <w:szCs w:val="24"/>
                        </w:rPr>
                      </w:pPr>
                      <w:r>
                        <w:rPr>
                          <w:rStyle w:val="Heading3Char"/>
                          <w:rFonts w:asciiTheme="minorHAnsi" w:hAnsiTheme="minorHAnsi"/>
                          <w:i w:val="0"/>
                          <w:sz w:val="24"/>
                          <w:szCs w:val="24"/>
                        </w:rPr>
                        <w:t>Written</w:t>
                      </w:r>
                      <w:r w:rsidRPr="00FE7EC7">
                        <w:rPr>
                          <w:rStyle w:val="Heading3Char"/>
                          <w:rFonts w:asciiTheme="minorHAnsi" w:hAnsiTheme="minorHAnsi"/>
                          <w:i w:val="0"/>
                          <w:sz w:val="24"/>
                          <w:szCs w:val="24"/>
                        </w:rPr>
                        <w:t xml:space="preserve"> by: </w:t>
                      </w:r>
                      <w:r w:rsidRPr="0037417A">
                        <w:rPr>
                          <w:rStyle w:val="Heading3Char"/>
                          <w:rFonts w:asciiTheme="minorHAnsi" w:hAnsiTheme="minorHAnsi"/>
                          <w:b w:val="0"/>
                          <w:i w:val="0"/>
                          <w:sz w:val="24"/>
                        </w:rPr>
                        <w:t>Amy Ellen Schwartz,</w:t>
                      </w:r>
                      <w:r w:rsidRPr="002A48D2">
                        <w:rPr>
                          <w:rStyle w:val="Heading3Char"/>
                          <w:rFonts w:asciiTheme="minorHAnsi" w:hAnsiTheme="minorHAnsi"/>
                          <w:b w:val="0"/>
                          <w:sz w:val="24"/>
                        </w:rPr>
                        <w:t xml:space="preserve"> Syracuse </w:t>
                      </w:r>
                      <w:r w:rsidRPr="007F034D">
                        <w:rPr>
                          <w:rStyle w:val="Heading3Char"/>
                          <w:rFonts w:asciiTheme="minorHAnsi" w:hAnsiTheme="minorHAnsi"/>
                          <w:b w:val="0"/>
                          <w:sz w:val="24"/>
                        </w:rPr>
                        <w:t>University</w:t>
                      </w:r>
                      <w:r>
                        <w:rPr>
                          <w:rStyle w:val="Heading3Char"/>
                          <w:rFonts w:asciiTheme="minorHAnsi" w:hAnsiTheme="minorHAnsi"/>
                          <w:b w:val="0"/>
                          <w:sz w:val="24"/>
                        </w:rPr>
                        <w:t>;</w:t>
                      </w:r>
                      <w:r>
                        <w:rPr>
                          <w:rFonts w:ascii="Times New Roman" w:hAnsi="Times New Roman"/>
                          <w:sz w:val="24"/>
                          <w:szCs w:val="24"/>
                        </w:rPr>
                        <w:t xml:space="preserve"> </w:t>
                      </w:r>
                      <w:r w:rsidRPr="0037417A">
                        <w:rPr>
                          <w:color w:val="004386" w:themeColor="accent1"/>
                          <w:sz w:val="24"/>
                          <w:szCs w:val="24"/>
                        </w:rPr>
                        <w:t xml:space="preserve">Jeffrey </w:t>
                      </w:r>
                      <w:proofErr w:type="spellStart"/>
                      <w:r w:rsidRPr="0037417A">
                        <w:rPr>
                          <w:color w:val="004386" w:themeColor="accent1"/>
                          <w:sz w:val="24"/>
                          <w:szCs w:val="24"/>
                        </w:rPr>
                        <w:t>Zabel</w:t>
                      </w:r>
                      <w:proofErr w:type="spellEnd"/>
                      <w:r w:rsidRPr="0037417A">
                        <w:rPr>
                          <w:color w:val="004386" w:themeColor="accent1"/>
                          <w:sz w:val="24"/>
                          <w:szCs w:val="24"/>
                        </w:rPr>
                        <w:t>,</w:t>
                      </w:r>
                      <w:r w:rsidRPr="002A48D2">
                        <w:rPr>
                          <w:i/>
                          <w:color w:val="004386" w:themeColor="accent1"/>
                          <w:sz w:val="24"/>
                          <w:szCs w:val="24"/>
                        </w:rPr>
                        <w:t xml:space="preserve"> Tufts University</w:t>
                      </w:r>
                      <w:r>
                        <w:rPr>
                          <w:i/>
                          <w:color w:val="004386" w:themeColor="accent1"/>
                          <w:sz w:val="24"/>
                          <w:szCs w:val="24"/>
                        </w:rPr>
                        <w:t xml:space="preserve">; </w:t>
                      </w:r>
                      <w:r>
                        <w:rPr>
                          <w:color w:val="004386" w:themeColor="accent1"/>
                          <w:sz w:val="24"/>
                          <w:szCs w:val="24"/>
                        </w:rPr>
                        <w:t xml:space="preserve">and </w:t>
                      </w:r>
                      <w:r w:rsidRPr="0037417A">
                        <w:rPr>
                          <w:color w:val="004386" w:themeColor="accent1"/>
                          <w:sz w:val="24"/>
                          <w:szCs w:val="24"/>
                        </w:rPr>
                        <w:t xml:space="preserve">Michele </w:t>
                      </w:r>
                      <w:proofErr w:type="spellStart"/>
                      <w:r w:rsidRPr="0037417A">
                        <w:rPr>
                          <w:color w:val="004386" w:themeColor="accent1"/>
                          <w:sz w:val="24"/>
                          <w:szCs w:val="24"/>
                        </w:rPr>
                        <w:t>Leardo</w:t>
                      </w:r>
                      <w:proofErr w:type="spellEnd"/>
                      <w:r w:rsidRPr="0037417A">
                        <w:rPr>
                          <w:color w:val="004386" w:themeColor="accent1"/>
                          <w:sz w:val="24"/>
                          <w:szCs w:val="24"/>
                        </w:rPr>
                        <w:t>,</w:t>
                      </w:r>
                      <w:r>
                        <w:rPr>
                          <w:i/>
                          <w:color w:val="004386" w:themeColor="accent1"/>
                          <w:sz w:val="24"/>
                          <w:szCs w:val="24"/>
                        </w:rPr>
                        <w:t xml:space="preserve"> New York University</w:t>
                      </w:r>
                    </w:p>
                  </w:txbxContent>
                </v:textbox>
                <w10:anchorlock/>
              </v:shape>
            </w:pict>
          </mc:Fallback>
        </mc:AlternateContent>
      </w:r>
    </w:p>
    <w:p w:rsidR="0007389F" w:rsidRDefault="00351436" w:rsidP="0007389F">
      <w:pPr>
        <w:pStyle w:val="Heading2"/>
        <w:spacing w:before="0"/>
      </w:pPr>
      <w:r>
        <w:rPr>
          <w:noProof/>
          <w:lang w:eastAsia="zh-CN"/>
        </w:rPr>
        <w:lastRenderedPageBreak/>
        <mc:AlternateContent>
          <mc:Choice Requires="wps">
            <w:drawing>
              <wp:anchor distT="0" distB="0" distL="114300" distR="114300" simplePos="0" relativeHeight="251676672" behindDoc="1" locked="0" layoutInCell="1" allowOverlap="1" wp14:anchorId="49DD91AF" wp14:editId="542AC7C1">
                <wp:simplePos x="0" y="0"/>
                <wp:positionH relativeFrom="column">
                  <wp:posOffset>-114300</wp:posOffset>
                </wp:positionH>
                <wp:positionV relativeFrom="paragraph">
                  <wp:posOffset>266700</wp:posOffset>
                </wp:positionV>
                <wp:extent cx="7086600" cy="6372225"/>
                <wp:effectExtent l="76200" t="38100" r="57150" b="85725"/>
                <wp:wrapNone/>
                <wp:docPr id="7" name="Rectangle 7" descr="Light-Orange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6372225"/>
                        </a:xfrm>
                        <a:prstGeom prst="rect">
                          <a:avLst/>
                        </a:prstGeom>
                        <a:solidFill>
                          <a:schemeClr val="accent6">
                            <a:lumMod val="20000"/>
                            <a:lumOff val="80000"/>
                          </a:schemeClr>
                        </a:solidFill>
                        <a:ln w="28575">
                          <a:solidFill>
                            <a:schemeClr val="accent6">
                              <a:lumMod val="60000"/>
                              <a:lumOff val="40000"/>
                            </a:schemeClr>
                          </a:solidFill>
                          <a:prstDash val="sysDot"/>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2CFD6B0" id="Rectangle 7" o:spid="_x0000_s1026" alt="Light-Orange background" style="position:absolute;margin-left:-9pt;margin-top:21pt;width:558pt;height:50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" fillcolor="#faf1e5 [665]" strokecolor="#f1d6b2 [1945]" strokeweight="2.25pt">
                <v:stroke dashstyle="1 1"/>
                <v:shadow on="t" color="black" opacity="22937f" origin=",.5" offset="0,.63889mm"/>
                <v:path arrowok="t"/>
              </v:rect>
            </w:pict>
          </mc:Fallback>
        </mc:AlternateContent>
      </w:r>
    </w:p>
    <w:p w:rsidR="0007389F" w:rsidRDefault="00F33370" w:rsidP="0007389F">
      <w:pPr>
        <w:pStyle w:val="Heading2"/>
      </w:pPr>
      <w:r>
        <w:t>Key Findings a</w:t>
      </w:r>
      <w:r w:rsidR="0007389F">
        <w:t>bout Class Size in Massachusetts</w:t>
      </w:r>
    </w:p>
    <w:p w:rsidR="0007389F" w:rsidRPr="0007389F" w:rsidRDefault="0007389F" w:rsidP="0007389F">
      <w:pPr>
        <w:spacing w:after="160" w:line="259" w:lineRule="auto"/>
        <w:rPr>
          <w:rFonts w:asciiTheme="minorHAnsi" w:hAnsiTheme="minorHAnsi"/>
        </w:rPr>
      </w:pPr>
      <w:r w:rsidRPr="0007389F">
        <w:rPr>
          <w:rFonts w:asciiTheme="minorHAnsi" w:hAnsiTheme="minorHAnsi"/>
        </w:rPr>
        <w:t>Small classes are popular, but evidence of their positive impact on student outcomes is disappointing—and the choices districts make about class size have real, though often hidden, costs. This policy brief aims to help inform district class size choices by summarizing the research evidence on class size and putting those findings into the Massachusetts context.</w:t>
      </w:r>
    </w:p>
    <w:p w:rsidR="0007389F" w:rsidRDefault="0007389F" w:rsidP="0007389F">
      <w:pPr>
        <w:rPr>
          <w:rFonts w:asciiTheme="minorHAnsi" w:hAnsiTheme="minorHAnsi"/>
        </w:rPr>
      </w:pPr>
      <w:r w:rsidRPr="0007389F">
        <w:rPr>
          <w:rFonts w:asciiTheme="minorHAnsi" w:hAnsiTheme="minorHAnsi"/>
        </w:rPr>
        <w:t>In this brief, we highlight findings from the research literature on class size:</w:t>
      </w:r>
    </w:p>
    <w:p w:rsidR="0007389F" w:rsidRPr="0007389F" w:rsidRDefault="0007389F" w:rsidP="0007389F">
      <w:pPr>
        <w:pStyle w:val="ListParagraph"/>
        <w:numPr>
          <w:ilvl w:val="0"/>
          <w:numId w:val="19"/>
        </w:numPr>
        <w:rPr>
          <w:bCs/>
        </w:rPr>
      </w:pPr>
      <w:r w:rsidRPr="0007389F">
        <w:rPr>
          <w:bCs/>
        </w:rPr>
        <w:t xml:space="preserve">Early evidence from the Tennessee STAR experiment was promising, </w:t>
      </w:r>
      <w:r w:rsidRPr="0007389F">
        <w:rPr>
          <w:rFonts w:asciiTheme="minorHAnsi" w:hAnsiTheme="minorHAnsi" w:cs="Times New Roman"/>
        </w:rPr>
        <w:t>but studies using other data and settings more similar to the current education policy context suggest little effect</w:t>
      </w:r>
      <w:r w:rsidRPr="0007389F">
        <w:rPr>
          <w:bCs/>
        </w:rPr>
        <w:t>.</w:t>
      </w:r>
    </w:p>
    <w:p w:rsidR="0007389F" w:rsidRPr="0007389F" w:rsidRDefault="0007389F" w:rsidP="0007389F">
      <w:pPr>
        <w:pStyle w:val="ListParagraph"/>
        <w:numPr>
          <w:ilvl w:val="0"/>
          <w:numId w:val="19"/>
        </w:numPr>
        <w:rPr>
          <w:bCs/>
        </w:rPr>
      </w:pPr>
      <w:r w:rsidRPr="0007389F">
        <w:rPr>
          <w:bCs/>
        </w:rPr>
        <w:t xml:space="preserve">Most modern studies show much smaller impacts than the STAR experiment or no effects at all. </w:t>
      </w:r>
    </w:p>
    <w:p w:rsidR="0007389F" w:rsidRPr="0007389F" w:rsidRDefault="0007389F" w:rsidP="0007389F">
      <w:pPr>
        <w:pStyle w:val="ListParagraph"/>
        <w:numPr>
          <w:ilvl w:val="0"/>
          <w:numId w:val="19"/>
        </w:numPr>
        <w:rPr>
          <w:bCs/>
        </w:rPr>
      </w:pPr>
      <w:r w:rsidRPr="0007389F">
        <w:rPr>
          <w:bCs/>
        </w:rPr>
        <w:t>Little convincing evidence in the current educational context shows that small classes generate greater improvements in st</w:t>
      </w:r>
      <w:r w:rsidR="007D0CAB">
        <w:rPr>
          <w:bCs/>
        </w:rPr>
        <w:t>udent outcomes for black or low-</w:t>
      </w:r>
      <w:r w:rsidRPr="0007389F">
        <w:rPr>
          <w:bCs/>
        </w:rPr>
        <w:t xml:space="preserve">income students. </w:t>
      </w:r>
    </w:p>
    <w:p w:rsidR="0007389F" w:rsidRPr="0007389F" w:rsidRDefault="0007389F" w:rsidP="0007389F">
      <w:pPr>
        <w:pStyle w:val="ListParagraph"/>
        <w:numPr>
          <w:ilvl w:val="0"/>
          <w:numId w:val="19"/>
        </w:numPr>
        <w:rPr>
          <w:bCs/>
        </w:rPr>
      </w:pPr>
      <w:r w:rsidRPr="0007389F">
        <w:rPr>
          <w:bCs/>
        </w:rPr>
        <w:t xml:space="preserve">Reducing class size can have unanticipated negative impacts on average teacher quality. </w:t>
      </w:r>
    </w:p>
    <w:p w:rsidR="0007389F" w:rsidRPr="0007389F" w:rsidRDefault="0007389F" w:rsidP="0007389F">
      <w:pPr>
        <w:pStyle w:val="ListParagraph"/>
        <w:numPr>
          <w:ilvl w:val="0"/>
          <w:numId w:val="19"/>
        </w:numPr>
        <w:rPr>
          <w:bCs/>
        </w:rPr>
      </w:pPr>
      <w:r w:rsidRPr="0007389F">
        <w:rPr>
          <w:bCs/>
        </w:rPr>
        <w:t>Districts that reduce class sizes must also have sufficient classroom space to meet higher demand.</w:t>
      </w:r>
    </w:p>
    <w:p w:rsidR="0007389F" w:rsidRDefault="0007389F" w:rsidP="0007389F">
      <w:pPr>
        <w:pStyle w:val="NoSpacing"/>
        <w:rPr>
          <w:rFonts w:ascii="Times New Roman" w:hAnsi="Times New Roman"/>
          <w:sz w:val="24"/>
          <w:szCs w:val="24"/>
        </w:rPr>
      </w:pPr>
      <w:r w:rsidRPr="0007389F">
        <w:rPr>
          <w:rFonts w:eastAsiaTheme="minorEastAsia" w:cstheme="minorBidi"/>
          <w:color w:val="auto"/>
          <w:szCs w:val="24"/>
        </w:rPr>
        <w:t>We also document several key facts about class size in Massachusetts:</w:t>
      </w:r>
    </w:p>
    <w:p w:rsidR="0007389F" w:rsidRPr="0007389F" w:rsidRDefault="0007389F" w:rsidP="0007389F">
      <w:pPr>
        <w:pStyle w:val="ListParagraph"/>
        <w:numPr>
          <w:ilvl w:val="0"/>
          <w:numId w:val="19"/>
        </w:numPr>
        <w:rPr>
          <w:bCs/>
        </w:rPr>
      </w:pPr>
      <w:r w:rsidRPr="0007389F">
        <w:rPr>
          <w:bCs/>
        </w:rPr>
        <w:t>Across grades, the median size of a core academic class in Massachusetts ranges from 17.7 to 21.4 students.</w:t>
      </w:r>
    </w:p>
    <w:p w:rsidR="0007389F" w:rsidRPr="0007389F" w:rsidRDefault="0007389F" w:rsidP="0007389F">
      <w:pPr>
        <w:pStyle w:val="ListParagraph"/>
        <w:numPr>
          <w:ilvl w:val="0"/>
          <w:numId w:val="19"/>
        </w:numPr>
        <w:rPr>
          <w:bCs/>
        </w:rPr>
      </w:pPr>
      <w:r w:rsidRPr="0007389F">
        <w:rPr>
          <w:bCs/>
        </w:rPr>
        <w:t>The median increases slightly from grade to grade through the elementary and middle school grades and then decreases for high school grades.</w:t>
      </w:r>
    </w:p>
    <w:p w:rsidR="0007389F" w:rsidRPr="0007389F" w:rsidRDefault="0007389F" w:rsidP="0007389F">
      <w:pPr>
        <w:pStyle w:val="ListParagraph"/>
        <w:numPr>
          <w:ilvl w:val="0"/>
          <w:numId w:val="19"/>
        </w:numPr>
        <w:rPr>
          <w:bCs/>
        </w:rPr>
      </w:pPr>
      <w:r w:rsidRPr="0007389F">
        <w:rPr>
          <w:bCs/>
        </w:rPr>
        <w:t>Class sizes in Massachusetts are small relative to those studied in prior research and relative to other states.</w:t>
      </w:r>
    </w:p>
    <w:p w:rsidR="0007389F" w:rsidRPr="0007389F" w:rsidRDefault="0007389F" w:rsidP="0007389F">
      <w:pPr>
        <w:pStyle w:val="ListParagraph"/>
        <w:numPr>
          <w:ilvl w:val="0"/>
          <w:numId w:val="19"/>
        </w:numPr>
        <w:rPr>
          <w:bCs/>
        </w:rPr>
      </w:pPr>
      <w:r w:rsidRPr="0007389F">
        <w:rPr>
          <w:bCs/>
        </w:rPr>
        <w:t xml:space="preserve">Without controlling for other factors, districts with lower enrollment, districts located in Berkshire County, and districts with higher per pupil expenditures typically have smaller core academic class sizes. </w:t>
      </w:r>
    </w:p>
    <w:p w:rsidR="0007389F" w:rsidRPr="0007389F" w:rsidRDefault="0007389F" w:rsidP="0007389F">
      <w:pPr>
        <w:pStyle w:val="ListParagraph"/>
        <w:numPr>
          <w:ilvl w:val="0"/>
          <w:numId w:val="19"/>
        </w:numPr>
        <w:rPr>
          <w:bCs/>
        </w:rPr>
      </w:pPr>
      <w:r w:rsidRPr="0007389F">
        <w:rPr>
          <w:bCs/>
        </w:rPr>
        <w:t xml:space="preserve">After controlling for other factors, districts with higher average per pupil expenditures and larger numbers of schools have lower core academic class sizes across all grades, and districts with larger total enrollment have larger class sizes in elementary grades. </w:t>
      </w:r>
    </w:p>
    <w:p w:rsidR="0007389F" w:rsidRPr="0007389F" w:rsidRDefault="0007389F" w:rsidP="0007389F">
      <w:pPr>
        <w:pStyle w:val="ListParagraph"/>
        <w:numPr>
          <w:ilvl w:val="0"/>
          <w:numId w:val="19"/>
        </w:numPr>
        <w:rPr>
          <w:bCs/>
        </w:rPr>
      </w:pPr>
      <w:r w:rsidRPr="0007389F">
        <w:rPr>
          <w:bCs/>
        </w:rPr>
        <w:t>After controlling for other factors, student characteristics and district residential characteristics such as median household income did not play a big role in explaining variation in class sizes.</w:t>
      </w:r>
    </w:p>
    <w:p w:rsidR="0007389F" w:rsidRPr="0007389F" w:rsidRDefault="0007389F" w:rsidP="0007389F">
      <w:pPr>
        <w:pStyle w:val="ListParagraph"/>
        <w:numPr>
          <w:ilvl w:val="0"/>
          <w:numId w:val="19"/>
        </w:numPr>
        <w:rPr>
          <w:rFonts w:asciiTheme="minorHAnsi" w:hAnsiTheme="minorHAnsi"/>
        </w:rPr>
      </w:pPr>
      <w:r w:rsidRPr="0007389F">
        <w:rPr>
          <w:bCs/>
        </w:rPr>
        <w:t xml:space="preserve">Average class sizes are larger for non-core classes than for core classes. </w:t>
      </w:r>
    </w:p>
    <w:p w:rsidR="0007389F" w:rsidRPr="0007389F" w:rsidRDefault="0007389F" w:rsidP="0007389F">
      <w:pPr>
        <w:rPr>
          <w:rFonts w:asciiTheme="minorHAnsi" w:hAnsiTheme="minorHAnsi"/>
        </w:rPr>
      </w:pPr>
      <w:r w:rsidRPr="0007389F">
        <w:rPr>
          <w:rFonts w:asciiTheme="minorHAnsi" w:hAnsiTheme="minorHAnsi"/>
        </w:rPr>
        <w:t xml:space="preserve">Finally, we provide connections to resources available to Massachusetts schools and districts interested in reconsidering their class sizes as part of a resource reallocation strategy. </w:t>
      </w:r>
    </w:p>
    <w:p w:rsidR="0007389F" w:rsidRDefault="0007389F" w:rsidP="0007389F">
      <w:pPr>
        <w:rPr>
          <w:rFonts w:asciiTheme="minorHAnsi" w:hAnsiTheme="minorHAnsi"/>
        </w:rPr>
      </w:pPr>
    </w:p>
    <w:p w:rsidR="0007389F" w:rsidRDefault="0007389F" w:rsidP="0007389F">
      <w:pPr>
        <w:spacing w:after="0"/>
        <w:rPr>
          <w:rFonts w:asciiTheme="majorHAnsi" w:eastAsiaTheme="majorEastAsia" w:hAnsiTheme="majorHAnsi" w:cstheme="majorBidi"/>
          <w:color w:val="004386" w:themeColor="accent1"/>
          <w:sz w:val="26"/>
          <w:szCs w:val="26"/>
        </w:rPr>
        <w:sectPr w:rsidR="0007389F" w:rsidSect="00F00E05">
          <w:endnotePr>
            <w:numFmt w:val="decimal"/>
          </w:endnotePr>
          <w:pgSz w:w="12240" w:h="15840"/>
          <w:pgMar w:top="720" w:right="720" w:bottom="720" w:left="720" w:header="720" w:footer="720" w:gutter="0"/>
          <w:cols w:space="720"/>
        </w:sectPr>
      </w:pPr>
    </w:p>
    <w:p w:rsidR="00F00E05" w:rsidRDefault="00F00E05">
      <w:pPr>
        <w:spacing w:after="0" w:line="240" w:lineRule="auto"/>
        <w:rPr>
          <w:rFonts w:asciiTheme="majorHAnsi" w:eastAsiaTheme="majorEastAsia" w:hAnsiTheme="majorHAnsi" w:cstheme="majorBidi"/>
          <w:b/>
          <w:bCs/>
          <w:color w:val="004386" w:themeColor="accent1"/>
          <w:sz w:val="26"/>
          <w:szCs w:val="26"/>
        </w:rPr>
      </w:pPr>
      <w:r>
        <w:lastRenderedPageBreak/>
        <w:br w:type="page"/>
      </w:r>
    </w:p>
    <w:p w:rsidR="00E01F7A" w:rsidRDefault="002A48D2" w:rsidP="00FE7EC7">
      <w:pPr>
        <w:pStyle w:val="Heading2"/>
      </w:pPr>
      <w:r>
        <w:lastRenderedPageBreak/>
        <w:t xml:space="preserve">Are small classes effective at increasing student outcomes? </w:t>
      </w:r>
    </w:p>
    <w:p w:rsidR="002A48D2" w:rsidRPr="005121D7" w:rsidRDefault="002A48D2" w:rsidP="00BB7EBF">
      <w:pPr>
        <w:spacing w:before="200"/>
        <w:rPr>
          <w:rStyle w:val="Heading3Char"/>
          <w:bCs w:val="0"/>
          <w:szCs w:val="22"/>
        </w:rPr>
      </w:pPr>
      <w:r w:rsidRPr="005121D7">
        <w:rPr>
          <w:rStyle w:val="Heading3Char"/>
          <w:szCs w:val="22"/>
        </w:rPr>
        <w:t>Early evidence from the Tennessee STAR experiment was promising, but studies using other data and settings more similar to the current education policy context suggest little effect</w:t>
      </w:r>
      <w:r w:rsidR="00946F05">
        <w:rPr>
          <w:rStyle w:val="Heading3Char"/>
          <w:szCs w:val="22"/>
        </w:rPr>
        <w:t>.</w:t>
      </w:r>
    </w:p>
    <w:p w:rsidR="002A48D2" w:rsidRPr="002A48D2" w:rsidRDefault="002A48D2" w:rsidP="00F00E05">
      <w:pPr>
        <w:rPr>
          <w:rFonts w:asciiTheme="minorHAnsi" w:hAnsiTheme="minorHAnsi"/>
        </w:rPr>
      </w:pPr>
      <w:r w:rsidRPr="002A48D2">
        <w:rPr>
          <w:rFonts w:asciiTheme="minorHAnsi" w:hAnsiTheme="minorHAnsi"/>
        </w:rPr>
        <w:t>Any discussion of the impact of class size must begin with the Tennessee STAR study. It was designed to provide a clear answer to the question, and though its relevance today is more limited, it is still cited by many educators in the field. Undertaken in 1985 at a cost of $12 million, the STAR experiment randomly assigned students in grades K to 3 in 79 elementary schools to one of three types of classes: small (13 to 17 students), large (22 to 26 students)</w:t>
      </w:r>
      <w:r w:rsidR="005F41F5">
        <w:rPr>
          <w:rFonts w:asciiTheme="minorHAnsi" w:hAnsiTheme="minorHAnsi"/>
        </w:rPr>
        <w:t>,</w:t>
      </w:r>
      <w:r w:rsidRPr="002A48D2">
        <w:rPr>
          <w:rFonts w:asciiTheme="minorHAnsi" w:hAnsiTheme="minorHAnsi"/>
        </w:rPr>
        <w:t xml:space="preserve"> and large with the addition of a full-time instructional aide. The initial analyses showed a statistically significant, moderate to large impact on reading and mathematics scores for students enrolled in the smaller classes (Krueger, 1999; Nye et al., 2000). For context, the short-term effects of small classes found in the STAR experiment are roughly the same as the difference in one-year gains between having a highly effective teacher as opposed to an average teacher (as found in </w:t>
      </w:r>
      <w:proofErr w:type="spellStart"/>
      <w:r w:rsidRPr="002A48D2">
        <w:rPr>
          <w:rFonts w:asciiTheme="minorHAnsi" w:hAnsiTheme="minorHAnsi"/>
        </w:rPr>
        <w:t>Staiger</w:t>
      </w:r>
      <w:proofErr w:type="spellEnd"/>
      <w:r w:rsidRPr="002A48D2">
        <w:rPr>
          <w:rFonts w:asciiTheme="minorHAnsi" w:hAnsiTheme="minorHAnsi"/>
        </w:rPr>
        <w:t xml:space="preserve"> and </w:t>
      </w:r>
      <w:proofErr w:type="spellStart"/>
      <w:r w:rsidRPr="002A48D2">
        <w:rPr>
          <w:rFonts w:asciiTheme="minorHAnsi" w:hAnsiTheme="minorHAnsi"/>
        </w:rPr>
        <w:t>Rockoff</w:t>
      </w:r>
      <w:proofErr w:type="spellEnd"/>
      <w:r w:rsidRPr="002A48D2">
        <w:rPr>
          <w:rFonts w:asciiTheme="minorHAnsi" w:hAnsiTheme="minorHAnsi"/>
        </w:rPr>
        <w:t xml:space="preserve">, 2010) and about one-quarter of the size of the disparity in achievement between black and white students. Follow-up data on STAR participants indicated some positive effects endured through middle school, diminishing afterwards (Nye et al., 1999; </w:t>
      </w:r>
      <w:proofErr w:type="spellStart"/>
      <w:r w:rsidRPr="002A48D2">
        <w:rPr>
          <w:rFonts w:asciiTheme="minorHAnsi" w:hAnsiTheme="minorHAnsi"/>
        </w:rPr>
        <w:t>Konstantopoulos</w:t>
      </w:r>
      <w:proofErr w:type="spellEnd"/>
      <w:r w:rsidRPr="002A48D2">
        <w:rPr>
          <w:rFonts w:asciiTheme="minorHAnsi" w:hAnsiTheme="minorHAnsi"/>
        </w:rPr>
        <w:t xml:space="preserve"> and Chung, 2009). Later studies also showed some evidence of longer-term gains. Students assigned to small classes were more likely to take college entrance exams and more likely to be enrolled in college at age 20 (Krueger and Whitmore, 2001; </w:t>
      </w:r>
      <w:proofErr w:type="spellStart"/>
      <w:r w:rsidRPr="002A48D2">
        <w:rPr>
          <w:rFonts w:asciiTheme="minorHAnsi" w:hAnsiTheme="minorHAnsi"/>
        </w:rPr>
        <w:t>Chetty</w:t>
      </w:r>
      <w:proofErr w:type="spellEnd"/>
      <w:r w:rsidRPr="002A48D2">
        <w:rPr>
          <w:rFonts w:asciiTheme="minorHAnsi" w:hAnsiTheme="minorHAnsi"/>
        </w:rPr>
        <w:t xml:space="preserve"> et al., 2011). These findings have contributed to the general sense of education practitioners that smaller classes improve student outcomes.</w:t>
      </w:r>
    </w:p>
    <w:p w:rsidR="00BB7EBF" w:rsidRDefault="002A48D2" w:rsidP="00F00E05">
      <w:pPr>
        <w:rPr>
          <w:rFonts w:asciiTheme="minorHAnsi" w:hAnsiTheme="minorHAnsi"/>
        </w:rPr>
      </w:pPr>
      <w:r w:rsidRPr="002A48D2">
        <w:rPr>
          <w:rFonts w:asciiTheme="minorHAnsi" w:hAnsiTheme="minorHAnsi"/>
        </w:rPr>
        <w:t xml:space="preserve">Other scholars, however, have questioned the applicability of these findings today. They note that STAR was conducted 30 years ago in a different education policy context than today’s standards-based approach. It focused only on early elementary grades </w:t>
      </w:r>
      <w:r w:rsidRPr="002A48D2">
        <w:rPr>
          <w:rFonts w:asciiTheme="minorHAnsi" w:hAnsiTheme="minorHAnsi"/>
        </w:rPr>
        <w:lastRenderedPageBreak/>
        <w:t xml:space="preserve">and reduced class sizes to a level well below that typically found in schools. Further, it was limited to schools that volunteered to participate and that could accommodate at least three grades per class, so not necessarily typical schools (Goldstein and Blatchford, 1998; </w:t>
      </w:r>
      <w:proofErr w:type="spellStart"/>
      <w:r w:rsidRPr="002A48D2">
        <w:rPr>
          <w:rFonts w:asciiTheme="minorHAnsi" w:hAnsiTheme="minorHAnsi"/>
        </w:rPr>
        <w:t>Grissmer</w:t>
      </w:r>
      <w:proofErr w:type="spellEnd"/>
      <w:r w:rsidRPr="002A48D2">
        <w:rPr>
          <w:rFonts w:asciiTheme="minorHAnsi" w:hAnsiTheme="minorHAnsi"/>
        </w:rPr>
        <w:t xml:space="preserve">, 1999; </w:t>
      </w:r>
      <w:proofErr w:type="spellStart"/>
      <w:r w:rsidRPr="002A48D2">
        <w:rPr>
          <w:rFonts w:asciiTheme="minorHAnsi" w:hAnsiTheme="minorHAnsi"/>
        </w:rPr>
        <w:t>Hanushek</w:t>
      </w:r>
      <w:proofErr w:type="spellEnd"/>
      <w:r w:rsidRPr="002A48D2">
        <w:rPr>
          <w:rFonts w:asciiTheme="minorHAnsi" w:hAnsiTheme="minorHAnsi"/>
        </w:rPr>
        <w:t xml:space="preserve">, 1999; Blatchford, 2003). </w:t>
      </w:r>
      <w:r w:rsidR="00EC5E07">
        <w:rPr>
          <w:rFonts w:asciiTheme="minorHAnsi" w:hAnsiTheme="minorHAnsi"/>
        </w:rPr>
        <w:t xml:space="preserve">Others </w:t>
      </w:r>
      <w:r w:rsidR="00D25292">
        <w:rPr>
          <w:rFonts w:asciiTheme="minorHAnsi" w:hAnsiTheme="minorHAnsi"/>
        </w:rPr>
        <w:t xml:space="preserve">raise </w:t>
      </w:r>
      <w:r w:rsidRPr="002A48D2">
        <w:rPr>
          <w:rFonts w:asciiTheme="minorHAnsi" w:hAnsiTheme="minorHAnsi"/>
        </w:rPr>
        <w:t>questions about the implementation and analysis of STAR. New students and teachers were added to participating schools during the experiment, and many students did not remain in the experiment through third grade, muddying comparisons of impact (</w:t>
      </w:r>
      <w:proofErr w:type="spellStart"/>
      <w:r w:rsidRPr="002A48D2">
        <w:rPr>
          <w:rFonts w:asciiTheme="minorHAnsi" w:hAnsiTheme="minorHAnsi"/>
        </w:rPr>
        <w:t>Hanushek</w:t>
      </w:r>
      <w:proofErr w:type="spellEnd"/>
      <w:r w:rsidRPr="002A48D2">
        <w:rPr>
          <w:rFonts w:asciiTheme="minorHAnsi" w:hAnsiTheme="minorHAnsi"/>
        </w:rPr>
        <w:t>, 1999; Krueger, 1999). Most notably, schools participating in STAR had access to an ample supply of qualified teachers, sufficient physical facilities, and additional funds for participating—not typical school conditions (</w:t>
      </w:r>
      <w:proofErr w:type="spellStart"/>
      <w:r w:rsidRPr="002A48D2">
        <w:rPr>
          <w:rFonts w:asciiTheme="minorHAnsi" w:hAnsiTheme="minorHAnsi"/>
        </w:rPr>
        <w:t>Milesi</w:t>
      </w:r>
      <w:proofErr w:type="spellEnd"/>
      <w:r w:rsidRPr="002A48D2">
        <w:rPr>
          <w:rFonts w:asciiTheme="minorHAnsi" w:hAnsiTheme="minorHAnsi"/>
        </w:rPr>
        <w:t xml:space="preserve"> and </w:t>
      </w:r>
      <w:proofErr w:type="spellStart"/>
      <w:r w:rsidRPr="002A48D2">
        <w:rPr>
          <w:rFonts w:asciiTheme="minorHAnsi" w:hAnsiTheme="minorHAnsi"/>
        </w:rPr>
        <w:t>Gamoran</w:t>
      </w:r>
      <w:proofErr w:type="spellEnd"/>
      <w:r w:rsidRPr="002A48D2">
        <w:rPr>
          <w:rFonts w:asciiTheme="minorHAnsi" w:hAnsiTheme="minorHAnsi"/>
        </w:rPr>
        <w:t xml:space="preserve">, 2006). Therefore, many regard the STAR experiment as shedding light on the effect of implementing small classes under ideal conditions, not the results likely to occur at scale or in the current </w:t>
      </w:r>
      <w:r w:rsidR="00A63860">
        <w:rPr>
          <w:rFonts w:asciiTheme="minorHAnsi" w:hAnsiTheme="minorHAnsi"/>
        </w:rPr>
        <w:t>context.</w:t>
      </w:r>
    </w:p>
    <w:p w:rsidR="00BB7EBF" w:rsidRPr="00BB7EBF" w:rsidRDefault="00BB7EBF" w:rsidP="00F00E05">
      <w:pPr>
        <w:pStyle w:val="NoSpacing"/>
        <w:spacing w:before="200"/>
        <w:rPr>
          <w:rStyle w:val="Heading3Char"/>
          <w:szCs w:val="22"/>
        </w:rPr>
      </w:pPr>
      <w:r w:rsidRPr="00BB7EBF">
        <w:rPr>
          <w:rStyle w:val="Heading3Char"/>
          <w:szCs w:val="22"/>
        </w:rPr>
        <w:t xml:space="preserve">Most modern studies show much smaller impacts than the STAR experiment or no effects at all. </w:t>
      </w:r>
    </w:p>
    <w:p w:rsidR="00BB7EBF" w:rsidRPr="00BB7EBF" w:rsidRDefault="00BB7EBF" w:rsidP="00F00E05">
      <w:pPr>
        <w:rPr>
          <w:rFonts w:asciiTheme="minorHAnsi" w:hAnsiTheme="minorHAnsi"/>
        </w:rPr>
      </w:pPr>
      <w:r w:rsidRPr="00BB7EBF">
        <w:rPr>
          <w:rFonts w:asciiTheme="minorHAnsi" w:hAnsiTheme="minorHAnsi"/>
        </w:rPr>
        <w:t>Other research on class size in elementary grades using different data are less sanguine, suggesting little effect on student achievement and revealing the importance of practical considerations. Using</w:t>
      </w:r>
      <w:r>
        <w:rPr>
          <w:rFonts w:ascii="Times New Roman" w:hAnsi="Times New Roman" w:cs="Times New Roman"/>
          <w:sz w:val="24"/>
        </w:rPr>
        <w:t xml:space="preserve"> </w:t>
      </w:r>
      <w:r w:rsidRPr="00BB7EBF">
        <w:rPr>
          <w:rFonts w:asciiTheme="minorHAnsi" w:hAnsiTheme="minorHAnsi"/>
        </w:rPr>
        <w:t xml:space="preserve">data for grade 4 and 6 students in Connecticut, </w:t>
      </w:r>
      <w:proofErr w:type="spellStart"/>
      <w:r w:rsidRPr="00BB7EBF">
        <w:rPr>
          <w:rFonts w:asciiTheme="minorHAnsi" w:hAnsiTheme="minorHAnsi"/>
        </w:rPr>
        <w:t>Hoxby</w:t>
      </w:r>
      <w:proofErr w:type="spellEnd"/>
      <w:r w:rsidRPr="00BB7EBF">
        <w:rPr>
          <w:rFonts w:asciiTheme="minorHAnsi" w:hAnsiTheme="minorHAnsi"/>
        </w:rPr>
        <w:t xml:space="preserve"> (2000) finds no</w:t>
      </w:r>
      <w:r w:rsidRPr="00D15547">
        <w:rPr>
          <w:rFonts w:ascii="Times New Roman" w:hAnsi="Times New Roman" w:cs="Times New Roman"/>
          <w:sz w:val="24"/>
        </w:rPr>
        <w:t xml:space="preserve"> </w:t>
      </w:r>
      <w:r w:rsidRPr="00BB7EBF">
        <w:rPr>
          <w:rFonts w:asciiTheme="minorHAnsi" w:hAnsiTheme="minorHAnsi"/>
        </w:rPr>
        <w:t>evidence that smaller classes lead to gains in student achievement in reading, writing, or mathematics. Similarly, two studies using nationally representative data from the Early Childhood Longitudinal St</w:t>
      </w:r>
      <w:r w:rsidR="007D0CAB">
        <w:rPr>
          <w:rFonts w:asciiTheme="minorHAnsi" w:hAnsiTheme="minorHAnsi"/>
        </w:rPr>
        <w:t>u</w:t>
      </w:r>
      <w:r w:rsidR="003B19E8">
        <w:rPr>
          <w:rFonts w:asciiTheme="minorHAnsi" w:hAnsiTheme="minorHAnsi"/>
        </w:rPr>
        <w:t>dy, Kindergarten Class of 1998</w:t>
      </w:r>
      <w:r w:rsidR="003B19E8">
        <w:rPr>
          <w:rFonts w:asciiTheme="minorHAnsi" w:hAnsiTheme="minorHAnsi"/>
        </w:rPr>
        <w:softHyphen/>
      </w:r>
      <w:r w:rsidR="003D019F">
        <w:rPr>
          <w:rFonts w:asciiTheme="minorHAnsi" w:hAnsiTheme="minorHAnsi"/>
        </w:rPr>
        <w:t>–</w:t>
      </w:r>
      <w:r w:rsidRPr="00BB7EBF">
        <w:rPr>
          <w:rFonts w:asciiTheme="minorHAnsi" w:hAnsiTheme="minorHAnsi"/>
        </w:rPr>
        <w:t xml:space="preserve">99 and the National Education Longitudinal Study, respectively, find no statistically significant effect of class size on student test scores (Dee and West, 2001; </w:t>
      </w:r>
      <w:proofErr w:type="spellStart"/>
      <w:r w:rsidRPr="00BB7EBF">
        <w:rPr>
          <w:rFonts w:asciiTheme="minorHAnsi" w:hAnsiTheme="minorHAnsi"/>
        </w:rPr>
        <w:t>Milesi</w:t>
      </w:r>
      <w:proofErr w:type="spellEnd"/>
      <w:r w:rsidRPr="00BB7EBF">
        <w:rPr>
          <w:rFonts w:asciiTheme="minorHAnsi" w:hAnsiTheme="minorHAnsi"/>
        </w:rPr>
        <w:t xml:space="preserve"> and </w:t>
      </w:r>
      <w:proofErr w:type="spellStart"/>
      <w:r w:rsidRPr="00BB7EBF">
        <w:rPr>
          <w:rFonts w:asciiTheme="minorHAnsi" w:hAnsiTheme="minorHAnsi"/>
        </w:rPr>
        <w:t>Gamoran</w:t>
      </w:r>
      <w:proofErr w:type="spellEnd"/>
      <w:r w:rsidRPr="00BB7EBF">
        <w:rPr>
          <w:rFonts w:asciiTheme="minorHAnsi" w:hAnsiTheme="minorHAnsi"/>
        </w:rPr>
        <w:t>, 2006). Class size and student achievement data from Israel also reveals no effect (Angrist et al., 2017).</w:t>
      </w:r>
    </w:p>
    <w:p w:rsidR="00BB7EBF" w:rsidRPr="00BB7EBF" w:rsidRDefault="00BB7EBF" w:rsidP="00F00E05">
      <w:pPr>
        <w:rPr>
          <w:rFonts w:asciiTheme="minorHAnsi" w:hAnsiTheme="minorHAnsi"/>
        </w:rPr>
      </w:pPr>
      <w:r w:rsidRPr="00BB7EBF">
        <w:rPr>
          <w:rFonts w:asciiTheme="minorHAnsi" w:hAnsiTheme="minorHAnsi"/>
        </w:rPr>
        <w:t xml:space="preserve">That said, some evidence shows that reducing class size has a positive effect in other settings, but the results are much smaller in magnitude than the results found in the STAR experiment (Bosworth, 2014; </w:t>
      </w:r>
      <w:proofErr w:type="spellStart"/>
      <w:r w:rsidRPr="00BB7EBF">
        <w:rPr>
          <w:rFonts w:asciiTheme="minorHAnsi" w:hAnsiTheme="minorHAnsi"/>
        </w:rPr>
        <w:t>Rivkin</w:t>
      </w:r>
      <w:proofErr w:type="spellEnd"/>
      <w:r w:rsidRPr="00BB7EBF">
        <w:rPr>
          <w:rFonts w:asciiTheme="minorHAnsi" w:hAnsiTheme="minorHAnsi"/>
        </w:rPr>
        <w:t xml:space="preserve"> et al., 2005; Cho et al., 2012). Using detailed data on grade 4 and 5 students in North Carolina public schools, Bosworth </w:t>
      </w:r>
      <w:r w:rsidRPr="00BB7EBF">
        <w:rPr>
          <w:rFonts w:asciiTheme="minorHAnsi" w:hAnsiTheme="minorHAnsi"/>
        </w:rPr>
        <w:lastRenderedPageBreak/>
        <w:t xml:space="preserve">(2014) finds that reducing class size by one student leads to very small, but statistically significant, improvements in math and reading. </w:t>
      </w:r>
      <w:proofErr w:type="spellStart"/>
      <w:r w:rsidRPr="00BB7EBF">
        <w:rPr>
          <w:rFonts w:asciiTheme="minorHAnsi" w:hAnsiTheme="minorHAnsi"/>
        </w:rPr>
        <w:t>Rivkin</w:t>
      </w:r>
      <w:proofErr w:type="spellEnd"/>
      <w:r w:rsidRPr="00BB7EBF">
        <w:rPr>
          <w:rFonts w:asciiTheme="minorHAnsi" w:hAnsiTheme="minorHAnsi"/>
        </w:rPr>
        <w:t xml:space="preserve">, </w:t>
      </w:r>
      <w:proofErr w:type="spellStart"/>
      <w:r w:rsidRPr="00BB7EBF">
        <w:rPr>
          <w:rFonts w:asciiTheme="minorHAnsi" w:hAnsiTheme="minorHAnsi"/>
        </w:rPr>
        <w:t>Hanushek</w:t>
      </w:r>
      <w:proofErr w:type="spellEnd"/>
      <w:r w:rsidRPr="00BB7EBF">
        <w:rPr>
          <w:rFonts w:asciiTheme="minorHAnsi" w:hAnsiTheme="minorHAnsi"/>
        </w:rPr>
        <w:t xml:space="preserve"> and </w:t>
      </w:r>
      <w:proofErr w:type="spellStart"/>
      <w:r w:rsidRPr="00BB7EBF">
        <w:rPr>
          <w:rFonts w:asciiTheme="minorHAnsi" w:hAnsiTheme="minorHAnsi"/>
        </w:rPr>
        <w:t>Kain</w:t>
      </w:r>
      <w:proofErr w:type="spellEnd"/>
      <w:r w:rsidRPr="00BB7EBF">
        <w:rPr>
          <w:rFonts w:asciiTheme="minorHAnsi" w:hAnsiTheme="minorHAnsi"/>
        </w:rPr>
        <w:t xml:space="preserve"> (2005) find similar results for students in grades 4 to 7 using student achievement data from Texas. Finally, using data on grade 3 and 5 students from Minnesota, Cho et al (2012) find small and substantively unimportant impacts of reducing class size. </w:t>
      </w:r>
    </w:p>
    <w:p w:rsidR="00BB7EBF" w:rsidRPr="00BB7EBF" w:rsidRDefault="00BB7EBF" w:rsidP="00F00E05">
      <w:pPr>
        <w:rPr>
          <w:rFonts w:asciiTheme="minorHAnsi" w:hAnsiTheme="minorHAnsi"/>
        </w:rPr>
      </w:pPr>
      <w:r w:rsidRPr="00BB7EBF">
        <w:rPr>
          <w:rFonts w:asciiTheme="minorHAnsi" w:hAnsiTheme="minorHAnsi"/>
        </w:rPr>
        <w:t>Few studies focus on class size in high school, and those that do often present anecdotal or correlational, but not causal, findings. One rigorous study examines class size effects in 15-year-old students in the US, finding no impact (</w:t>
      </w:r>
      <w:proofErr w:type="spellStart"/>
      <w:r w:rsidRPr="00BB7EBF">
        <w:rPr>
          <w:rFonts w:asciiTheme="minorHAnsi" w:hAnsiTheme="minorHAnsi"/>
        </w:rPr>
        <w:t>Dennya</w:t>
      </w:r>
      <w:proofErr w:type="spellEnd"/>
      <w:r w:rsidRPr="00BB7EBF">
        <w:rPr>
          <w:rFonts w:asciiTheme="minorHAnsi" w:hAnsiTheme="minorHAnsi"/>
        </w:rPr>
        <w:t xml:space="preserve"> and </w:t>
      </w:r>
      <w:proofErr w:type="spellStart"/>
      <w:r w:rsidRPr="00BB7EBF">
        <w:rPr>
          <w:rFonts w:asciiTheme="minorHAnsi" w:hAnsiTheme="minorHAnsi"/>
        </w:rPr>
        <w:t>Oppedisanob</w:t>
      </w:r>
      <w:proofErr w:type="spellEnd"/>
      <w:r w:rsidRPr="00BB7EBF">
        <w:rPr>
          <w:rFonts w:asciiTheme="minorHAnsi" w:hAnsiTheme="minorHAnsi"/>
        </w:rPr>
        <w:t>, 2013).</w:t>
      </w:r>
    </w:p>
    <w:p w:rsidR="00BB7EBF" w:rsidRPr="00BB7EBF" w:rsidRDefault="00BB7EBF" w:rsidP="00F00E05">
      <w:pPr>
        <w:rPr>
          <w:rFonts w:asciiTheme="minorHAnsi" w:hAnsiTheme="minorHAnsi"/>
        </w:rPr>
      </w:pPr>
      <w:r w:rsidRPr="00BB7EBF">
        <w:rPr>
          <w:rFonts w:asciiTheme="minorHAnsi" w:hAnsiTheme="minorHAnsi"/>
        </w:rPr>
        <w:t>Overall, these results suggest much smaller effects than those reported by the STAR experiment, or no effects at all. When small classes have been shown to be effective, it has typically been in early elementary grades and for classes of 15 to 20</w:t>
      </w:r>
      <w:r>
        <w:rPr>
          <w:rFonts w:ascii="Times New Roman" w:hAnsi="Times New Roman" w:cs="Times New Roman"/>
          <w:sz w:val="24"/>
        </w:rPr>
        <w:t xml:space="preserve"> </w:t>
      </w:r>
      <w:r w:rsidRPr="00BB7EBF">
        <w:rPr>
          <w:rFonts w:asciiTheme="minorHAnsi" w:hAnsiTheme="minorHAnsi"/>
        </w:rPr>
        <w:t>students in size. This underscores that the education context and conditions under which small classes occur are a key determinant of potential success.</w:t>
      </w:r>
    </w:p>
    <w:p w:rsidR="00BB7EBF" w:rsidRPr="00BB7EBF" w:rsidRDefault="00BB7EBF" w:rsidP="00F00E05">
      <w:pPr>
        <w:pStyle w:val="NoSpacing"/>
        <w:spacing w:before="200"/>
        <w:rPr>
          <w:rStyle w:val="Heading3Char"/>
          <w:szCs w:val="22"/>
        </w:rPr>
      </w:pPr>
      <w:r w:rsidRPr="00BB7EBF">
        <w:rPr>
          <w:rStyle w:val="Heading3Char"/>
          <w:szCs w:val="22"/>
        </w:rPr>
        <w:t>Little convincing evidence in the current educational context shows that small classes generate greater improvements in student outcomes for black or low</w:t>
      </w:r>
      <w:r w:rsidR="004471EA">
        <w:rPr>
          <w:rStyle w:val="Heading3Char"/>
          <w:szCs w:val="22"/>
        </w:rPr>
        <w:t>-</w:t>
      </w:r>
      <w:r w:rsidRPr="00BB7EBF">
        <w:rPr>
          <w:rStyle w:val="Heading3Char"/>
          <w:szCs w:val="22"/>
        </w:rPr>
        <w:t xml:space="preserve">income students. </w:t>
      </w:r>
    </w:p>
    <w:p w:rsidR="00BB7EBF" w:rsidRPr="00BB7EBF" w:rsidRDefault="00BB7EBF" w:rsidP="00BB7EBF">
      <w:pPr>
        <w:pStyle w:val="NoSpacing"/>
        <w:rPr>
          <w:rFonts w:eastAsiaTheme="minorEastAsia" w:cstheme="minorBidi"/>
          <w:color w:val="auto"/>
          <w:szCs w:val="24"/>
        </w:rPr>
      </w:pPr>
      <w:r w:rsidRPr="00BB7EBF">
        <w:rPr>
          <w:rFonts w:eastAsiaTheme="minorEastAsia" w:cstheme="minorBidi"/>
          <w:color w:val="auto"/>
          <w:szCs w:val="24"/>
        </w:rPr>
        <w:t xml:space="preserve">Is class size particularly important for some students or settings? Again, the evidence is mixed at best. At the elementary and middle school level, findings are inconsistent regarding whether low income and minority students benefit more than other students from smaller classes. Krueger’s (1999) examination of the STAR experiment revealed the now well-known result that black students and students eligible for free or reduced lunch price demonstrated a more notable increase in achievement compared white students and students not eligible for subsidized school meals as a result of being assigned to small classes. On the other </w:t>
      </w:r>
      <w:r w:rsidRPr="00BB7EBF">
        <w:rPr>
          <w:rFonts w:eastAsiaTheme="minorEastAsia" w:cstheme="minorBidi"/>
          <w:color w:val="auto"/>
          <w:szCs w:val="24"/>
        </w:rPr>
        <w:lastRenderedPageBreak/>
        <w:t>hand, other scholars find no convincing evidence of greater effects of class size for students of different races or socioeconomic backgrounds (</w:t>
      </w:r>
      <w:proofErr w:type="spellStart"/>
      <w:r w:rsidRPr="00BB7EBF">
        <w:rPr>
          <w:rFonts w:eastAsiaTheme="minorEastAsia" w:cstheme="minorBidi"/>
          <w:color w:val="auto"/>
          <w:szCs w:val="24"/>
        </w:rPr>
        <w:t>Hoxby</w:t>
      </w:r>
      <w:proofErr w:type="spellEnd"/>
      <w:r w:rsidRPr="00BB7EBF">
        <w:rPr>
          <w:rFonts w:eastAsiaTheme="minorEastAsia" w:cstheme="minorBidi"/>
          <w:color w:val="auto"/>
          <w:szCs w:val="24"/>
        </w:rPr>
        <w:t xml:space="preserve">, 2000; Bosworth, 2014; Cho et al, 2012; </w:t>
      </w:r>
      <w:proofErr w:type="spellStart"/>
      <w:r w:rsidRPr="00BB7EBF">
        <w:rPr>
          <w:rFonts w:eastAsiaTheme="minorEastAsia" w:cstheme="minorBidi"/>
          <w:color w:val="auto"/>
          <w:szCs w:val="24"/>
        </w:rPr>
        <w:t>Milesi</w:t>
      </w:r>
      <w:proofErr w:type="spellEnd"/>
      <w:r w:rsidRPr="00BB7EBF">
        <w:rPr>
          <w:rFonts w:eastAsiaTheme="minorEastAsia" w:cstheme="minorBidi"/>
          <w:color w:val="auto"/>
          <w:szCs w:val="24"/>
        </w:rPr>
        <w:t xml:space="preserve"> and </w:t>
      </w:r>
      <w:proofErr w:type="spellStart"/>
      <w:r w:rsidRPr="00BB7EBF">
        <w:rPr>
          <w:rFonts w:eastAsiaTheme="minorEastAsia" w:cstheme="minorBidi"/>
          <w:color w:val="auto"/>
          <w:szCs w:val="24"/>
        </w:rPr>
        <w:t>Gamoran</w:t>
      </w:r>
      <w:proofErr w:type="spellEnd"/>
      <w:r w:rsidRPr="00BB7EBF">
        <w:rPr>
          <w:rFonts w:eastAsiaTheme="minorEastAsia" w:cstheme="minorBidi"/>
          <w:color w:val="auto"/>
          <w:szCs w:val="24"/>
        </w:rPr>
        <w:t xml:space="preserve">, 2006; </w:t>
      </w:r>
      <w:proofErr w:type="spellStart"/>
      <w:r w:rsidRPr="00BB7EBF">
        <w:rPr>
          <w:rFonts w:eastAsiaTheme="minorEastAsia" w:cstheme="minorBidi"/>
          <w:color w:val="auto"/>
          <w:szCs w:val="24"/>
        </w:rPr>
        <w:t>Jespen</w:t>
      </w:r>
      <w:proofErr w:type="spellEnd"/>
      <w:r w:rsidRPr="00BB7EBF">
        <w:rPr>
          <w:rFonts w:eastAsiaTheme="minorEastAsia" w:cstheme="minorBidi"/>
          <w:color w:val="auto"/>
          <w:szCs w:val="24"/>
        </w:rPr>
        <w:t xml:space="preserve"> and </w:t>
      </w:r>
      <w:proofErr w:type="spellStart"/>
      <w:r w:rsidRPr="00BB7EBF">
        <w:rPr>
          <w:rFonts w:eastAsiaTheme="minorEastAsia" w:cstheme="minorBidi"/>
          <w:color w:val="auto"/>
          <w:szCs w:val="24"/>
        </w:rPr>
        <w:t>Rivkin</w:t>
      </w:r>
      <w:proofErr w:type="spellEnd"/>
      <w:r w:rsidRPr="00BB7EBF">
        <w:rPr>
          <w:rFonts w:eastAsiaTheme="minorEastAsia" w:cstheme="minorBidi"/>
          <w:color w:val="auto"/>
          <w:szCs w:val="24"/>
        </w:rPr>
        <w:t xml:space="preserve">, 2009). </w:t>
      </w:r>
    </w:p>
    <w:p w:rsidR="00BB7EBF" w:rsidRDefault="00BB7EBF" w:rsidP="00F00E05">
      <w:pPr>
        <w:pStyle w:val="NoSpacing"/>
        <w:spacing w:before="200"/>
        <w:rPr>
          <w:rFonts w:ascii="Times New Roman" w:hAnsi="Times New Roman"/>
          <w:sz w:val="24"/>
          <w:szCs w:val="24"/>
        </w:rPr>
      </w:pPr>
      <w:r w:rsidRPr="00BB7EBF">
        <w:rPr>
          <w:rStyle w:val="Heading3Char"/>
          <w:szCs w:val="22"/>
        </w:rPr>
        <w:t>Reducing class size can have unanticipated negative im</w:t>
      </w:r>
      <w:r w:rsidR="00946F05">
        <w:rPr>
          <w:rStyle w:val="Heading3Char"/>
          <w:szCs w:val="22"/>
        </w:rPr>
        <w:t>pacts on average teacher quality.</w:t>
      </w:r>
      <w:r>
        <w:rPr>
          <w:rFonts w:ascii="Times New Roman" w:hAnsi="Times New Roman"/>
          <w:sz w:val="24"/>
          <w:szCs w:val="24"/>
        </w:rPr>
        <w:t xml:space="preserve"> </w:t>
      </w:r>
    </w:p>
    <w:p w:rsidR="00BB7EBF" w:rsidRPr="00BB7EBF" w:rsidRDefault="00BB7EBF" w:rsidP="00BB7EBF">
      <w:r w:rsidRPr="00BB7EBF">
        <w:t xml:space="preserve">Meanwhile, considerable evidence suggests that reducing class size has unanticipated negative impacts for districts. As a prime example, hiring additional teachers can have unintended consequences. As the number of teachers needed increases, the district will have to reach deeper into its teacher pool to fill all their open teaching slots. This is likely to yield a decline in average teacher quality. California experienced this writ large when it implemented a statewide class size reduction effort in 1996. Average teacher quality declined statewide, and the impact was even more pronounced for urban districts with higher shares of </w:t>
      </w:r>
      <w:r w:rsidR="00FA09F4">
        <w:t>low-income student</w:t>
      </w:r>
      <w:r w:rsidRPr="00BB7EBF">
        <w:t>s, since suburban and wealthier districts tended to have smaller classes to begin with and also had an easier time attracting good teachers (</w:t>
      </w:r>
      <w:proofErr w:type="spellStart"/>
      <w:r w:rsidRPr="00BB7EBF">
        <w:t>Schrag</w:t>
      </w:r>
      <w:proofErr w:type="spellEnd"/>
      <w:r w:rsidRPr="00BB7EBF">
        <w:t xml:space="preserve">, 2006). In a more recent study using data from New York City public schools, </w:t>
      </w:r>
      <w:proofErr w:type="spellStart"/>
      <w:r w:rsidRPr="00BB7EBF">
        <w:t>Gilraine</w:t>
      </w:r>
      <w:proofErr w:type="spellEnd"/>
      <w:r w:rsidRPr="00BB7EBF">
        <w:t xml:space="preserve"> (2017) isolates the class size effect from the total effect of class size plus hiring a new teacher by taking advantage of random jumps in class size when a small change in enrollment triggers a maximum class size rule and a new class is added. He finds that small classes slightly increase student achievement, but the gains are counteracted by the effect of hiring a new teacher. In other words, the positive effect of class size was offset by a decrease in performance attributable to the newly hired teacher. </w:t>
      </w:r>
    </w:p>
    <w:p w:rsidR="00BB7EBF" w:rsidRPr="00BB7EBF" w:rsidRDefault="00BB7EBF" w:rsidP="00BB7EBF">
      <w:pPr>
        <w:sectPr w:rsidR="00BB7EBF" w:rsidRPr="00BB7EBF" w:rsidSect="00BB7EBF">
          <w:footerReference w:type="even" r:id="rId16"/>
          <w:footerReference w:type="first" r:id="rId17"/>
          <w:endnotePr>
            <w:numFmt w:val="decimal"/>
          </w:endnotePr>
          <w:type w:val="continuous"/>
          <w:pgSz w:w="12240" w:h="15840"/>
          <w:pgMar w:top="720" w:right="720" w:bottom="720" w:left="720" w:header="720" w:footer="720" w:gutter="0"/>
          <w:cols w:num="2" w:space="720"/>
          <w:docGrid w:linePitch="360"/>
        </w:sectPr>
      </w:pPr>
      <w:r w:rsidRPr="00BB7EBF">
        <w:t>This shows that trade-offs like hiring less experienced teachers are important factors when considering the overall effectiveness of small class sizes.</w:t>
      </w:r>
    </w:p>
    <w:p w:rsidR="00BB7EBF" w:rsidRPr="002A48D2" w:rsidRDefault="00BB7EBF" w:rsidP="002A48D2">
      <w:pPr>
        <w:rPr>
          <w:rFonts w:asciiTheme="minorHAnsi" w:hAnsiTheme="minorHAnsi"/>
        </w:rPr>
      </w:pPr>
    </w:p>
    <w:p w:rsidR="00BB7EBF" w:rsidRPr="00204ABC" w:rsidRDefault="00BB7EBF" w:rsidP="00204ABC">
      <w:pPr>
        <w:rPr>
          <w:rFonts w:asciiTheme="majorHAnsi" w:eastAsiaTheme="majorEastAsia" w:hAnsiTheme="majorHAnsi" w:cstheme="majorBidi"/>
          <w:color w:val="004386" w:themeColor="accent1"/>
          <w:sz w:val="26"/>
          <w:szCs w:val="26"/>
        </w:rPr>
        <w:sectPr w:rsidR="00BB7EBF" w:rsidRPr="00204ABC" w:rsidSect="00E01F7A">
          <w:endnotePr>
            <w:numFmt w:val="decimal"/>
          </w:endnotePr>
          <w:type w:val="continuous"/>
          <w:pgSz w:w="12240" w:h="15840"/>
          <w:pgMar w:top="720" w:right="720" w:bottom="720" w:left="720" w:header="720" w:footer="720" w:gutter="0"/>
          <w:cols w:space="720"/>
          <w:docGrid w:linePitch="360"/>
        </w:sectPr>
      </w:pPr>
    </w:p>
    <w:p w:rsidR="00981256" w:rsidRDefault="00BB7EBF" w:rsidP="001223DB">
      <w:pPr>
        <w:pStyle w:val="Heading2"/>
      </w:pPr>
      <w:r>
        <w:lastRenderedPageBreak/>
        <w:t>How small are Massachusetts class sizes?</w:t>
      </w:r>
    </w:p>
    <w:p w:rsidR="00BB7EBF" w:rsidRPr="00BB7EBF" w:rsidRDefault="00BB7EBF" w:rsidP="00F00E05">
      <w:pPr>
        <w:pStyle w:val="NoSpacing"/>
        <w:spacing w:before="200"/>
        <w:rPr>
          <w:rStyle w:val="Heading3Char"/>
          <w:szCs w:val="22"/>
        </w:rPr>
      </w:pPr>
      <w:r w:rsidRPr="00BB7EBF">
        <w:rPr>
          <w:rStyle w:val="Heading3Char"/>
          <w:szCs w:val="22"/>
        </w:rPr>
        <w:t>Across grades, the median size of a core academic class in Massachusetts ranges from 17.7 to 21.4 students</w:t>
      </w:r>
      <w:r w:rsidR="0040212C">
        <w:rPr>
          <w:rStyle w:val="Heading3Char"/>
          <w:szCs w:val="22"/>
        </w:rPr>
        <w:t>—relatively small compared to prior research</w:t>
      </w:r>
      <w:r w:rsidRPr="00BB7EBF">
        <w:rPr>
          <w:rStyle w:val="Heading3Char"/>
          <w:szCs w:val="22"/>
        </w:rPr>
        <w:t>.</w:t>
      </w:r>
    </w:p>
    <w:p w:rsidR="00F00E05" w:rsidRDefault="00BB7EBF" w:rsidP="00BB7EBF">
      <w:pPr>
        <w:pStyle w:val="NoSpacing"/>
        <w:rPr>
          <w:rFonts w:ascii="Calibri" w:eastAsiaTheme="minorEastAsia" w:hAnsi="Calibri" w:cstheme="minorBidi"/>
          <w:szCs w:val="24"/>
        </w:rPr>
      </w:pPr>
      <w:r w:rsidRPr="00533949">
        <w:rPr>
          <w:rFonts w:ascii="Calibri" w:eastAsiaTheme="minorEastAsia" w:hAnsi="Calibri" w:cstheme="minorBidi"/>
          <w:szCs w:val="24"/>
        </w:rPr>
        <w:t xml:space="preserve">On average, Massachusetts’ school districts have relatively small class sizes, even at the high school level—often close to the size found effective in prior research. </w:t>
      </w:r>
    </w:p>
    <w:p w:rsidR="00BB7EBF" w:rsidRPr="00533949" w:rsidRDefault="00BB7EBF" w:rsidP="00BB7EBF">
      <w:pPr>
        <w:pStyle w:val="NoSpacing"/>
        <w:rPr>
          <w:rFonts w:ascii="Calibri" w:eastAsiaTheme="minorEastAsia" w:hAnsi="Calibri" w:cstheme="minorBidi"/>
          <w:szCs w:val="24"/>
        </w:rPr>
      </w:pPr>
      <w:r w:rsidRPr="00533949">
        <w:rPr>
          <w:rFonts w:ascii="Calibri" w:eastAsiaTheme="minorEastAsia" w:hAnsi="Calibri" w:cstheme="minorBidi"/>
          <w:szCs w:val="24"/>
        </w:rPr>
        <w:t>To measure class size, we analyzed Massachusetts</w:t>
      </w:r>
      <w:r w:rsidR="00AA6921">
        <w:rPr>
          <w:rFonts w:ascii="Calibri" w:eastAsiaTheme="minorEastAsia" w:hAnsi="Calibri" w:cstheme="minorBidi"/>
          <w:szCs w:val="24"/>
        </w:rPr>
        <w:t>’</w:t>
      </w:r>
      <w:r w:rsidRPr="00533949">
        <w:rPr>
          <w:rFonts w:ascii="Calibri" w:eastAsiaTheme="minorEastAsia" w:hAnsi="Calibri" w:cstheme="minorBidi"/>
          <w:szCs w:val="24"/>
        </w:rPr>
        <w:t xml:space="preserve"> </w:t>
      </w:r>
      <w:r w:rsidR="00AA6921">
        <w:rPr>
          <w:rFonts w:ascii="Calibri" w:eastAsiaTheme="minorEastAsia" w:hAnsi="Calibri" w:cstheme="minorBidi"/>
          <w:szCs w:val="24"/>
        </w:rPr>
        <w:t xml:space="preserve">statewide </w:t>
      </w:r>
      <w:r w:rsidRPr="00533949">
        <w:rPr>
          <w:rFonts w:ascii="Calibri" w:eastAsiaTheme="minorEastAsia" w:hAnsi="Calibri" w:cstheme="minorBidi"/>
          <w:szCs w:val="24"/>
        </w:rPr>
        <w:t>data from the 2016–17 academic year for the core subjects of English language arts (ELA), mathematics, science, and social studies.</w:t>
      </w:r>
      <w:r w:rsidR="00613A03">
        <w:rPr>
          <w:rStyle w:val="EndnoteReference"/>
          <w:rFonts w:ascii="Calibri" w:eastAsiaTheme="minorEastAsia" w:hAnsi="Calibri" w:cstheme="minorBidi"/>
          <w:szCs w:val="24"/>
        </w:rPr>
        <w:endnoteReference w:id="1"/>
      </w:r>
      <w:r w:rsidR="00613A03">
        <w:rPr>
          <w:rFonts w:ascii="Calibri" w:eastAsiaTheme="minorEastAsia" w:hAnsi="Calibri" w:cstheme="minorBidi"/>
          <w:szCs w:val="24"/>
        </w:rPr>
        <w:t xml:space="preserve"> </w:t>
      </w:r>
      <w:r w:rsidRPr="00533949">
        <w:rPr>
          <w:rFonts w:ascii="Calibri" w:eastAsiaTheme="minorEastAsia" w:hAnsi="Calibri" w:cstheme="minorBidi"/>
          <w:szCs w:val="24"/>
        </w:rPr>
        <w:t xml:space="preserve">We focused on typical classes by limiting the analysis to classes in which less than 75 percent of students were identified as students with disabilities. In grades 1 to 4, students </w:t>
      </w:r>
      <w:r w:rsidR="007D46F6">
        <w:rPr>
          <w:rFonts w:ascii="Calibri" w:eastAsiaTheme="minorEastAsia" w:hAnsi="Calibri" w:cstheme="minorBidi"/>
          <w:szCs w:val="24"/>
        </w:rPr>
        <w:br w:type="column"/>
      </w:r>
      <w:r w:rsidRPr="00533949">
        <w:rPr>
          <w:rFonts w:ascii="Calibri" w:eastAsiaTheme="minorEastAsia" w:hAnsi="Calibri" w:cstheme="minorBidi"/>
          <w:szCs w:val="24"/>
        </w:rPr>
        <w:lastRenderedPageBreak/>
        <w:t xml:space="preserve">typically have the same teacher for all these subjects, so we counted this as a single general education class. For grades 5 to 12, we focused on math and ELA classes. Classes in grades 5 and 6 are sometimes general classes </w:t>
      </w:r>
      <w:r w:rsidR="007D46F6">
        <w:rPr>
          <w:rFonts w:ascii="Calibri" w:eastAsiaTheme="minorEastAsia" w:hAnsi="Calibri" w:cstheme="minorBidi"/>
          <w:szCs w:val="24"/>
        </w:rPr>
        <w:t>w</w:t>
      </w:r>
      <w:r w:rsidRPr="00533949">
        <w:rPr>
          <w:rFonts w:ascii="Calibri" w:eastAsiaTheme="minorEastAsia" w:hAnsi="Calibri" w:cstheme="minorBidi"/>
          <w:szCs w:val="24"/>
        </w:rPr>
        <w:t xml:space="preserve">ith a single teacher, like grades 1 to 4, and sometimes taught as separate subject classes with different teachers, in the secondary model. To account for this, we analyzed class size in these grades by including both general education and ELA class sizes in the ELA column, and the same for math. We averaged all class sizes across schools in a given grade for each district to arrive at an average class size for each district and grade; the tables below show the average across districts by grade. </w:t>
      </w:r>
    </w:p>
    <w:p w:rsidR="00BB7EBF" w:rsidRPr="00533949" w:rsidRDefault="00BB7EBF" w:rsidP="00BB7EBF">
      <w:pPr>
        <w:pStyle w:val="NoSpacing"/>
        <w:rPr>
          <w:rFonts w:ascii="Calibri" w:eastAsiaTheme="minorEastAsia" w:hAnsi="Calibri" w:cstheme="minorBidi"/>
          <w:szCs w:val="24"/>
        </w:rPr>
      </w:pPr>
      <w:r w:rsidRPr="00533949">
        <w:rPr>
          <w:rFonts w:ascii="Calibri" w:eastAsiaTheme="minorEastAsia" w:hAnsi="Calibri" w:cstheme="minorBidi"/>
          <w:szCs w:val="24"/>
        </w:rPr>
        <w:t>As shown in Table 1, the median (50th percentile) class size for core subjects in elementary grades in Massachusetts ranges from 20 to 21.4. The smallest median class sizes are in grade 12, at 17.7 for English language arts classes and 18.6 for mathematics.</w:t>
      </w:r>
    </w:p>
    <w:p w:rsidR="007D46F6" w:rsidRDefault="007D46F6" w:rsidP="00BB7EBF">
      <w:pPr>
        <w:pStyle w:val="NoSpacing"/>
        <w:rPr>
          <w:rFonts w:ascii="Calibri" w:eastAsiaTheme="minorEastAsia" w:hAnsi="Calibri" w:cstheme="minorBidi"/>
          <w:szCs w:val="24"/>
        </w:rPr>
        <w:sectPr w:rsidR="007D46F6" w:rsidSect="002902E0">
          <w:endnotePr>
            <w:numFmt w:val="decimal"/>
          </w:endnotePr>
          <w:type w:val="continuous"/>
          <w:pgSz w:w="12240" w:h="15840"/>
          <w:pgMar w:top="720" w:right="720" w:bottom="720" w:left="720" w:header="720" w:footer="720" w:gutter="0"/>
          <w:cols w:num="2" w:space="720"/>
          <w:docGrid w:linePitch="360"/>
        </w:sectPr>
      </w:pPr>
    </w:p>
    <w:tbl>
      <w:tblPr>
        <w:tblStyle w:val="TableGrid"/>
        <w:tblW w:w="1000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1.  Class Sizes in Massachusetts are Relatively Small &#10;&#10;General Education Classes&#10;Grade 1: 5th Percentile (16.7), 25th Percentil (18.9), 50th Percentil (20), 75th Percentil (21.1), 95th Percentil (22.9)&#10;Grade 2: 5th Percentile (17.5), 25th Percentil (19.4), 50th Percentil (20.7), 75th Percentil (21.8), 95th Percentil (23.6)&#10;Grade 3: 5th Percentile (17.7), 25th Percentil (19.8), 50th Percentil (21.1), 75th Percentil (22.5), 95th Percentil (24.3)&#10;Grade 4: 5th Percentile (18), 25th Percentil (20.1), 50th Percentil (21.4), 75th Percentil (22.5), 95th Percentil (24.1)&#10;&#10;Math Classes: 5th Percentile (&#10;Grade 5: 5th Percentile (17.8), 25th Percentil (19.9), 50th Percentil (21.4), 75th Percentil (22.8), 95th Percentil (25.7)&#10;Grade 6: 5th Percentile (16.6), 25th Percentil (19.5), 50th Percentil (21), 75th Percentil (22.6), 95th Percentil (24.8)&#10;Grade 7: 5th Percentile (15.5), 25th Percentil (18.2), 50th Percentil (20.4), 75th Percentil (21.9), 95th Percentil (24.3)&#10;Grade 8: 5th Percentile (15.5), 25th Percentil (18.3), 50th Percentil (20.4), 75th Percentil (21.6), 95th Percentil (23.6)&#10;Grade 9: 5th Percentile (13.6), 25th Percentil (16.9), 50th Percentil (18.7), 75th Percentil (20.5), 95th Percentil (22.4)&#10;Grade 10: 5th Percentile (13), 25th Percentil (17.5), 50th Percentil (19.9), 75th Percentil (21.2), 95th Percentil (23.1)&#10;Grade 11: 5th Percentile (15.3), 25th Percentil (18.5), 50th Percentil (19.9), 75th Percentil (22), 95th Percentil (24.5)&#10;Grade 12: 5th Percentile (14), 25th Percentil (16.1), 50th Percentil (18.6), 75th Percentil (19.8), 95th Percentil (22.8)&#10;&#10;ELA Classes&#10;Grade 5: 5th Percentile (16.5), 25th Percentil (18.5), 50th Percentil (19.9), 75th Percentil (21.8), 95th Percentil (24.3)&#10;Grade 6: 5th Percentile (16.5), 25th Percentil (17.7), 50th Percentil (20.1), 75th Percentil (22), 95th Percentil (24)&#10;Grade 7: 5th Percentile (15.5), 25th Percentil (18), 50th Percentil (19.1), 75th Percentil (21.3), 95th Percentil (24.4)&#10;Grade 8: 5th Percentile (15.6), 25th Percentil (18), 50th Percentil (19.2), 75th Percentil (21.6), 95th Percentil (24.1)&#10;Grade 9: 5th Percentile (12.8), 25th Percentil (16.4), 50th Percentil (18.4), 75th Percentil (19.8), 95th Percentil (22.3)&#10;Grade 10: 5th Percentile (13), 25th Percentil (17.3), 50th Percentil (19.3), 75th Percentil (21.1), 95th Percentil (22.9)&#10;Grade 11: 5th Percentile (12.9), 25th Percentil (17.5), 50th Percentil (19.3), 75th Percentil (20.9), 95th Percentil (23)&#10;Grade 12: 5th Percentile (10.9), 25th Percentil (15.8), 50th Percentil (17.7), 75th Percentil (20.2), 95th Percentil (23)&#10;"/>
      </w:tblPr>
      <w:tblGrid>
        <w:gridCol w:w="2610"/>
        <w:gridCol w:w="540"/>
        <w:gridCol w:w="1384"/>
        <w:gridCol w:w="1384"/>
        <w:gridCol w:w="1384"/>
        <w:gridCol w:w="1384"/>
        <w:gridCol w:w="1314"/>
      </w:tblGrid>
      <w:tr w:rsidR="00411EF2" w:rsidRPr="002902E0" w:rsidTr="00FB0C54">
        <w:trPr>
          <w:trHeight w:val="247"/>
          <w:tblHeader/>
        </w:trPr>
        <w:tc>
          <w:tcPr>
            <w:tcW w:w="10000" w:type="dxa"/>
            <w:gridSpan w:val="7"/>
            <w:tcBorders>
              <w:bottom w:val="single" w:sz="4" w:space="0" w:color="E28521" w:themeColor="accent5"/>
            </w:tcBorders>
          </w:tcPr>
          <w:p w:rsidR="00411EF2" w:rsidRPr="002902E0" w:rsidRDefault="00411EF2" w:rsidP="003074A6">
            <w:pPr>
              <w:pStyle w:val="NoSpacing"/>
              <w:jc w:val="center"/>
              <w:rPr>
                <w:color w:val="004386"/>
                <w:sz w:val="24"/>
                <w:szCs w:val="24"/>
              </w:rPr>
            </w:pPr>
            <w:r w:rsidRPr="002902E0">
              <w:rPr>
                <w:b/>
                <w:color w:val="004386"/>
                <w:sz w:val="24"/>
                <w:szCs w:val="24"/>
              </w:rPr>
              <w:lastRenderedPageBreak/>
              <w:t xml:space="preserve">Table 1. </w:t>
            </w:r>
            <w:r w:rsidRPr="002902E0">
              <w:rPr>
                <w:color w:val="004386"/>
                <w:sz w:val="24"/>
                <w:szCs w:val="24"/>
              </w:rPr>
              <w:t xml:space="preserve"> </w:t>
            </w:r>
            <w:r>
              <w:rPr>
                <w:color w:val="004386"/>
                <w:sz w:val="24"/>
                <w:szCs w:val="24"/>
              </w:rPr>
              <w:t xml:space="preserve">Class Sizes in Massachusetts are Relatively Small </w:t>
            </w:r>
          </w:p>
        </w:tc>
      </w:tr>
      <w:tr w:rsidR="00411EF2" w:rsidRPr="002902E0" w:rsidTr="00FB0C54">
        <w:trPr>
          <w:trHeight w:val="247"/>
          <w:tblHeader/>
        </w:trPr>
        <w:tc>
          <w:tcPr>
            <w:tcW w:w="2610" w:type="dxa"/>
            <w:tcBorders>
              <w:top w:val="single" w:sz="4" w:space="0" w:color="E28521" w:themeColor="accent5"/>
              <w:left w:val="single" w:sz="4" w:space="0" w:color="E28521" w:themeColor="accent5"/>
            </w:tcBorders>
            <w:shd w:val="clear" w:color="auto" w:fill="E28521" w:themeFill="accent5"/>
          </w:tcPr>
          <w:p w:rsidR="00411EF2" w:rsidRPr="002902E0" w:rsidRDefault="00411EF2" w:rsidP="00E27373">
            <w:pPr>
              <w:pStyle w:val="NoSpacing"/>
              <w:spacing w:after="0" w:line="240" w:lineRule="auto"/>
              <w:rPr>
                <w:color w:val="auto"/>
                <w:szCs w:val="22"/>
              </w:rPr>
            </w:pPr>
          </w:p>
        </w:tc>
        <w:tc>
          <w:tcPr>
            <w:tcW w:w="540" w:type="dxa"/>
            <w:tcBorders>
              <w:top w:val="single" w:sz="4" w:space="0" w:color="E28521" w:themeColor="accent5"/>
              <w:bottom w:val="single" w:sz="4" w:space="0" w:color="EDB579" w:themeColor="accent5" w:themeTint="99"/>
            </w:tcBorders>
            <w:shd w:val="clear" w:color="auto" w:fill="E28521" w:themeFill="accent5"/>
          </w:tcPr>
          <w:p w:rsidR="00411EF2" w:rsidRPr="00177251" w:rsidRDefault="00411EF2" w:rsidP="00E27373">
            <w:pPr>
              <w:pStyle w:val="NoSpacing"/>
              <w:spacing w:after="0" w:line="240" w:lineRule="auto"/>
              <w:jc w:val="center"/>
              <w:rPr>
                <w:b/>
                <w:color w:val="FFFFFF" w:themeColor="background1"/>
                <w:szCs w:val="22"/>
              </w:rPr>
            </w:pPr>
          </w:p>
        </w:tc>
        <w:tc>
          <w:tcPr>
            <w:tcW w:w="6850" w:type="dxa"/>
            <w:gridSpan w:val="5"/>
            <w:tcBorders>
              <w:top w:val="single" w:sz="4" w:space="0" w:color="E28521" w:themeColor="accent5"/>
              <w:bottom w:val="single" w:sz="4" w:space="0" w:color="EDB579" w:themeColor="accent5" w:themeTint="99"/>
              <w:right w:val="single" w:sz="4" w:space="0" w:color="E28521" w:themeColor="accent5"/>
            </w:tcBorders>
            <w:shd w:val="clear" w:color="auto" w:fill="E28521" w:themeFill="accent5"/>
          </w:tcPr>
          <w:p w:rsidR="00411EF2" w:rsidRPr="00177251" w:rsidRDefault="00411EF2" w:rsidP="00E27373">
            <w:pPr>
              <w:pStyle w:val="NoSpacing"/>
              <w:spacing w:after="0" w:line="240" w:lineRule="auto"/>
              <w:jc w:val="center"/>
              <w:rPr>
                <w:b/>
                <w:color w:val="FFFFFF" w:themeColor="background1"/>
                <w:szCs w:val="22"/>
              </w:rPr>
            </w:pPr>
            <w:r>
              <w:rPr>
                <w:b/>
                <w:color w:val="FFFFFF" w:themeColor="background1"/>
                <w:szCs w:val="22"/>
              </w:rPr>
              <w:t>Percentile</w:t>
            </w:r>
          </w:p>
        </w:tc>
      </w:tr>
      <w:tr w:rsidR="00411EF2" w:rsidRPr="002902E0" w:rsidTr="00FB0C54">
        <w:trPr>
          <w:trHeight w:val="247"/>
          <w:tblHeader/>
        </w:trPr>
        <w:tc>
          <w:tcPr>
            <w:tcW w:w="2610" w:type="dxa"/>
            <w:tcBorders>
              <w:left w:val="single" w:sz="4" w:space="0" w:color="E28521" w:themeColor="accent5"/>
              <w:bottom w:val="single" w:sz="4" w:space="0" w:color="E28521" w:themeColor="accent5"/>
            </w:tcBorders>
            <w:shd w:val="clear" w:color="auto" w:fill="E28521" w:themeFill="accent5"/>
          </w:tcPr>
          <w:p w:rsidR="00411EF2" w:rsidRPr="002902E0" w:rsidRDefault="00411EF2" w:rsidP="00E27373">
            <w:pPr>
              <w:pStyle w:val="NoSpacing"/>
              <w:spacing w:after="0" w:line="240" w:lineRule="auto"/>
              <w:rPr>
                <w:color w:val="auto"/>
                <w:szCs w:val="22"/>
              </w:rPr>
            </w:pPr>
          </w:p>
        </w:tc>
        <w:tc>
          <w:tcPr>
            <w:tcW w:w="540" w:type="dxa"/>
            <w:tcBorders>
              <w:bottom w:val="single" w:sz="4" w:space="0" w:color="E28521" w:themeColor="accent5"/>
            </w:tcBorders>
            <w:shd w:val="clear" w:color="auto" w:fill="E28521" w:themeFill="accent5"/>
          </w:tcPr>
          <w:p w:rsidR="00411EF2" w:rsidRPr="00177251" w:rsidRDefault="00411EF2" w:rsidP="00E27373">
            <w:pPr>
              <w:pStyle w:val="NoSpacing"/>
              <w:spacing w:after="0" w:line="240" w:lineRule="auto"/>
              <w:rPr>
                <w:b/>
                <w:color w:val="FFFFFF" w:themeColor="background1"/>
                <w:szCs w:val="22"/>
              </w:rPr>
            </w:pPr>
          </w:p>
        </w:tc>
        <w:tc>
          <w:tcPr>
            <w:tcW w:w="1384" w:type="dxa"/>
            <w:tcBorders>
              <w:bottom w:val="single" w:sz="4" w:space="0" w:color="E28521" w:themeColor="accent5"/>
            </w:tcBorders>
            <w:shd w:val="clear" w:color="auto" w:fill="E28521" w:themeFill="accent5"/>
          </w:tcPr>
          <w:p w:rsidR="00411EF2" w:rsidRPr="00177251" w:rsidRDefault="00411EF2" w:rsidP="00E27373">
            <w:pPr>
              <w:pStyle w:val="NoSpacing"/>
              <w:spacing w:after="0" w:line="240" w:lineRule="auto"/>
              <w:rPr>
                <w:b/>
                <w:color w:val="FFFFFF" w:themeColor="background1"/>
                <w:szCs w:val="22"/>
              </w:rPr>
            </w:pPr>
            <w:r w:rsidRPr="00177251">
              <w:rPr>
                <w:b/>
                <w:color w:val="FFFFFF" w:themeColor="background1"/>
                <w:szCs w:val="22"/>
              </w:rPr>
              <w:t>5</w:t>
            </w:r>
            <w:r w:rsidRPr="00177251">
              <w:rPr>
                <w:b/>
                <w:color w:val="FFFFFF" w:themeColor="background1"/>
                <w:szCs w:val="22"/>
                <w:vertAlign w:val="superscript"/>
              </w:rPr>
              <w:t>th</w:t>
            </w:r>
          </w:p>
        </w:tc>
        <w:tc>
          <w:tcPr>
            <w:tcW w:w="1384" w:type="dxa"/>
            <w:tcBorders>
              <w:bottom w:val="single" w:sz="4" w:space="0" w:color="E28521" w:themeColor="accent5"/>
            </w:tcBorders>
            <w:shd w:val="clear" w:color="auto" w:fill="E28521" w:themeFill="accent5"/>
          </w:tcPr>
          <w:p w:rsidR="00411EF2" w:rsidRPr="00177251" w:rsidRDefault="00411EF2" w:rsidP="00E27373">
            <w:pPr>
              <w:pStyle w:val="NoSpacing"/>
              <w:spacing w:after="0" w:line="240" w:lineRule="auto"/>
              <w:rPr>
                <w:b/>
                <w:color w:val="FFFFFF" w:themeColor="background1"/>
                <w:szCs w:val="22"/>
              </w:rPr>
            </w:pPr>
            <w:r w:rsidRPr="00177251">
              <w:rPr>
                <w:b/>
                <w:color w:val="FFFFFF" w:themeColor="background1"/>
                <w:szCs w:val="22"/>
              </w:rPr>
              <w:t>25</w:t>
            </w:r>
            <w:r w:rsidRPr="00177251">
              <w:rPr>
                <w:b/>
                <w:color w:val="FFFFFF" w:themeColor="background1"/>
                <w:szCs w:val="22"/>
                <w:vertAlign w:val="superscript"/>
              </w:rPr>
              <w:t>th</w:t>
            </w:r>
          </w:p>
        </w:tc>
        <w:tc>
          <w:tcPr>
            <w:tcW w:w="1384" w:type="dxa"/>
            <w:tcBorders>
              <w:bottom w:val="single" w:sz="4" w:space="0" w:color="E28521" w:themeColor="accent5"/>
            </w:tcBorders>
            <w:shd w:val="clear" w:color="auto" w:fill="E28521" w:themeFill="accent5"/>
          </w:tcPr>
          <w:p w:rsidR="00411EF2" w:rsidRPr="00177251" w:rsidRDefault="00411EF2" w:rsidP="00E27373">
            <w:pPr>
              <w:pStyle w:val="NoSpacing"/>
              <w:spacing w:after="0" w:line="240" w:lineRule="auto"/>
              <w:rPr>
                <w:b/>
                <w:color w:val="FFFFFF" w:themeColor="background1"/>
                <w:szCs w:val="22"/>
              </w:rPr>
            </w:pPr>
            <w:r w:rsidRPr="00177251">
              <w:rPr>
                <w:b/>
                <w:color w:val="FFFFFF" w:themeColor="background1"/>
                <w:szCs w:val="22"/>
              </w:rPr>
              <w:t>50</w:t>
            </w:r>
            <w:r w:rsidRPr="00177251">
              <w:rPr>
                <w:b/>
                <w:color w:val="FFFFFF" w:themeColor="background1"/>
                <w:szCs w:val="22"/>
                <w:vertAlign w:val="superscript"/>
              </w:rPr>
              <w:t>th</w:t>
            </w:r>
          </w:p>
        </w:tc>
        <w:tc>
          <w:tcPr>
            <w:tcW w:w="1384" w:type="dxa"/>
            <w:tcBorders>
              <w:bottom w:val="single" w:sz="4" w:space="0" w:color="E28521" w:themeColor="accent5"/>
            </w:tcBorders>
            <w:shd w:val="clear" w:color="auto" w:fill="E28521" w:themeFill="accent5"/>
          </w:tcPr>
          <w:p w:rsidR="00411EF2" w:rsidRPr="00177251" w:rsidRDefault="00411EF2" w:rsidP="00E27373">
            <w:pPr>
              <w:pStyle w:val="NoSpacing"/>
              <w:spacing w:after="0" w:line="240" w:lineRule="auto"/>
              <w:rPr>
                <w:b/>
                <w:color w:val="FFFFFF" w:themeColor="background1"/>
                <w:szCs w:val="22"/>
              </w:rPr>
            </w:pPr>
            <w:r w:rsidRPr="00177251">
              <w:rPr>
                <w:b/>
                <w:color w:val="FFFFFF" w:themeColor="background1"/>
                <w:szCs w:val="22"/>
              </w:rPr>
              <w:t>75</w:t>
            </w:r>
            <w:r w:rsidRPr="00177251">
              <w:rPr>
                <w:b/>
                <w:color w:val="FFFFFF" w:themeColor="background1"/>
                <w:szCs w:val="22"/>
                <w:vertAlign w:val="superscript"/>
              </w:rPr>
              <w:t>th</w:t>
            </w:r>
          </w:p>
        </w:tc>
        <w:tc>
          <w:tcPr>
            <w:tcW w:w="1314" w:type="dxa"/>
            <w:tcBorders>
              <w:bottom w:val="single" w:sz="4" w:space="0" w:color="E28521" w:themeColor="accent5"/>
              <w:right w:val="single" w:sz="4" w:space="0" w:color="E28521" w:themeColor="accent5"/>
            </w:tcBorders>
            <w:shd w:val="clear" w:color="auto" w:fill="E28521" w:themeFill="accent5"/>
          </w:tcPr>
          <w:p w:rsidR="00411EF2" w:rsidRPr="00177251" w:rsidRDefault="00411EF2" w:rsidP="00E27373">
            <w:pPr>
              <w:pStyle w:val="NoSpacing"/>
              <w:spacing w:after="0" w:line="240" w:lineRule="auto"/>
              <w:rPr>
                <w:b/>
                <w:color w:val="FFFFFF" w:themeColor="background1"/>
                <w:szCs w:val="22"/>
              </w:rPr>
            </w:pPr>
            <w:r w:rsidRPr="00177251">
              <w:rPr>
                <w:b/>
                <w:color w:val="FFFFFF" w:themeColor="background1"/>
                <w:szCs w:val="22"/>
              </w:rPr>
              <w:t>95</w:t>
            </w:r>
            <w:r w:rsidRPr="00177251">
              <w:rPr>
                <w:b/>
                <w:color w:val="FFFFFF" w:themeColor="background1"/>
                <w:szCs w:val="22"/>
                <w:vertAlign w:val="superscript"/>
              </w:rPr>
              <w:t>th</w:t>
            </w:r>
          </w:p>
        </w:tc>
      </w:tr>
      <w:tr w:rsidR="00411EF2" w:rsidRPr="002902E0" w:rsidTr="00FB0C54">
        <w:trPr>
          <w:trHeight w:val="244"/>
          <w:tblHeader/>
        </w:trPr>
        <w:tc>
          <w:tcPr>
            <w:tcW w:w="10000" w:type="dxa"/>
            <w:gridSpan w:val="7"/>
            <w:tcBorders>
              <w:top w:val="single" w:sz="4" w:space="0" w:color="E28521" w:themeColor="accent5"/>
              <w:left w:val="single" w:sz="4" w:space="0" w:color="E28521" w:themeColor="accent5"/>
              <w:bottom w:val="single" w:sz="4" w:space="0" w:color="E28521" w:themeColor="accent5"/>
              <w:right w:val="single" w:sz="4" w:space="0" w:color="E28521" w:themeColor="accent5"/>
            </w:tcBorders>
            <w:shd w:val="clear" w:color="auto" w:fill="F3CEA5" w:themeFill="accent5" w:themeFillTint="66"/>
          </w:tcPr>
          <w:p w:rsidR="00411EF2" w:rsidRPr="00177251" w:rsidRDefault="00411EF2" w:rsidP="00E27373">
            <w:pPr>
              <w:pStyle w:val="NoSpacing"/>
              <w:spacing w:after="0" w:line="264" w:lineRule="auto"/>
              <w:rPr>
                <w:b/>
                <w:color w:val="auto"/>
                <w:szCs w:val="22"/>
              </w:rPr>
            </w:pPr>
            <w:r w:rsidRPr="00177251">
              <w:rPr>
                <w:b/>
                <w:color w:val="auto"/>
                <w:szCs w:val="22"/>
              </w:rPr>
              <w:t>General Education Classes</w:t>
            </w:r>
          </w:p>
        </w:tc>
      </w:tr>
      <w:tr w:rsidR="00411EF2" w:rsidRPr="002902E0" w:rsidTr="00FB0C54">
        <w:trPr>
          <w:trHeight w:val="244"/>
          <w:tblHeader/>
        </w:trPr>
        <w:tc>
          <w:tcPr>
            <w:tcW w:w="2610" w:type="dxa"/>
            <w:tcBorders>
              <w:top w:val="single" w:sz="4" w:space="0" w:color="E28521" w:themeColor="accent5"/>
              <w:left w:val="single" w:sz="4" w:space="0" w:color="E28521" w:themeColor="accent5"/>
              <w:bottom w:val="single" w:sz="4" w:space="0" w:color="EDB579" w:themeColor="accent5" w:themeTint="99"/>
            </w:tcBorders>
            <w:shd w:val="clear" w:color="auto" w:fill="auto"/>
          </w:tcPr>
          <w:p w:rsidR="00411EF2" w:rsidRPr="00C756F5" w:rsidRDefault="00411EF2" w:rsidP="00E27373">
            <w:pPr>
              <w:pStyle w:val="NoSpacing"/>
              <w:spacing w:after="0" w:line="264" w:lineRule="auto"/>
              <w:rPr>
                <w:b/>
                <w:color w:val="auto"/>
                <w:szCs w:val="22"/>
              </w:rPr>
            </w:pPr>
            <w:r w:rsidRPr="00C756F5">
              <w:rPr>
                <w:b/>
                <w:color w:val="auto"/>
                <w:szCs w:val="22"/>
              </w:rPr>
              <w:t>Grade 1</w:t>
            </w:r>
          </w:p>
        </w:tc>
        <w:tc>
          <w:tcPr>
            <w:tcW w:w="540" w:type="dxa"/>
            <w:tcBorders>
              <w:top w:val="single" w:sz="4" w:space="0" w:color="E28521" w:themeColor="accent5"/>
              <w:bottom w:val="single" w:sz="4" w:space="0" w:color="EDB579" w:themeColor="accent5" w:themeTint="99"/>
            </w:tcBorders>
          </w:tcPr>
          <w:p w:rsidR="00411EF2" w:rsidRPr="002902E0" w:rsidRDefault="00411EF2" w:rsidP="00E27373">
            <w:pPr>
              <w:pStyle w:val="NoSpacing"/>
              <w:spacing w:after="0" w:line="264" w:lineRule="auto"/>
              <w:rPr>
                <w:color w:val="auto"/>
                <w:szCs w:val="22"/>
              </w:rPr>
            </w:pPr>
          </w:p>
        </w:tc>
        <w:tc>
          <w:tcPr>
            <w:tcW w:w="1384" w:type="dxa"/>
            <w:tcBorders>
              <w:top w:val="single" w:sz="4" w:space="0" w:color="E28521" w:themeColor="accent5"/>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16.7</w:t>
            </w:r>
          </w:p>
        </w:tc>
        <w:tc>
          <w:tcPr>
            <w:tcW w:w="1384" w:type="dxa"/>
            <w:tcBorders>
              <w:top w:val="single" w:sz="4" w:space="0" w:color="E28521" w:themeColor="accent5"/>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18.9</w:t>
            </w:r>
          </w:p>
        </w:tc>
        <w:tc>
          <w:tcPr>
            <w:tcW w:w="1384" w:type="dxa"/>
            <w:tcBorders>
              <w:top w:val="single" w:sz="4" w:space="0" w:color="E28521" w:themeColor="accent5"/>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20.0</w:t>
            </w:r>
          </w:p>
        </w:tc>
        <w:tc>
          <w:tcPr>
            <w:tcW w:w="1384" w:type="dxa"/>
            <w:tcBorders>
              <w:top w:val="single" w:sz="4" w:space="0" w:color="E28521" w:themeColor="accent5"/>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21.1</w:t>
            </w:r>
          </w:p>
        </w:tc>
        <w:tc>
          <w:tcPr>
            <w:tcW w:w="1314" w:type="dxa"/>
            <w:tcBorders>
              <w:top w:val="single" w:sz="4" w:space="0" w:color="E28521" w:themeColor="accent5"/>
              <w:bottom w:val="single" w:sz="4" w:space="0" w:color="EDB579" w:themeColor="accent5" w:themeTint="99"/>
              <w:right w:val="single" w:sz="4" w:space="0" w:color="E28521" w:themeColor="accent5"/>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22.9</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411EF2" w:rsidRPr="00C756F5" w:rsidRDefault="00411EF2" w:rsidP="00E27373">
            <w:pPr>
              <w:pStyle w:val="NoSpacing"/>
              <w:spacing w:after="0" w:line="264" w:lineRule="auto"/>
              <w:rPr>
                <w:b/>
                <w:color w:val="auto"/>
                <w:szCs w:val="22"/>
              </w:rPr>
            </w:pPr>
            <w:r w:rsidRPr="00C756F5">
              <w:rPr>
                <w:b/>
                <w:color w:val="auto"/>
                <w:szCs w:val="22"/>
              </w:rPr>
              <w:t>Grade 2</w:t>
            </w:r>
          </w:p>
        </w:tc>
        <w:tc>
          <w:tcPr>
            <w:tcW w:w="540"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17.5</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19.4</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20.7</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21.8</w:t>
            </w:r>
          </w:p>
        </w:tc>
        <w:tc>
          <w:tcPr>
            <w:tcW w:w="1314"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23.6</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DB579" w:themeColor="accent5" w:themeTint="99"/>
            </w:tcBorders>
            <w:shd w:val="clear" w:color="auto" w:fill="auto"/>
          </w:tcPr>
          <w:p w:rsidR="00411EF2" w:rsidRPr="00C756F5" w:rsidRDefault="00411EF2" w:rsidP="00E27373">
            <w:pPr>
              <w:pStyle w:val="NoSpacing"/>
              <w:spacing w:after="0" w:line="264" w:lineRule="auto"/>
              <w:rPr>
                <w:b/>
                <w:color w:val="auto"/>
                <w:szCs w:val="22"/>
              </w:rPr>
            </w:pPr>
            <w:r w:rsidRPr="00C756F5">
              <w:rPr>
                <w:b/>
                <w:color w:val="auto"/>
                <w:szCs w:val="22"/>
              </w:rPr>
              <w:t>Grade 3</w:t>
            </w:r>
          </w:p>
        </w:tc>
        <w:tc>
          <w:tcPr>
            <w:tcW w:w="540" w:type="dxa"/>
            <w:tcBorders>
              <w:top w:val="single" w:sz="4" w:space="0" w:color="EDB579" w:themeColor="accent5" w:themeTint="99"/>
              <w:bottom w:val="single" w:sz="4" w:space="0" w:color="EDB579" w:themeColor="accent5" w:themeTint="99"/>
            </w:tcBorders>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17.7</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19.8</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21.1</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22.5</w:t>
            </w:r>
          </w:p>
        </w:tc>
        <w:tc>
          <w:tcPr>
            <w:tcW w:w="1314" w:type="dxa"/>
            <w:tcBorders>
              <w:top w:val="single" w:sz="4" w:space="0" w:color="EDB579" w:themeColor="accent5" w:themeTint="99"/>
              <w:bottom w:val="single" w:sz="4" w:space="0" w:color="EDB579" w:themeColor="accent5" w:themeTint="99"/>
              <w:right w:val="single" w:sz="4" w:space="0" w:color="E28521" w:themeColor="accent5"/>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24.3</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28521" w:themeColor="accent5"/>
            </w:tcBorders>
            <w:shd w:val="clear" w:color="auto" w:fill="F9E6D2" w:themeFill="accent5" w:themeFillTint="33"/>
          </w:tcPr>
          <w:p w:rsidR="00411EF2" w:rsidRPr="00C756F5" w:rsidRDefault="00411EF2" w:rsidP="00E27373">
            <w:pPr>
              <w:pStyle w:val="NoSpacing"/>
              <w:spacing w:after="0" w:line="264" w:lineRule="auto"/>
              <w:rPr>
                <w:b/>
                <w:color w:val="auto"/>
                <w:szCs w:val="22"/>
              </w:rPr>
            </w:pPr>
            <w:r w:rsidRPr="00C756F5">
              <w:rPr>
                <w:b/>
                <w:color w:val="auto"/>
                <w:szCs w:val="22"/>
              </w:rPr>
              <w:t>Grade 4</w:t>
            </w:r>
          </w:p>
        </w:tc>
        <w:tc>
          <w:tcPr>
            <w:tcW w:w="540" w:type="dxa"/>
            <w:tcBorders>
              <w:top w:val="single" w:sz="4" w:space="0" w:color="EDB579" w:themeColor="accent5" w:themeTint="99"/>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18.0</w:t>
            </w:r>
          </w:p>
        </w:tc>
        <w:tc>
          <w:tcPr>
            <w:tcW w:w="1384" w:type="dxa"/>
            <w:tcBorders>
              <w:top w:val="single" w:sz="4" w:space="0" w:color="EDB579" w:themeColor="accent5" w:themeTint="99"/>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20.1</w:t>
            </w:r>
          </w:p>
        </w:tc>
        <w:tc>
          <w:tcPr>
            <w:tcW w:w="1384" w:type="dxa"/>
            <w:tcBorders>
              <w:top w:val="single" w:sz="4" w:space="0" w:color="EDB579" w:themeColor="accent5" w:themeTint="99"/>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21.4</w:t>
            </w:r>
          </w:p>
        </w:tc>
        <w:tc>
          <w:tcPr>
            <w:tcW w:w="1384" w:type="dxa"/>
            <w:tcBorders>
              <w:top w:val="single" w:sz="4" w:space="0" w:color="EDB579" w:themeColor="accent5" w:themeTint="99"/>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22.5</w:t>
            </w:r>
          </w:p>
        </w:tc>
        <w:tc>
          <w:tcPr>
            <w:tcW w:w="1314" w:type="dxa"/>
            <w:tcBorders>
              <w:top w:val="single" w:sz="4" w:space="0" w:color="EDB579" w:themeColor="accent5" w:themeTint="99"/>
              <w:bottom w:val="single" w:sz="4" w:space="0" w:color="E28521" w:themeColor="accent5"/>
              <w:right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24.1</w:t>
            </w:r>
          </w:p>
        </w:tc>
      </w:tr>
      <w:tr w:rsidR="00411EF2" w:rsidRPr="002902E0" w:rsidTr="00FB0C54">
        <w:trPr>
          <w:trHeight w:val="244"/>
          <w:tblHeader/>
        </w:trPr>
        <w:tc>
          <w:tcPr>
            <w:tcW w:w="2610" w:type="dxa"/>
            <w:tcBorders>
              <w:top w:val="single" w:sz="4" w:space="0" w:color="E28521" w:themeColor="accent5"/>
              <w:left w:val="single" w:sz="4" w:space="0" w:color="E28521" w:themeColor="accent5"/>
              <w:bottom w:val="single" w:sz="4" w:space="0" w:color="E28521" w:themeColor="accent5"/>
            </w:tcBorders>
            <w:shd w:val="clear" w:color="auto" w:fill="F3CEA5" w:themeFill="accent5" w:themeFillTint="66"/>
          </w:tcPr>
          <w:p w:rsidR="00411EF2" w:rsidRPr="00C756F5" w:rsidRDefault="00411EF2" w:rsidP="00E27373">
            <w:pPr>
              <w:pStyle w:val="NoSpacing"/>
              <w:spacing w:after="0" w:line="264" w:lineRule="auto"/>
              <w:rPr>
                <w:b/>
                <w:color w:val="auto"/>
                <w:szCs w:val="22"/>
              </w:rPr>
            </w:pPr>
            <w:r w:rsidRPr="00C756F5">
              <w:rPr>
                <w:b/>
                <w:color w:val="auto"/>
                <w:szCs w:val="22"/>
              </w:rPr>
              <w:t>Math Classes</w:t>
            </w:r>
          </w:p>
        </w:tc>
        <w:tc>
          <w:tcPr>
            <w:tcW w:w="540" w:type="dxa"/>
            <w:tcBorders>
              <w:top w:val="single" w:sz="4" w:space="0" w:color="E28521" w:themeColor="accent5"/>
              <w:bottom w:val="single" w:sz="4" w:space="0" w:color="E28521" w:themeColor="accent5"/>
            </w:tcBorders>
            <w:shd w:val="clear" w:color="auto" w:fill="F3CEA5" w:themeFill="accent5" w:themeFillTint="66"/>
          </w:tcPr>
          <w:p w:rsidR="00411EF2" w:rsidRPr="002902E0" w:rsidRDefault="00411EF2" w:rsidP="00E27373">
            <w:pPr>
              <w:pStyle w:val="NoSpacing"/>
              <w:spacing w:after="0" w:line="264" w:lineRule="auto"/>
              <w:rPr>
                <w:color w:val="auto"/>
                <w:szCs w:val="22"/>
              </w:rPr>
            </w:pPr>
          </w:p>
        </w:tc>
        <w:tc>
          <w:tcPr>
            <w:tcW w:w="1384" w:type="dxa"/>
            <w:tcBorders>
              <w:top w:val="single" w:sz="4" w:space="0" w:color="E28521" w:themeColor="accent5"/>
              <w:bottom w:val="single" w:sz="4" w:space="0" w:color="E28521" w:themeColor="accent5"/>
            </w:tcBorders>
            <w:shd w:val="clear" w:color="auto" w:fill="F3CEA5" w:themeFill="accent5" w:themeFillTint="66"/>
          </w:tcPr>
          <w:p w:rsidR="00411EF2" w:rsidRPr="002902E0" w:rsidRDefault="00411EF2" w:rsidP="00E27373">
            <w:pPr>
              <w:pStyle w:val="NoSpacing"/>
              <w:spacing w:after="0" w:line="264" w:lineRule="auto"/>
              <w:rPr>
                <w:color w:val="auto"/>
                <w:szCs w:val="22"/>
              </w:rPr>
            </w:pPr>
          </w:p>
        </w:tc>
        <w:tc>
          <w:tcPr>
            <w:tcW w:w="1384" w:type="dxa"/>
            <w:tcBorders>
              <w:top w:val="single" w:sz="4" w:space="0" w:color="E28521" w:themeColor="accent5"/>
              <w:bottom w:val="single" w:sz="4" w:space="0" w:color="E28521" w:themeColor="accent5"/>
            </w:tcBorders>
            <w:shd w:val="clear" w:color="auto" w:fill="F3CEA5" w:themeFill="accent5" w:themeFillTint="66"/>
          </w:tcPr>
          <w:p w:rsidR="00411EF2" w:rsidRPr="002902E0" w:rsidRDefault="00411EF2" w:rsidP="00E27373">
            <w:pPr>
              <w:pStyle w:val="NoSpacing"/>
              <w:spacing w:after="0" w:line="264" w:lineRule="auto"/>
              <w:rPr>
                <w:color w:val="auto"/>
                <w:szCs w:val="22"/>
              </w:rPr>
            </w:pPr>
          </w:p>
        </w:tc>
        <w:tc>
          <w:tcPr>
            <w:tcW w:w="1384" w:type="dxa"/>
            <w:tcBorders>
              <w:top w:val="single" w:sz="4" w:space="0" w:color="E28521" w:themeColor="accent5"/>
              <w:bottom w:val="single" w:sz="4" w:space="0" w:color="E28521" w:themeColor="accent5"/>
            </w:tcBorders>
            <w:shd w:val="clear" w:color="auto" w:fill="F3CEA5" w:themeFill="accent5" w:themeFillTint="66"/>
          </w:tcPr>
          <w:p w:rsidR="00411EF2" w:rsidRPr="002902E0" w:rsidRDefault="00411EF2" w:rsidP="00E27373">
            <w:pPr>
              <w:pStyle w:val="NoSpacing"/>
              <w:spacing w:after="0" w:line="264" w:lineRule="auto"/>
              <w:rPr>
                <w:color w:val="auto"/>
                <w:szCs w:val="22"/>
              </w:rPr>
            </w:pPr>
          </w:p>
        </w:tc>
        <w:tc>
          <w:tcPr>
            <w:tcW w:w="1384" w:type="dxa"/>
            <w:tcBorders>
              <w:top w:val="single" w:sz="4" w:space="0" w:color="E28521" w:themeColor="accent5"/>
              <w:bottom w:val="single" w:sz="4" w:space="0" w:color="E28521" w:themeColor="accent5"/>
            </w:tcBorders>
            <w:shd w:val="clear" w:color="auto" w:fill="F3CEA5" w:themeFill="accent5" w:themeFillTint="66"/>
          </w:tcPr>
          <w:p w:rsidR="00411EF2" w:rsidRPr="002902E0" w:rsidRDefault="00411EF2" w:rsidP="00E27373">
            <w:pPr>
              <w:pStyle w:val="NoSpacing"/>
              <w:spacing w:after="0" w:line="264" w:lineRule="auto"/>
              <w:rPr>
                <w:color w:val="auto"/>
                <w:szCs w:val="22"/>
              </w:rPr>
            </w:pPr>
          </w:p>
        </w:tc>
        <w:tc>
          <w:tcPr>
            <w:tcW w:w="1314" w:type="dxa"/>
            <w:tcBorders>
              <w:top w:val="single" w:sz="4" w:space="0" w:color="E28521" w:themeColor="accent5"/>
              <w:bottom w:val="single" w:sz="4" w:space="0" w:color="E28521" w:themeColor="accent5"/>
              <w:right w:val="single" w:sz="4" w:space="0" w:color="E28521" w:themeColor="accent5"/>
            </w:tcBorders>
            <w:shd w:val="clear" w:color="auto" w:fill="F3CEA5" w:themeFill="accent5" w:themeFillTint="66"/>
          </w:tcPr>
          <w:p w:rsidR="00411EF2" w:rsidRPr="002902E0" w:rsidRDefault="00411EF2" w:rsidP="00E27373">
            <w:pPr>
              <w:pStyle w:val="NoSpacing"/>
              <w:spacing w:after="0" w:line="264" w:lineRule="auto"/>
              <w:rPr>
                <w:color w:val="auto"/>
                <w:szCs w:val="22"/>
              </w:rPr>
            </w:pPr>
          </w:p>
        </w:tc>
      </w:tr>
      <w:tr w:rsidR="00411EF2" w:rsidRPr="002902E0" w:rsidTr="00FB0C54">
        <w:trPr>
          <w:trHeight w:val="244"/>
          <w:tblHeader/>
        </w:trPr>
        <w:tc>
          <w:tcPr>
            <w:tcW w:w="2610" w:type="dxa"/>
            <w:tcBorders>
              <w:top w:val="single" w:sz="4" w:space="0" w:color="E28521" w:themeColor="accent5"/>
              <w:left w:val="single" w:sz="4" w:space="0" w:color="E28521" w:themeColor="accent5"/>
              <w:bottom w:val="single" w:sz="4" w:space="0" w:color="EDB579" w:themeColor="accent5" w:themeTint="99"/>
            </w:tcBorders>
            <w:shd w:val="clear" w:color="auto" w:fill="auto"/>
          </w:tcPr>
          <w:p w:rsidR="00411EF2" w:rsidRPr="00C756F5" w:rsidRDefault="00411EF2" w:rsidP="00E27373">
            <w:pPr>
              <w:pStyle w:val="NoSpacing"/>
              <w:spacing w:after="0" w:line="264" w:lineRule="auto"/>
              <w:rPr>
                <w:b/>
                <w:color w:val="auto"/>
                <w:szCs w:val="22"/>
              </w:rPr>
            </w:pPr>
            <w:r w:rsidRPr="00C756F5">
              <w:rPr>
                <w:b/>
                <w:color w:val="auto"/>
                <w:szCs w:val="22"/>
              </w:rPr>
              <w:t>Grade 5</w:t>
            </w:r>
          </w:p>
        </w:tc>
        <w:tc>
          <w:tcPr>
            <w:tcW w:w="540" w:type="dxa"/>
            <w:tcBorders>
              <w:top w:val="single" w:sz="4" w:space="0" w:color="E28521" w:themeColor="accent5"/>
              <w:bottom w:val="single" w:sz="4" w:space="0" w:color="EDB579" w:themeColor="accent5" w:themeTint="99"/>
            </w:tcBorders>
          </w:tcPr>
          <w:p w:rsidR="00411EF2" w:rsidRPr="002902E0" w:rsidRDefault="00411EF2" w:rsidP="00E27373">
            <w:pPr>
              <w:pStyle w:val="NoSpacing"/>
              <w:spacing w:after="0" w:line="264" w:lineRule="auto"/>
              <w:rPr>
                <w:color w:val="auto"/>
                <w:szCs w:val="22"/>
              </w:rPr>
            </w:pPr>
          </w:p>
        </w:tc>
        <w:tc>
          <w:tcPr>
            <w:tcW w:w="1384" w:type="dxa"/>
            <w:tcBorders>
              <w:top w:val="single" w:sz="4" w:space="0" w:color="E28521" w:themeColor="accent5"/>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17.8</w:t>
            </w:r>
          </w:p>
        </w:tc>
        <w:tc>
          <w:tcPr>
            <w:tcW w:w="1384" w:type="dxa"/>
            <w:tcBorders>
              <w:top w:val="single" w:sz="4" w:space="0" w:color="E28521" w:themeColor="accent5"/>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19.9</w:t>
            </w:r>
          </w:p>
        </w:tc>
        <w:tc>
          <w:tcPr>
            <w:tcW w:w="1384" w:type="dxa"/>
            <w:tcBorders>
              <w:top w:val="single" w:sz="4" w:space="0" w:color="E28521" w:themeColor="accent5"/>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21.4</w:t>
            </w:r>
          </w:p>
        </w:tc>
        <w:tc>
          <w:tcPr>
            <w:tcW w:w="1384" w:type="dxa"/>
            <w:tcBorders>
              <w:top w:val="single" w:sz="4" w:space="0" w:color="E28521" w:themeColor="accent5"/>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22.8</w:t>
            </w:r>
          </w:p>
        </w:tc>
        <w:tc>
          <w:tcPr>
            <w:tcW w:w="1314" w:type="dxa"/>
            <w:tcBorders>
              <w:top w:val="single" w:sz="4" w:space="0" w:color="E28521" w:themeColor="accent5"/>
              <w:bottom w:val="single" w:sz="4" w:space="0" w:color="EDB579" w:themeColor="accent5" w:themeTint="99"/>
              <w:right w:val="single" w:sz="4" w:space="0" w:color="E28521" w:themeColor="accent5"/>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25.7</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411EF2" w:rsidRPr="00C756F5" w:rsidRDefault="00411EF2" w:rsidP="00E27373">
            <w:pPr>
              <w:pStyle w:val="NoSpacing"/>
              <w:spacing w:after="0" w:line="264" w:lineRule="auto"/>
              <w:rPr>
                <w:b/>
                <w:color w:val="auto"/>
                <w:szCs w:val="22"/>
              </w:rPr>
            </w:pPr>
            <w:r w:rsidRPr="00C756F5">
              <w:rPr>
                <w:b/>
                <w:color w:val="auto"/>
                <w:szCs w:val="22"/>
              </w:rPr>
              <w:t>Grade 6</w:t>
            </w:r>
          </w:p>
        </w:tc>
        <w:tc>
          <w:tcPr>
            <w:tcW w:w="540"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16.6</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19.5</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21.0</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22.6</w:t>
            </w:r>
          </w:p>
        </w:tc>
        <w:tc>
          <w:tcPr>
            <w:tcW w:w="1314"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24.8</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DB579" w:themeColor="accent5" w:themeTint="99"/>
            </w:tcBorders>
            <w:shd w:val="clear" w:color="auto" w:fill="auto"/>
          </w:tcPr>
          <w:p w:rsidR="00411EF2" w:rsidRPr="00C756F5" w:rsidRDefault="00411EF2" w:rsidP="00E27373">
            <w:pPr>
              <w:pStyle w:val="NoSpacing"/>
              <w:spacing w:after="0" w:line="264" w:lineRule="auto"/>
              <w:rPr>
                <w:b/>
                <w:color w:val="auto"/>
                <w:szCs w:val="22"/>
              </w:rPr>
            </w:pPr>
            <w:r w:rsidRPr="00C756F5">
              <w:rPr>
                <w:b/>
                <w:color w:val="auto"/>
                <w:szCs w:val="22"/>
              </w:rPr>
              <w:t>Grade 7</w:t>
            </w:r>
          </w:p>
        </w:tc>
        <w:tc>
          <w:tcPr>
            <w:tcW w:w="540" w:type="dxa"/>
            <w:tcBorders>
              <w:top w:val="single" w:sz="4" w:space="0" w:color="EDB579" w:themeColor="accent5" w:themeTint="99"/>
              <w:bottom w:val="single" w:sz="4" w:space="0" w:color="EDB579" w:themeColor="accent5" w:themeTint="99"/>
            </w:tcBorders>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15.5</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18.2</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20.4</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21.9</w:t>
            </w:r>
          </w:p>
        </w:tc>
        <w:tc>
          <w:tcPr>
            <w:tcW w:w="1314" w:type="dxa"/>
            <w:tcBorders>
              <w:top w:val="single" w:sz="4" w:space="0" w:color="EDB579" w:themeColor="accent5" w:themeTint="99"/>
              <w:bottom w:val="single" w:sz="4" w:space="0" w:color="EDB579" w:themeColor="accent5" w:themeTint="99"/>
              <w:right w:val="single" w:sz="4" w:space="0" w:color="E28521" w:themeColor="accent5"/>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24.3</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411EF2" w:rsidRPr="00C756F5" w:rsidRDefault="00411EF2" w:rsidP="00E27373">
            <w:pPr>
              <w:pStyle w:val="NoSpacing"/>
              <w:spacing w:after="0" w:line="264" w:lineRule="auto"/>
              <w:rPr>
                <w:b/>
                <w:color w:val="auto"/>
                <w:szCs w:val="22"/>
              </w:rPr>
            </w:pPr>
            <w:r w:rsidRPr="00C756F5">
              <w:rPr>
                <w:b/>
                <w:color w:val="auto"/>
                <w:szCs w:val="22"/>
              </w:rPr>
              <w:t>Grade 8</w:t>
            </w:r>
          </w:p>
        </w:tc>
        <w:tc>
          <w:tcPr>
            <w:tcW w:w="540"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15.5</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18.3</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20.4</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21.6</w:t>
            </w:r>
          </w:p>
        </w:tc>
        <w:tc>
          <w:tcPr>
            <w:tcW w:w="1314"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23.6</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DB579" w:themeColor="accent5" w:themeTint="99"/>
            </w:tcBorders>
            <w:shd w:val="clear" w:color="auto" w:fill="auto"/>
          </w:tcPr>
          <w:p w:rsidR="00411EF2" w:rsidRPr="00C756F5" w:rsidRDefault="00411EF2" w:rsidP="00E27373">
            <w:pPr>
              <w:pStyle w:val="NoSpacing"/>
              <w:spacing w:after="0" w:line="264" w:lineRule="auto"/>
              <w:rPr>
                <w:b/>
                <w:color w:val="auto"/>
                <w:szCs w:val="22"/>
              </w:rPr>
            </w:pPr>
            <w:r w:rsidRPr="00C756F5">
              <w:rPr>
                <w:b/>
                <w:color w:val="auto"/>
                <w:szCs w:val="22"/>
              </w:rPr>
              <w:t>Grade 9</w:t>
            </w:r>
          </w:p>
        </w:tc>
        <w:tc>
          <w:tcPr>
            <w:tcW w:w="540" w:type="dxa"/>
            <w:tcBorders>
              <w:top w:val="single" w:sz="4" w:space="0" w:color="EDB579" w:themeColor="accent5" w:themeTint="99"/>
              <w:bottom w:val="single" w:sz="4" w:space="0" w:color="EDB579" w:themeColor="accent5" w:themeTint="99"/>
            </w:tcBorders>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13.6</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16.9</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18.7</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20.5</w:t>
            </w:r>
          </w:p>
        </w:tc>
        <w:tc>
          <w:tcPr>
            <w:tcW w:w="1314" w:type="dxa"/>
            <w:tcBorders>
              <w:top w:val="single" w:sz="4" w:space="0" w:color="EDB579" w:themeColor="accent5" w:themeTint="99"/>
              <w:bottom w:val="single" w:sz="4" w:space="0" w:color="EDB579" w:themeColor="accent5" w:themeTint="99"/>
              <w:right w:val="single" w:sz="4" w:space="0" w:color="E28521" w:themeColor="accent5"/>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22.4</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411EF2" w:rsidRPr="00C756F5" w:rsidRDefault="00411EF2" w:rsidP="00E27373">
            <w:pPr>
              <w:pStyle w:val="NoSpacing"/>
              <w:spacing w:after="0" w:line="264" w:lineRule="auto"/>
              <w:rPr>
                <w:b/>
                <w:color w:val="auto"/>
                <w:szCs w:val="22"/>
              </w:rPr>
            </w:pPr>
            <w:r w:rsidRPr="00C756F5">
              <w:rPr>
                <w:b/>
                <w:color w:val="auto"/>
                <w:szCs w:val="22"/>
              </w:rPr>
              <w:t>Grade 10</w:t>
            </w:r>
          </w:p>
        </w:tc>
        <w:tc>
          <w:tcPr>
            <w:tcW w:w="540"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13.0</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17.5</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19.9</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21.2</w:t>
            </w:r>
          </w:p>
        </w:tc>
        <w:tc>
          <w:tcPr>
            <w:tcW w:w="1314"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23.1</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DB579" w:themeColor="accent5" w:themeTint="99"/>
            </w:tcBorders>
            <w:shd w:val="clear" w:color="auto" w:fill="auto"/>
          </w:tcPr>
          <w:p w:rsidR="00411EF2" w:rsidRPr="00C756F5" w:rsidRDefault="00411EF2" w:rsidP="00E27373">
            <w:pPr>
              <w:pStyle w:val="NoSpacing"/>
              <w:spacing w:after="0" w:line="264" w:lineRule="auto"/>
              <w:rPr>
                <w:b/>
                <w:color w:val="auto"/>
                <w:szCs w:val="22"/>
              </w:rPr>
            </w:pPr>
            <w:r w:rsidRPr="00C756F5">
              <w:rPr>
                <w:b/>
                <w:color w:val="auto"/>
                <w:szCs w:val="22"/>
              </w:rPr>
              <w:t>Grade 11</w:t>
            </w:r>
          </w:p>
        </w:tc>
        <w:tc>
          <w:tcPr>
            <w:tcW w:w="540" w:type="dxa"/>
            <w:tcBorders>
              <w:top w:val="single" w:sz="4" w:space="0" w:color="EDB579" w:themeColor="accent5" w:themeTint="99"/>
              <w:bottom w:val="single" w:sz="4" w:space="0" w:color="EDB579" w:themeColor="accent5" w:themeTint="99"/>
            </w:tcBorders>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15.3</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18.5</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19.9</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22.0</w:t>
            </w:r>
          </w:p>
        </w:tc>
        <w:tc>
          <w:tcPr>
            <w:tcW w:w="1314" w:type="dxa"/>
            <w:tcBorders>
              <w:top w:val="single" w:sz="4" w:space="0" w:color="EDB579" w:themeColor="accent5" w:themeTint="99"/>
              <w:bottom w:val="single" w:sz="4" w:space="0" w:color="EDB579" w:themeColor="accent5" w:themeTint="99"/>
              <w:right w:val="single" w:sz="4" w:space="0" w:color="E28521" w:themeColor="accent5"/>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24.5</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28521" w:themeColor="accent5"/>
            </w:tcBorders>
            <w:shd w:val="clear" w:color="auto" w:fill="F9E6D2" w:themeFill="accent5" w:themeFillTint="33"/>
          </w:tcPr>
          <w:p w:rsidR="00411EF2" w:rsidRPr="00C756F5" w:rsidRDefault="00411EF2" w:rsidP="00E27373">
            <w:pPr>
              <w:pStyle w:val="NoSpacing"/>
              <w:spacing w:after="0" w:line="264" w:lineRule="auto"/>
              <w:rPr>
                <w:b/>
                <w:color w:val="auto"/>
                <w:szCs w:val="22"/>
              </w:rPr>
            </w:pPr>
            <w:r w:rsidRPr="00C756F5">
              <w:rPr>
                <w:b/>
                <w:color w:val="auto"/>
                <w:szCs w:val="22"/>
              </w:rPr>
              <w:t>Grade 12</w:t>
            </w:r>
          </w:p>
        </w:tc>
        <w:tc>
          <w:tcPr>
            <w:tcW w:w="540" w:type="dxa"/>
            <w:tcBorders>
              <w:top w:val="single" w:sz="4" w:space="0" w:color="EDB579" w:themeColor="accent5" w:themeTint="99"/>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14.0</w:t>
            </w:r>
          </w:p>
        </w:tc>
        <w:tc>
          <w:tcPr>
            <w:tcW w:w="1384" w:type="dxa"/>
            <w:tcBorders>
              <w:top w:val="single" w:sz="4" w:space="0" w:color="EDB579" w:themeColor="accent5" w:themeTint="99"/>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16.1</w:t>
            </w:r>
          </w:p>
        </w:tc>
        <w:tc>
          <w:tcPr>
            <w:tcW w:w="1384" w:type="dxa"/>
            <w:tcBorders>
              <w:top w:val="single" w:sz="4" w:space="0" w:color="EDB579" w:themeColor="accent5" w:themeTint="99"/>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18.6</w:t>
            </w:r>
          </w:p>
        </w:tc>
        <w:tc>
          <w:tcPr>
            <w:tcW w:w="1384" w:type="dxa"/>
            <w:tcBorders>
              <w:top w:val="single" w:sz="4" w:space="0" w:color="EDB579" w:themeColor="accent5" w:themeTint="99"/>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19.8</w:t>
            </w:r>
          </w:p>
        </w:tc>
        <w:tc>
          <w:tcPr>
            <w:tcW w:w="1314" w:type="dxa"/>
            <w:tcBorders>
              <w:top w:val="single" w:sz="4" w:space="0" w:color="EDB579" w:themeColor="accent5" w:themeTint="99"/>
              <w:bottom w:val="single" w:sz="4" w:space="0" w:color="E28521" w:themeColor="accent5"/>
              <w:right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22.8</w:t>
            </w:r>
          </w:p>
        </w:tc>
      </w:tr>
      <w:tr w:rsidR="00411EF2" w:rsidRPr="002902E0" w:rsidTr="00FB0C54">
        <w:trPr>
          <w:trHeight w:val="244"/>
          <w:tblHeader/>
        </w:trPr>
        <w:tc>
          <w:tcPr>
            <w:tcW w:w="2610" w:type="dxa"/>
            <w:tcBorders>
              <w:top w:val="single" w:sz="4" w:space="0" w:color="E28521" w:themeColor="accent5"/>
              <w:left w:val="single" w:sz="4" w:space="0" w:color="E28521" w:themeColor="accent5"/>
              <w:bottom w:val="single" w:sz="4" w:space="0" w:color="E28521" w:themeColor="accent5"/>
            </w:tcBorders>
            <w:shd w:val="clear" w:color="auto" w:fill="F3CEA5" w:themeFill="accent5" w:themeFillTint="66"/>
          </w:tcPr>
          <w:p w:rsidR="00411EF2" w:rsidRPr="00C756F5" w:rsidRDefault="00411EF2" w:rsidP="00E27373">
            <w:pPr>
              <w:pStyle w:val="NoSpacing"/>
              <w:spacing w:after="0" w:line="264" w:lineRule="auto"/>
              <w:rPr>
                <w:b/>
                <w:color w:val="auto"/>
                <w:szCs w:val="22"/>
              </w:rPr>
            </w:pPr>
            <w:r w:rsidRPr="00C756F5">
              <w:rPr>
                <w:b/>
                <w:color w:val="auto"/>
                <w:szCs w:val="22"/>
              </w:rPr>
              <w:t>ELA Classes</w:t>
            </w:r>
          </w:p>
        </w:tc>
        <w:tc>
          <w:tcPr>
            <w:tcW w:w="540" w:type="dxa"/>
            <w:tcBorders>
              <w:top w:val="single" w:sz="4" w:space="0" w:color="E28521" w:themeColor="accent5"/>
              <w:bottom w:val="single" w:sz="4" w:space="0" w:color="E28521" w:themeColor="accent5"/>
            </w:tcBorders>
            <w:shd w:val="clear" w:color="auto" w:fill="F3CEA5" w:themeFill="accent5" w:themeFillTint="66"/>
          </w:tcPr>
          <w:p w:rsidR="00411EF2" w:rsidRPr="002902E0" w:rsidRDefault="00411EF2" w:rsidP="00E27373">
            <w:pPr>
              <w:pStyle w:val="NoSpacing"/>
              <w:spacing w:after="0" w:line="264" w:lineRule="auto"/>
              <w:rPr>
                <w:color w:val="auto"/>
                <w:szCs w:val="22"/>
              </w:rPr>
            </w:pPr>
          </w:p>
        </w:tc>
        <w:tc>
          <w:tcPr>
            <w:tcW w:w="1384" w:type="dxa"/>
            <w:tcBorders>
              <w:top w:val="single" w:sz="4" w:space="0" w:color="E28521" w:themeColor="accent5"/>
              <w:bottom w:val="single" w:sz="4" w:space="0" w:color="E28521" w:themeColor="accent5"/>
            </w:tcBorders>
            <w:shd w:val="clear" w:color="auto" w:fill="F3CEA5" w:themeFill="accent5" w:themeFillTint="66"/>
          </w:tcPr>
          <w:p w:rsidR="00411EF2" w:rsidRPr="002902E0" w:rsidRDefault="00411EF2" w:rsidP="00E27373">
            <w:pPr>
              <w:pStyle w:val="NoSpacing"/>
              <w:spacing w:after="0" w:line="264" w:lineRule="auto"/>
              <w:rPr>
                <w:color w:val="auto"/>
                <w:szCs w:val="22"/>
              </w:rPr>
            </w:pPr>
          </w:p>
        </w:tc>
        <w:tc>
          <w:tcPr>
            <w:tcW w:w="1384" w:type="dxa"/>
            <w:tcBorders>
              <w:top w:val="single" w:sz="4" w:space="0" w:color="E28521" w:themeColor="accent5"/>
              <w:bottom w:val="single" w:sz="4" w:space="0" w:color="E28521" w:themeColor="accent5"/>
            </w:tcBorders>
            <w:shd w:val="clear" w:color="auto" w:fill="F3CEA5" w:themeFill="accent5" w:themeFillTint="66"/>
          </w:tcPr>
          <w:p w:rsidR="00411EF2" w:rsidRPr="002902E0" w:rsidRDefault="00411EF2" w:rsidP="00E27373">
            <w:pPr>
              <w:pStyle w:val="NoSpacing"/>
              <w:spacing w:after="0" w:line="264" w:lineRule="auto"/>
              <w:rPr>
                <w:color w:val="auto"/>
                <w:szCs w:val="22"/>
              </w:rPr>
            </w:pPr>
          </w:p>
        </w:tc>
        <w:tc>
          <w:tcPr>
            <w:tcW w:w="1384" w:type="dxa"/>
            <w:tcBorders>
              <w:top w:val="single" w:sz="4" w:space="0" w:color="E28521" w:themeColor="accent5"/>
              <w:bottom w:val="single" w:sz="4" w:space="0" w:color="E28521" w:themeColor="accent5"/>
            </w:tcBorders>
            <w:shd w:val="clear" w:color="auto" w:fill="F3CEA5" w:themeFill="accent5" w:themeFillTint="66"/>
          </w:tcPr>
          <w:p w:rsidR="00411EF2" w:rsidRPr="002902E0" w:rsidRDefault="00411EF2" w:rsidP="00E27373">
            <w:pPr>
              <w:pStyle w:val="NoSpacing"/>
              <w:spacing w:after="0" w:line="264" w:lineRule="auto"/>
              <w:rPr>
                <w:color w:val="auto"/>
                <w:szCs w:val="22"/>
              </w:rPr>
            </w:pPr>
          </w:p>
        </w:tc>
        <w:tc>
          <w:tcPr>
            <w:tcW w:w="1384" w:type="dxa"/>
            <w:tcBorders>
              <w:top w:val="single" w:sz="4" w:space="0" w:color="E28521" w:themeColor="accent5"/>
              <w:bottom w:val="single" w:sz="4" w:space="0" w:color="E28521" w:themeColor="accent5"/>
            </w:tcBorders>
            <w:shd w:val="clear" w:color="auto" w:fill="F3CEA5" w:themeFill="accent5" w:themeFillTint="66"/>
          </w:tcPr>
          <w:p w:rsidR="00411EF2" w:rsidRPr="002902E0" w:rsidRDefault="00411EF2" w:rsidP="00E27373">
            <w:pPr>
              <w:pStyle w:val="NoSpacing"/>
              <w:spacing w:after="0" w:line="264" w:lineRule="auto"/>
              <w:rPr>
                <w:color w:val="auto"/>
                <w:szCs w:val="22"/>
              </w:rPr>
            </w:pPr>
          </w:p>
        </w:tc>
        <w:tc>
          <w:tcPr>
            <w:tcW w:w="1314" w:type="dxa"/>
            <w:tcBorders>
              <w:top w:val="single" w:sz="4" w:space="0" w:color="E28521" w:themeColor="accent5"/>
              <w:bottom w:val="single" w:sz="4" w:space="0" w:color="E28521" w:themeColor="accent5"/>
              <w:right w:val="single" w:sz="4" w:space="0" w:color="E28521" w:themeColor="accent5"/>
            </w:tcBorders>
            <w:shd w:val="clear" w:color="auto" w:fill="F3CEA5" w:themeFill="accent5" w:themeFillTint="66"/>
          </w:tcPr>
          <w:p w:rsidR="00411EF2" w:rsidRPr="002902E0" w:rsidRDefault="00411EF2" w:rsidP="00E27373">
            <w:pPr>
              <w:pStyle w:val="NoSpacing"/>
              <w:spacing w:after="0" w:line="264" w:lineRule="auto"/>
              <w:rPr>
                <w:color w:val="auto"/>
                <w:szCs w:val="22"/>
              </w:rPr>
            </w:pPr>
          </w:p>
        </w:tc>
      </w:tr>
      <w:tr w:rsidR="00411EF2" w:rsidRPr="002902E0" w:rsidTr="00FB0C54">
        <w:trPr>
          <w:trHeight w:val="244"/>
          <w:tblHeader/>
        </w:trPr>
        <w:tc>
          <w:tcPr>
            <w:tcW w:w="2610" w:type="dxa"/>
            <w:tcBorders>
              <w:top w:val="single" w:sz="4" w:space="0" w:color="E28521" w:themeColor="accent5"/>
              <w:left w:val="single" w:sz="4" w:space="0" w:color="E28521" w:themeColor="accent5"/>
              <w:bottom w:val="single" w:sz="4" w:space="0" w:color="EDB579" w:themeColor="accent5" w:themeTint="99"/>
            </w:tcBorders>
            <w:shd w:val="clear" w:color="auto" w:fill="auto"/>
          </w:tcPr>
          <w:p w:rsidR="00411EF2" w:rsidRPr="00C756F5" w:rsidRDefault="00411EF2" w:rsidP="00E27373">
            <w:pPr>
              <w:pStyle w:val="NoSpacing"/>
              <w:spacing w:after="0" w:line="264" w:lineRule="auto"/>
              <w:rPr>
                <w:b/>
                <w:color w:val="auto"/>
                <w:szCs w:val="22"/>
              </w:rPr>
            </w:pPr>
            <w:r w:rsidRPr="00C756F5">
              <w:rPr>
                <w:b/>
                <w:color w:val="auto"/>
                <w:szCs w:val="22"/>
              </w:rPr>
              <w:t>Grade 5</w:t>
            </w:r>
          </w:p>
        </w:tc>
        <w:tc>
          <w:tcPr>
            <w:tcW w:w="540" w:type="dxa"/>
            <w:tcBorders>
              <w:top w:val="single" w:sz="4" w:space="0" w:color="E28521" w:themeColor="accent5"/>
              <w:bottom w:val="single" w:sz="4" w:space="0" w:color="EDB579" w:themeColor="accent5" w:themeTint="99"/>
            </w:tcBorders>
          </w:tcPr>
          <w:p w:rsidR="00411EF2" w:rsidRPr="002902E0" w:rsidRDefault="00411EF2" w:rsidP="00E27373">
            <w:pPr>
              <w:pStyle w:val="NoSpacing"/>
              <w:spacing w:after="0" w:line="264" w:lineRule="auto"/>
              <w:rPr>
                <w:color w:val="auto"/>
                <w:szCs w:val="22"/>
              </w:rPr>
            </w:pPr>
          </w:p>
        </w:tc>
        <w:tc>
          <w:tcPr>
            <w:tcW w:w="1384" w:type="dxa"/>
            <w:tcBorders>
              <w:top w:val="single" w:sz="4" w:space="0" w:color="E28521" w:themeColor="accent5"/>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16.5</w:t>
            </w:r>
          </w:p>
        </w:tc>
        <w:tc>
          <w:tcPr>
            <w:tcW w:w="1384" w:type="dxa"/>
            <w:tcBorders>
              <w:top w:val="single" w:sz="4" w:space="0" w:color="E28521" w:themeColor="accent5"/>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18.5</w:t>
            </w:r>
          </w:p>
        </w:tc>
        <w:tc>
          <w:tcPr>
            <w:tcW w:w="1384" w:type="dxa"/>
            <w:tcBorders>
              <w:top w:val="single" w:sz="4" w:space="0" w:color="E28521" w:themeColor="accent5"/>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19.9</w:t>
            </w:r>
          </w:p>
        </w:tc>
        <w:tc>
          <w:tcPr>
            <w:tcW w:w="1384" w:type="dxa"/>
            <w:tcBorders>
              <w:top w:val="single" w:sz="4" w:space="0" w:color="E28521" w:themeColor="accent5"/>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21.8</w:t>
            </w:r>
          </w:p>
        </w:tc>
        <w:tc>
          <w:tcPr>
            <w:tcW w:w="1314" w:type="dxa"/>
            <w:tcBorders>
              <w:top w:val="single" w:sz="4" w:space="0" w:color="E28521" w:themeColor="accent5"/>
              <w:bottom w:val="single" w:sz="4" w:space="0" w:color="EDB579" w:themeColor="accent5" w:themeTint="99"/>
              <w:right w:val="single" w:sz="4" w:space="0" w:color="E28521" w:themeColor="accent5"/>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24.3</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411EF2" w:rsidRPr="00C756F5" w:rsidRDefault="00411EF2" w:rsidP="00E27373">
            <w:pPr>
              <w:pStyle w:val="NoSpacing"/>
              <w:spacing w:after="0" w:line="264" w:lineRule="auto"/>
              <w:rPr>
                <w:b/>
                <w:color w:val="auto"/>
                <w:szCs w:val="22"/>
              </w:rPr>
            </w:pPr>
            <w:r w:rsidRPr="00C756F5">
              <w:rPr>
                <w:b/>
                <w:color w:val="auto"/>
                <w:szCs w:val="22"/>
              </w:rPr>
              <w:t>Grade 6</w:t>
            </w:r>
          </w:p>
        </w:tc>
        <w:tc>
          <w:tcPr>
            <w:tcW w:w="540"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16.5</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17.7</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20.1</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22.0</w:t>
            </w:r>
          </w:p>
        </w:tc>
        <w:tc>
          <w:tcPr>
            <w:tcW w:w="1314"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24.0</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DB579" w:themeColor="accent5" w:themeTint="99"/>
            </w:tcBorders>
            <w:shd w:val="clear" w:color="auto" w:fill="auto"/>
          </w:tcPr>
          <w:p w:rsidR="00411EF2" w:rsidRPr="00C756F5" w:rsidRDefault="00411EF2" w:rsidP="00E27373">
            <w:pPr>
              <w:pStyle w:val="NoSpacing"/>
              <w:spacing w:after="0" w:line="264" w:lineRule="auto"/>
              <w:rPr>
                <w:b/>
                <w:color w:val="auto"/>
                <w:szCs w:val="22"/>
              </w:rPr>
            </w:pPr>
            <w:r w:rsidRPr="00C756F5">
              <w:rPr>
                <w:b/>
                <w:color w:val="auto"/>
                <w:szCs w:val="22"/>
              </w:rPr>
              <w:t>Grade 7</w:t>
            </w:r>
          </w:p>
        </w:tc>
        <w:tc>
          <w:tcPr>
            <w:tcW w:w="540" w:type="dxa"/>
            <w:tcBorders>
              <w:top w:val="single" w:sz="4" w:space="0" w:color="EDB579" w:themeColor="accent5" w:themeTint="99"/>
              <w:bottom w:val="single" w:sz="4" w:space="0" w:color="EDB579" w:themeColor="accent5" w:themeTint="99"/>
            </w:tcBorders>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15.5</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18.0</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19.1</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21.3</w:t>
            </w:r>
          </w:p>
        </w:tc>
        <w:tc>
          <w:tcPr>
            <w:tcW w:w="1314" w:type="dxa"/>
            <w:tcBorders>
              <w:top w:val="single" w:sz="4" w:space="0" w:color="EDB579" w:themeColor="accent5" w:themeTint="99"/>
              <w:bottom w:val="single" w:sz="4" w:space="0" w:color="EDB579" w:themeColor="accent5" w:themeTint="99"/>
              <w:right w:val="single" w:sz="4" w:space="0" w:color="E28521" w:themeColor="accent5"/>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24.4</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411EF2" w:rsidRPr="00C756F5" w:rsidRDefault="00411EF2" w:rsidP="00E27373">
            <w:pPr>
              <w:pStyle w:val="NoSpacing"/>
              <w:spacing w:after="0" w:line="264" w:lineRule="auto"/>
              <w:rPr>
                <w:b/>
                <w:color w:val="auto"/>
                <w:szCs w:val="22"/>
              </w:rPr>
            </w:pPr>
            <w:r w:rsidRPr="00C756F5">
              <w:rPr>
                <w:b/>
                <w:color w:val="auto"/>
                <w:szCs w:val="22"/>
              </w:rPr>
              <w:t>Grade 8</w:t>
            </w:r>
          </w:p>
        </w:tc>
        <w:tc>
          <w:tcPr>
            <w:tcW w:w="540"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15.6</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18.0</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19.2</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21.6</w:t>
            </w:r>
          </w:p>
        </w:tc>
        <w:tc>
          <w:tcPr>
            <w:tcW w:w="1314"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24.1</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DB579" w:themeColor="accent5" w:themeTint="99"/>
            </w:tcBorders>
            <w:shd w:val="clear" w:color="auto" w:fill="auto"/>
          </w:tcPr>
          <w:p w:rsidR="00411EF2" w:rsidRPr="00C756F5" w:rsidRDefault="00411EF2" w:rsidP="00E27373">
            <w:pPr>
              <w:pStyle w:val="NoSpacing"/>
              <w:spacing w:after="0" w:line="264" w:lineRule="auto"/>
              <w:rPr>
                <w:b/>
                <w:color w:val="auto"/>
                <w:szCs w:val="22"/>
              </w:rPr>
            </w:pPr>
            <w:r w:rsidRPr="00C756F5">
              <w:rPr>
                <w:b/>
                <w:color w:val="auto"/>
                <w:szCs w:val="22"/>
              </w:rPr>
              <w:t>Grade 9</w:t>
            </w:r>
          </w:p>
        </w:tc>
        <w:tc>
          <w:tcPr>
            <w:tcW w:w="540" w:type="dxa"/>
            <w:tcBorders>
              <w:top w:val="single" w:sz="4" w:space="0" w:color="EDB579" w:themeColor="accent5" w:themeTint="99"/>
              <w:bottom w:val="single" w:sz="4" w:space="0" w:color="EDB579" w:themeColor="accent5" w:themeTint="99"/>
            </w:tcBorders>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12.8</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16.4</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18.4</w:t>
            </w:r>
          </w:p>
        </w:tc>
        <w:tc>
          <w:tcPr>
            <w:tcW w:w="1384" w:type="dxa"/>
            <w:tcBorders>
              <w:top w:val="single" w:sz="4" w:space="0" w:color="EDB579" w:themeColor="accent5" w:themeTint="99"/>
              <w:bottom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19.8</w:t>
            </w:r>
          </w:p>
        </w:tc>
        <w:tc>
          <w:tcPr>
            <w:tcW w:w="1314" w:type="dxa"/>
            <w:tcBorders>
              <w:top w:val="single" w:sz="4" w:space="0" w:color="EDB579" w:themeColor="accent5" w:themeTint="99"/>
              <w:bottom w:val="single" w:sz="4" w:space="0" w:color="EDB579" w:themeColor="accent5" w:themeTint="99"/>
              <w:right w:val="single" w:sz="4" w:space="0" w:color="E28521" w:themeColor="accent5"/>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22.3</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411EF2" w:rsidRPr="00C756F5" w:rsidRDefault="00411EF2" w:rsidP="00E27373">
            <w:pPr>
              <w:pStyle w:val="NoSpacing"/>
              <w:spacing w:after="0" w:line="264" w:lineRule="auto"/>
              <w:rPr>
                <w:b/>
                <w:color w:val="auto"/>
                <w:szCs w:val="22"/>
              </w:rPr>
            </w:pPr>
            <w:r w:rsidRPr="00C756F5">
              <w:rPr>
                <w:b/>
                <w:color w:val="auto"/>
                <w:szCs w:val="22"/>
              </w:rPr>
              <w:t>Grade 10</w:t>
            </w:r>
          </w:p>
        </w:tc>
        <w:tc>
          <w:tcPr>
            <w:tcW w:w="540"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13.0</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17.3</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19.3</w:t>
            </w:r>
          </w:p>
        </w:tc>
        <w:tc>
          <w:tcPr>
            <w:tcW w:w="1384" w:type="dxa"/>
            <w:tcBorders>
              <w:top w:val="single" w:sz="4" w:space="0" w:color="EDB579" w:themeColor="accent5" w:themeTint="99"/>
              <w:bottom w:val="single" w:sz="4" w:space="0" w:color="EDB579" w:themeColor="accent5" w:themeTint="99"/>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21.1</w:t>
            </w:r>
          </w:p>
        </w:tc>
        <w:tc>
          <w:tcPr>
            <w:tcW w:w="1314"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22.9</w:t>
            </w:r>
          </w:p>
        </w:tc>
      </w:tr>
      <w:tr w:rsidR="00411EF2" w:rsidRPr="002902E0" w:rsidTr="00FB0C54">
        <w:trPr>
          <w:trHeight w:val="244"/>
          <w:tblHeader/>
        </w:trPr>
        <w:tc>
          <w:tcPr>
            <w:tcW w:w="2610" w:type="dxa"/>
            <w:tcBorders>
              <w:top w:val="single" w:sz="4" w:space="0" w:color="EDB579" w:themeColor="accent5" w:themeTint="99"/>
              <w:left w:val="single" w:sz="4" w:space="0" w:color="E28521" w:themeColor="accent5"/>
            </w:tcBorders>
            <w:shd w:val="clear" w:color="auto" w:fill="auto"/>
          </w:tcPr>
          <w:p w:rsidR="00411EF2" w:rsidRPr="00C756F5" w:rsidRDefault="00411EF2" w:rsidP="00E27373">
            <w:pPr>
              <w:pStyle w:val="NoSpacing"/>
              <w:spacing w:after="0" w:line="264" w:lineRule="auto"/>
              <w:rPr>
                <w:b/>
                <w:color w:val="auto"/>
                <w:szCs w:val="22"/>
              </w:rPr>
            </w:pPr>
            <w:r w:rsidRPr="00C756F5">
              <w:rPr>
                <w:b/>
                <w:color w:val="auto"/>
                <w:szCs w:val="22"/>
              </w:rPr>
              <w:t>Grade 11</w:t>
            </w:r>
          </w:p>
        </w:tc>
        <w:tc>
          <w:tcPr>
            <w:tcW w:w="540" w:type="dxa"/>
            <w:tcBorders>
              <w:top w:val="single" w:sz="4" w:space="0" w:color="EDB579" w:themeColor="accent5" w:themeTint="99"/>
            </w:tcBorders>
          </w:tcPr>
          <w:p w:rsidR="00411EF2" w:rsidRPr="002902E0" w:rsidRDefault="00411EF2" w:rsidP="00E27373">
            <w:pPr>
              <w:pStyle w:val="NoSpacing"/>
              <w:spacing w:after="0" w:line="264" w:lineRule="auto"/>
              <w:rPr>
                <w:color w:val="auto"/>
                <w:szCs w:val="22"/>
              </w:rPr>
            </w:pPr>
          </w:p>
        </w:tc>
        <w:tc>
          <w:tcPr>
            <w:tcW w:w="1384" w:type="dxa"/>
            <w:tcBorders>
              <w:top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12.9</w:t>
            </w:r>
          </w:p>
        </w:tc>
        <w:tc>
          <w:tcPr>
            <w:tcW w:w="1384" w:type="dxa"/>
            <w:tcBorders>
              <w:top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17.5</w:t>
            </w:r>
          </w:p>
        </w:tc>
        <w:tc>
          <w:tcPr>
            <w:tcW w:w="1384" w:type="dxa"/>
            <w:tcBorders>
              <w:top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19.3</w:t>
            </w:r>
          </w:p>
        </w:tc>
        <w:tc>
          <w:tcPr>
            <w:tcW w:w="1384" w:type="dxa"/>
            <w:tcBorders>
              <w:top w:val="single" w:sz="4" w:space="0" w:color="EDB579" w:themeColor="accent5" w:themeTint="99"/>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20.9</w:t>
            </w:r>
          </w:p>
        </w:tc>
        <w:tc>
          <w:tcPr>
            <w:tcW w:w="1314" w:type="dxa"/>
            <w:tcBorders>
              <w:top w:val="single" w:sz="4" w:space="0" w:color="EDB579" w:themeColor="accent5" w:themeTint="99"/>
              <w:right w:val="single" w:sz="4" w:space="0" w:color="E28521" w:themeColor="accent5"/>
            </w:tcBorders>
            <w:shd w:val="clear" w:color="auto" w:fill="auto"/>
          </w:tcPr>
          <w:p w:rsidR="00411EF2" w:rsidRPr="002902E0" w:rsidRDefault="00411EF2" w:rsidP="00E27373">
            <w:pPr>
              <w:pStyle w:val="NoSpacing"/>
              <w:spacing w:after="0" w:line="264" w:lineRule="auto"/>
              <w:rPr>
                <w:color w:val="auto"/>
                <w:szCs w:val="22"/>
              </w:rPr>
            </w:pPr>
            <w:r w:rsidRPr="002902E0">
              <w:rPr>
                <w:color w:val="auto"/>
                <w:szCs w:val="22"/>
              </w:rPr>
              <w:t>23.0</w:t>
            </w:r>
          </w:p>
        </w:tc>
      </w:tr>
      <w:tr w:rsidR="00411EF2" w:rsidRPr="002902E0" w:rsidTr="00FB0C54">
        <w:trPr>
          <w:trHeight w:val="244"/>
          <w:tblHeader/>
        </w:trPr>
        <w:tc>
          <w:tcPr>
            <w:tcW w:w="2610" w:type="dxa"/>
            <w:tcBorders>
              <w:left w:val="single" w:sz="4" w:space="0" w:color="E28521" w:themeColor="accent5"/>
              <w:bottom w:val="single" w:sz="4" w:space="0" w:color="E28521" w:themeColor="accent5"/>
            </w:tcBorders>
            <w:shd w:val="clear" w:color="auto" w:fill="F9E6D2" w:themeFill="accent5" w:themeFillTint="33"/>
          </w:tcPr>
          <w:p w:rsidR="00411EF2" w:rsidRPr="00C756F5" w:rsidRDefault="00411EF2" w:rsidP="00E27373">
            <w:pPr>
              <w:pStyle w:val="NoSpacing"/>
              <w:spacing w:after="0" w:line="264" w:lineRule="auto"/>
              <w:rPr>
                <w:b/>
                <w:color w:val="auto"/>
                <w:szCs w:val="22"/>
              </w:rPr>
            </w:pPr>
            <w:r w:rsidRPr="00C756F5">
              <w:rPr>
                <w:b/>
                <w:color w:val="auto"/>
                <w:szCs w:val="22"/>
              </w:rPr>
              <w:t>Grade 12</w:t>
            </w:r>
          </w:p>
        </w:tc>
        <w:tc>
          <w:tcPr>
            <w:tcW w:w="540" w:type="dxa"/>
            <w:tcBorders>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p>
        </w:tc>
        <w:tc>
          <w:tcPr>
            <w:tcW w:w="1384" w:type="dxa"/>
            <w:tcBorders>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10.9</w:t>
            </w:r>
          </w:p>
        </w:tc>
        <w:tc>
          <w:tcPr>
            <w:tcW w:w="1384" w:type="dxa"/>
            <w:tcBorders>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15.8</w:t>
            </w:r>
          </w:p>
        </w:tc>
        <w:tc>
          <w:tcPr>
            <w:tcW w:w="1384" w:type="dxa"/>
            <w:tcBorders>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17.7</w:t>
            </w:r>
          </w:p>
        </w:tc>
        <w:tc>
          <w:tcPr>
            <w:tcW w:w="1384" w:type="dxa"/>
            <w:tcBorders>
              <w:bottom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20.2</w:t>
            </w:r>
          </w:p>
        </w:tc>
        <w:tc>
          <w:tcPr>
            <w:tcW w:w="1314" w:type="dxa"/>
            <w:tcBorders>
              <w:bottom w:val="single" w:sz="4" w:space="0" w:color="E28521" w:themeColor="accent5"/>
              <w:right w:val="single" w:sz="4" w:space="0" w:color="E28521" w:themeColor="accent5"/>
            </w:tcBorders>
            <w:shd w:val="clear" w:color="auto" w:fill="F9E6D2" w:themeFill="accent5" w:themeFillTint="33"/>
          </w:tcPr>
          <w:p w:rsidR="00411EF2" w:rsidRPr="002902E0" w:rsidRDefault="00411EF2" w:rsidP="00E27373">
            <w:pPr>
              <w:pStyle w:val="NoSpacing"/>
              <w:spacing w:after="0" w:line="264" w:lineRule="auto"/>
              <w:rPr>
                <w:color w:val="auto"/>
                <w:szCs w:val="22"/>
              </w:rPr>
            </w:pPr>
            <w:r w:rsidRPr="002902E0">
              <w:rPr>
                <w:color w:val="auto"/>
                <w:szCs w:val="22"/>
              </w:rPr>
              <w:t>23.0</w:t>
            </w:r>
          </w:p>
        </w:tc>
      </w:tr>
    </w:tbl>
    <w:p w:rsidR="00284A53" w:rsidRDefault="00284A53" w:rsidP="007D46F6">
      <w:pPr>
        <w:pStyle w:val="NoSpacing"/>
        <w:rPr>
          <w:rFonts w:ascii="Times New Roman" w:hAnsi="Times New Roman"/>
          <w:sz w:val="24"/>
          <w:szCs w:val="24"/>
        </w:rPr>
        <w:sectPr w:rsidR="00284A53" w:rsidSect="007D46F6">
          <w:endnotePr>
            <w:numFmt w:val="decimal"/>
          </w:endnotePr>
          <w:type w:val="continuous"/>
          <w:pgSz w:w="12240" w:h="15840"/>
          <w:pgMar w:top="720" w:right="720" w:bottom="720" w:left="720" w:header="720" w:footer="720" w:gutter="0"/>
          <w:cols w:space="720"/>
          <w:docGrid w:linePitch="360"/>
        </w:sectPr>
      </w:pPr>
    </w:p>
    <w:p w:rsidR="007D46F6" w:rsidRPr="00F00E05" w:rsidRDefault="007D46F6" w:rsidP="007D46F6">
      <w:pPr>
        <w:pStyle w:val="NoSpacing"/>
        <w:spacing w:before="200"/>
        <w:rPr>
          <w:rStyle w:val="Heading3Char"/>
          <w:szCs w:val="22"/>
        </w:rPr>
      </w:pPr>
      <w:r w:rsidRPr="00F00E05">
        <w:rPr>
          <w:rStyle w:val="Heading3Char"/>
          <w:szCs w:val="22"/>
        </w:rPr>
        <w:lastRenderedPageBreak/>
        <w:t>The median increases slightly from grade to grade through the elementary and middle school grades and then decreases for high school grades.</w:t>
      </w:r>
    </w:p>
    <w:p w:rsidR="007D46F6" w:rsidRDefault="007D46F6" w:rsidP="007D46F6">
      <w:pPr>
        <w:pStyle w:val="NoSpacing"/>
        <w:rPr>
          <w:rFonts w:ascii="Calibri" w:eastAsiaTheme="minorEastAsia" w:hAnsi="Calibri" w:cstheme="minorBidi"/>
          <w:szCs w:val="24"/>
        </w:rPr>
      </w:pPr>
      <w:r w:rsidRPr="00533949">
        <w:rPr>
          <w:rFonts w:ascii="Calibri" w:eastAsiaTheme="minorEastAsia" w:hAnsi="Calibri" w:cstheme="minorBidi"/>
          <w:szCs w:val="24"/>
        </w:rPr>
        <w:t>Overall, these class sizes are relatively low; indeed, fully 25 percent of Massachusetts grade 1 students are enrolled in a general education class with a district average of 18.9 or fewer students, not much larger than the size of the small classes in the STAR experiment, and only 25 percent are assigned to classes with a district average of 21.1 students or more, close to the size of STAR’s “large” classes. In grade 4, half of Massachusetts’ students are in a class with a district average of 21.4 or fewer students. In grade 7, half of students are in a math class with a district average of 20.4 or fewer students and an ELA class with 19.1 students. In grade 10, classes are even smaller. 25 percent of students are in a math class with a district average of 17.5 or fewer students and an ELA class of 17.3 or fewer students; 75 percent are in a math class with a district average of 21.2 or fewer students; ELA class, 21.1 or fewer.</w:t>
      </w:r>
    </w:p>
    <w:p w:rsidR="00284A53" w:rsidRPr="00284A53" w:rsidRDefault="0075762C" w:rsidP="00284A53">
      <w:pPr>
        <w:pStyle w:val="NoSpacing"/>
        <w:spacing w:before="200"/>
        <w:rPr>
          <w:rStyle w:val="Heading3Char"/>
          <w:szCs w:val="22"/>
        </w:rPr>
      </w:pPr>
      <w:r>
        <w:rPr>
          <w:rStyle w:val="Heading3Char"/>
          <w:szCs w:val="22"/>
        </w:rPr>
        <w:t>Student-teacher ratios</w:t>
      </w:r>
      <w:r w:rsidR="00284A53" w:rsidRPr="00284A53">
        <w:rPr>
          <w:rStyle w:val="Heading3Char"/>
          <w:szCs w:val="22"/>
        </w:rPr>
        <w:t xml:space="preserve"> in Massachusetts</w:t>
      </w:r>
      <w:r>
        <w:rPr>
          <w:rStyle w:val="Heading3Char"/>
          <w:szCs w:val="22"/>
        </w:rPr>
        <w:t>—the measure most comparable across states—</w:t>
      </w:r>
      <w:r w:rsidR="00284A53" w:rsidRPr="00284A53">
        <w:rPr>
          <w:rStyle w:val="Heading3Char"/>
          <w:szCs w:val="22"/>
        </w:rPr>
        <w:t>are small relative to other states.</w:t>
      </w:r>
    </w:p>
    <w:p w:rsidR="00284A53" w:rsidRPr="00284A53" w:rsidRDefault="00284A53" w:rsidP="00284A53">
      <w:pPr>
        <w:pStyle w:val="NoSpacing"/>
        <w:rPr>
          <w:rFonts w:ascii="Calibri" w:eastAsiaTheme="minorEastAsia" w:hAnsi="Calibri" w:cstheme="minorBidi"/>
          <w:szCs w:val="24"/>
        </w:rPr>
      </w:pPr>
      <w:r w:rsidRPr="00284A53">
        <w:rPr>
          <w:rFonts w:ascii="Calibri" w:eastAsiaTheme="minorEastAsia" w:hAnsi="Calibri" w:cstheme="minorBidi"/>
          <w:szCs w:val="24"/>
        </w:rPr>
        <w:t xml:space="preserve">No national data exists that allows us to compare class sizes across states. However, recent data from the National Center for Education Statistics compares student-teacher ratios, or the total number of students divided by the number of full-time equivalent teachers across all grade levels for each state. Student-teacher ratios are not directly comparable to class sizes for core academic classes because they count all teaching professionals, including teachers who work with special populations such as high needs students or English learners in small groups or who teach smaller elective courses, rather than just typical classroom teachers teaching core academic subjects. Nonetheless, these ratios provide an indirect comparison about teacher staffing choices across states that suggests class size is relatively low in Massachusetts. The student-teacher ratio in Massachusetts (13.6 students per teacher) is well below the national average of 15.5 students per </w:t>
      </w:r>
      <w:r w:rsidRPr="00284A53">
        <w:rPr>
          <w:rFonts w:ascii="Calibri" w:eastAsiaTheme="minorEastAsia" w:hAnsi="Calibri" w:cstheme="minorBidi"/>
          <w:szCs w:val="24"/>
        </w:rPr>
        <w:lastRenderedPageBreak/>
        <w:t xml:space="preserve">teacher. Only nine states have a smaller student-teacher ratio than Massachusetts. </w:t>
      </w:r>
    </w:p>
    <w:p w:rsidR="00284A53" w:rsidRDefault="00284A53" w:rsidP="00284A53">
      <w:pPr>
        <w:pStyle w:val="Heading2"/>
      </w:pPr>
      <w:r>
        <w:t xml:space="preserve">Are classes </w:t>
      </w:r>
      <w:r w:rsidRPr="00284A53">
        <w:t>small by design or small by default?</w:t>
      </w:r>
      <w:r>
        <w:t xml:space="preserve"> </w:t>
      </w:r>
    </w:p>
    <w:p w:rsidR="00284A53" w:rsidRPr="00284A53" w:rsidRDefault="00284A53" w:rsidP="00284A53">
      <w:pPr>
        <w:rPr>
          <w:color w:val="000000" w:themeColor="text1"/>
        </w:rPr>
      </w:pPr>
      <w:r>
        <w:rPr>
          <w:color w:val="000000" w:themeColor="text1"/>
        </w:rPr>
        <w:t>S</w:t>
      </w:r>
      <w:r w:rsidRPr="00284A53">
        <w:rPr>
          <w:color w:val="000000" w:themeColor="text1"/>
        </w:rPr>
        <w:t xml:space="preserve">mall class size may reflect an intentional policy decision or may result from local constraints, habit, or the unintended consequence of other policies. </w:t>
      </w:r>
    </w:p>
    <w:p w:rsidR="00284A53" w:rsidRPr="00284A53" w:rsidRDefault="00284A53" w:rsidP="00284A53">
      <w:pPr>
        <w:rPr>
          <w:color w:val="000000" w:themeColor="text1"/>
        </w:rPr>
      </w:pPr>
      <w:r w:rsidRPr="00284A53">
        <w:rPr>
          <w:color w:val="000000" w:themeColor="text1"/>
        </w:rPr>
        <w:t>In the first category, many schools, districts, and states set policies that cap class size. Most Massachusetts teacher union contracts, for example, specify maximum class sizes, sometimes varying by grade level. The purpose is to create targets for class size that have been agreed upon by educators and policymakers as reasonable. For example, the Dover-Sherborn teacher contract holds class size to a maximum of 25 students. The agreement with teachers in Arlington specifies a maximum class size of 25 students for elementary schools, and the one for Mansfield specifies a maximum of 25 students for elementary schools and 30 for middle and high schools. Smaller</w:t>
      </w:r>
      <w:r w:rsidRPr="00284A53" w:rsidDel="00BE51FD">
        <w:rPr>
          <w:color w:val="000000" w:themeColor="text1"/>
        </w:rPr>
        <w:t xml:space="preserve"> </w:t>
      </w:r>
      <w:r w:rsidRPr="00284A53">
        <w:rPr>
          <w:color w:val="000000" w:themeColor="text1"/>
        </w:rPr>
        <w:t xml:space="preserve">caps may be set for special classes, such as Structured English Immersion (SEI), bilingual, and English as a Second Language. Our analysis of average class sizes suggests that many districts in Massachusetts have room to increase class size while staying within these negotiated caps. </w:t>
      </w:r>
    </w:p>
    <w:p w:rsidR="00284A53" w:rsidRPr="00284A53" w:rsidDel="006E45ED" w:rsidRDefault="00284A53" w:rsidP="00284A53">
      <w:pPr>
        <w:rPr>
          <w:color w:val="000000" w:themeColor="text1"/>
        </w:rPr>
      </w:pPr>
      <w:r w:rsidRPr="00284A53" w:rsidDel="006E45ED">
        <w:rPr>
          <w:color w:val="000000" w:themeColor="text1"/>
        </w:rPr>
        <w:t xml:space="preserve">In some states, statewide policies govern class size. Florida voters, as an example, approved an amendment to the Florida Constitution that sets </w:t>
      </w:r>
      <w:proofErr w:type="gramStart"/>
      <w:r w:rsidRPr="00284A53" w:rsidDel="006E45ED">
        <w:rPr>
          <w:color w:val="000000" w:themeColor="text1"/>
        </w:rPr>
        <w:t>limits</w:t>
      </w:r>
      <w:proofErr w:type="gramEnd"/>
      <w:r w:rsidRPr="00284A53" w:rsidDel="006E45ED">
        <w:rPr>
          <w:color w:val="000000" w:themeColor="text1"/>
        </w:rPr>
        <w:t xml:space="preserve"> across the state on the number of students in core classes, with a maximum of 22 students in grades 4 through 8 and 25 students in grades 9 through 12. California has had a statewide class size policy since 1964 that prescribes both a limit for average class size and a maximum class size for each class depending on the grade. In 1996, the state also initiated a class size reduction program for kindergarten through grade 3, cutting maximum class size from 33 to 20 students, which reduced average class sizes in those grades by about ten students, from about 29 students to about 19.</w:t>
      </w:r>
    </w:p>
    <w:p w:rsidR="00A63860" w:rsidRDefault="00284A53" w:rsidP="003074A6">
      <w:pPr>
        <w:rPr>
          <w:color w:val="000000" w:themeColor="text1"/>
        </w:rPr>
      </w:pPr>
      <w:r w:rsidRPr="00284A53">
        <w:rPr>
          <w:color w:val="000000" w:themeColor="text1"/>
        </w:rPr>
        <w:t xml:space="preserve">Small classes can also result from practical considerations and constraints. For example, districts with lower or declining overall student enrollment have </w:t>
      </w:r>
      <w:r w:rsidRPr="00284A53">
        <w:rPr>
          <w:color w:val="000000" w:themeColor="text1"/>
        </w:rPr>
        <w:lastRenderedPageBreak/>
        <w:t>less flexibility in how they serve students. Smaller-than-usual incoming cohorts of students in a particular grade (kindergarten, for example) can yield relatively smaller classes for those students. At higher grades and high schools, a wider array of course offerings will also contribute to smaller classes, even with a steady enrollment in the school.</w:t>
      </w:r>
      <w:r w:rsidR="003074A6">
        <w:rPr>
          <w:color w:val="000000" w:themeColor="text1"/>
        </w:rPr>
        <w:t xml:space="preserve">  </w:t>
      </w:r>
    </w:p>
    <w:p w:rsidR="003074A6" w:rsidRDefault="00284A53" w:rsidP="003074A6">
      <w:pPr>
        <w:rPr>
          <w:color w:val="000000" w:themeColor="text1"/>
        </w:rPr>
      </w:pPr>
      <w:r w:rsidRPr="00284A53">
        <w:rPr>
          <w:color w:val="000000" w:themeColor="text1"/>
        </w:rPr>
        <w:t>To better understand how these factors play out in the Massachusetts context, we</w:t>
      </w:r>
      <w:r w:rsidR="00862F67">
        <w:rPr>
          <w:color w:val="000000" w:themeColor="text1"/>
        </w:rPr>
        <w:t xml:space="preserve"> </w:t>
      </w:r>
      <w:r w:rsidRPr="00284A53">
        <w:rPr>
          <w:color w:val="000000" w:themeColor="text1"/>
        </w:rPr>
        <w:t>examined how different district, school, and student characteristics are related to class size. We show findings for grades 1, 4, 7, and 10 as representative of early elementary, later elementary, middle school, and high school grades, and report these in Table 2. We focus on differences across districts, as districts set much of the policy that govern</w:t>
      </w:r>
      <w:r w:rsidR="00862F67">
        <w:rPr>
          <w:color w:val="000000" w:themeColor="text1"/>
        </w:rPr>
        <w:t>s class sizes in their schools.</w:t>
      </w:r>
    </w:p>
    <w:p w:rsidR="00901CF5" w:rsidRPr="00284A53" w:rsidRDefault="00901CF5" w:rsidP="00901CF5">
      <w:pPr>
        <w:rPr>
          <w:rStyle w:val="Heading3Char"/>
          <w:szCs w:val="22"/>
        </w:rPr>
      </w:pPr>
      <w:r w:rsidRPr="00284A53">
        <w:rPr>
          <w:rStyle w:val="Heading3Char"/>
          <w:szCs w:val="22"/>
        </w:rPr>
        <w:lastRenderedPageBreak/>
        <w:t xml:space="preserve">Without controlling for other factors, districts with lower enrollment, districts located in Berkshire County, and districts with higher per pupil expenditures typically have smaller core academic class sizes. </w:t>
      </w:r>
    </w:p>
    <w:p w:rsidR="00901CF5" w:rsidRDefault="00901CF5" w:rsidP="003074A6">
      <w:pPr>
        <w:rPr>
          <w:color w:val="000000" w:themeColor="text1"/>
        </w:rPr>
      </w:pPr>
      <w:r w:rsidRPr="00284A53">
        <w:rPr>
          <w:color w:val="000000" w:themeColor="text1"/>
        </w:rPr>
        <w:t>Comparing median class sizes by grade and type of district is revealing. First, districts with higher per pupil expenditures have smaller class sizes. For example, the median class size in grade 4 in districts with higher per pupil expenditures is 20.4 compared to 21.9 for districts with lower per pupil expenditures. Districts with lower</w:t>
      </w:r>
      <w:r>
        <w:rPr>
          <w:color w:val="000000" w:themeColor="text1"/>
        </w:rPr>
        <w:t xml:space="preserve"> </w:t>
      </w:r>
      <w:r w:rsidRPr="00284A53">
        <w:rPr>
          <w:color w:val="000000" w:themeColor="text1"/>
        </w:rPr>
        <w:t>total enrollment also have lower median class sizes, at 17.7 in grade 1, 19 in grade 4, between 18.1 and 18.8</w:t>
      </w:r>
      <w:r>
        <w:rPr>
          <w:color w:val="000000" w:themeColor="text1"/>
        </w:rPr>
        <w:t xml:space="preserve"> </w:t>
      </w:r>
      <w:r w:rsidRPr="00284A53">
        <w:rPr>
          <w:color w:val="000000" w:themeColor="text1"/>
        </w:rPr>
        <w:t xml:space="preserve">(depending on subject) in grade 7, and between 17.5 and 17.8 (depending on </w:t>
      </w:r>
      <w:r>
        <w:rPr>
          <w:color w:val="000000" w:themeColor="text1"/>
        </w:rPr>
        <w:t>subject) in grade 10. Class size</w:t>
      </w:r>
    </w:p>
    <w:p w:rsidR="00862F67" w:rsidRDefault="00862F67" w:rsidP="003074A6">
      <w:pPr>
        <w:rPr>
          <w:color w:val="000000" w:themeColor="text1"/>
        </w:rPr>
        <w:sectPr w:rsidR="00862F67" w:rsidSect="00351436">
          <w:endnotePr>
            <w:numFmt w:val="decimal"/>
          </w:endnotePr>
          <w:type w:val="continuous"/>
          <w:pgSz w:w="12240" w:h="15840"/>
          <w:pgMar w:top="720" w:right="720" w:bottom="720" w:left="720" w:header="720" w:footer="720" w:gutter="0"/>
          <w:cols w:num="2" w:space="720"/>
          <w:docGrid w:linePitch="360"/>
        </w:sectPr>
      </w:pPr>
    </w:p>
    <w:p w:rsidR="00862F67" w:rsidRPr="00EB5EA0" w:rsidRDefault="00862F67" w:rsidP="00901CF5">
      <w:pPr>
        <w:rPr>
          <w:sz w:val="6"/>
        </w:rPr>
        <w:sectPr w:rsidR="00862F67" w:rsidRPr="00EB5EA0" w:rsidSect="003074A6">
          <w:endnotePr>
            <w:numFmt w:val="decimal"/>
          </w:endnotePr>
          <w:type w:val="continuous"/>
          <w:pgSz w:w="12240" w:h="15840"/>
          <w:pgMar w:top="720" w:right="720" w:bottom="720" w:left="720" w:header="720" w:footer="720" w:gutter="0"/>
          <w:cols w:space="720"/>
          <w:docGrid w:linePitch="360"/>
        </w:sectPr>
      </w:pPr>
    </w:p>
    <w:tbl>
      <w:tblPr>
        <w:tblStyle w:val="TableGrid"/>
        <w:tblW w:w="954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2. Median Class Size Differs by District Characteristics&#10;&#10;Statewide: Grade 1 Gen Ed (20), Grade 4 Gen Ed (21.4), Grade 7 Math (20.4), Grade 7 ELA (19.1), Grade 10 Math (19.9), Grade 10 ELA (19.3)&#10;&#10;Per pupil expenditures&#10;   Bottom 25%: Grade 1 Gen Ed (20.3), Grade 4 Gen Ed (21.9), Grade 7 Math (21.3), Grade 7 ELA (21.3), Grade 10 Math (20.9), Grade 10 ELA (21.2)&#10;   Middle 50%: Grade 1 Gen Ed (20.2), Grade 4 Gen Ed (21.4), Grade 7 Math (20.5), Grade 7 ELA (19.1), Grade 10 Math (20.2), Grade 10 ELA (18.8)&#10;   Top 25%: Grade 1 Gen Ed (19.4), Grade 4 Gen Ed (20.4), Grade 7 Math (19.8), Grade 7 ELA (18.1), Grade 10 Math (19.8), Grade 10 ELA (19.3)&#10;&#10;Median household income&#10;   Bottom 25%: Grade 1 Gen Ed (20.5), Grade 4 Gen Ed (21.7), Grade 7 Math (21.2), Grade 7 ELA (18.1), Grade 10 Math (19.7), Grade 10 ELA (18.6)&#10;   Middle 50%: Grade 1 Gen Ed (19.4), Grade 4 Gen Ed (20.6), Grade 7 Math (19.6), Grade 7 ELA (20), Grade 10 Math (20.2), Grade 10 ELA (19.7)&#10;   Top 25%: Grade 1 Gen Ed (20.1), Grade 4 Gen Ed (20.9), Grade 7 Math (20.4), Grade 7 ELA (20.4), Grade 10 Math (20.7), Grade 10 ELA (20.6)&#10;&#10;District enrollment&#10;   Bottom 25%: Grade 1 Gen Ed (17.7), Grade 4 Gen Ed (19), Grade 7 Math (18.1), Grade 7 ELA (18.8), Grade 10 Math (17.5), Grade 10 ELA (17.8)&#10;   Middle 50%: Grade 1 Gen Ed (19.3), Grade 4 Gen Ed (20.8), Grade 7 Math (19.6), Grade 7 ELA (19.8), Grade 10 Math (19.9), Grade 10 ELA (19.3)&#10;   Top 25%: Grade 1 Gen Ed (20.7), Grade 4 Gen Ed (21.6), Grade 7 Math (21.2), Grade 7 ELA (19.1), Grade 10 Math (20.4), Grade 10 ELA (19.3)&#10;&#10;Regions &#10;   Berkshire County: Grade 1 Gen Ed (17.6), Grade 4 Gen Ed (18.6), Grade 7 Math (17), Grade 7 ELA (14.5), Grade 10 Math (18.1), Grade 10 ELA (17.5)&#10;   Central: Grade 1 Gen Ed (19.7), Grade 4 Gen Ed (22.4), Grade 7 Math (20), Grade 7 ELA (20.1), Grade 10 Math (20.3), Grade 10 ELA (20.3)&#10;   Commissioner’s Districts: Grade 1 Gen Ed (20.8), Grade 4 Gen Ed (21.7), Grade 7 Math (21.5), Grade 7 ELA (18.1), Grade 10 Math (19.9), Grade 10 ELA (18.6)&#10;   Greater Boston: Grade 1 Gen Ed (20.5), Grade 4 Gen Ed (21.2), Grade 7 Math (20.3), Grade 7 ELA (20.1), Grade 10 Math (20.8), Grade 10 ELA (20.3)&#10;   Northeast: Grade 1 Gen Ed (19.8), Grade 4 Gen Ed (20.4), Grade 7 Math (19.6), Grade 7 ELA (19.8), Grade 10 Math (20.3), Grade 10 ELA (21)&#10;   Pioneer Valley: Grade 1 Gen Ed (19.5), Grade 4 Gen Ed (20.4), Grade 7 Math (18.4), Grade 7 ELA (18.2), Grade 10 Math (17.5), Grade 10 ELA (17.4)&#10;   Southeast: Grade 1 Gen Ed (19.2), Grade 4 Gen Ed (21), Grade 7 Math (19.8), Grade 7 ELA (20.8), Grade 10 Math (20), Grade 10 ELA (19.5)&#10;&#10;Type of district&#10;   Traditional: Grade 1 Gen Ed (20), Grade 4 Gen Ed (21.4), Grade 7 Math (20.4), Grade 7 ELA (19.1), Grade 10 Math (19.9), Grade 10 ELA (19.3)&#10;   Charter: Grade 1 Gen Ed (21.6), Grade 4 Gen Ed (21.3), Grade 7 Math (22.3), Grade 7 ELA (22.3), Grade 10 Math (16.5), Grade 10 ELA (18)&#10;"/>
      </w:tblPr>
      <w:tblGrid>
        <w:gridCol w:w="2680"/>
        <w:gridCol w:w="1350"/>
        <w:gridCol w:w="1349"/>
        <w:gridCol w:w="1010"/>
        <w:gridCol w:w="1010"/>
        <w:gridCol w:w="1010"/>
        <w:gridCol w:w="1081"/>
        <w:gridCol w:w="50"/>
      </w:tblGrid>
      <w:tr w:rsidR="003074A6" w:rsidTr="00FB0C54">
        <w:trPr>
          <w:tblHeader/>
        </w:trPr>
        <w:tc>
          <w:tcPr>
            <w:tcW w:w="9540" w:type="dxa"/>
            <w:gridSpan w:val="8"/>
          </w:tcPr>
          <w:p w:rsidR="003074A6" w:rsidRPr="00177251" w:rsidRDefault="003074A6" w:rsidP="00351436">
            <w:pPr>
              <w:spacing w:after="100" w:line="240" w:lineRule="auto"/>
              <w:jc w:val="center"/>
              <w:rPr>
                <w:rFonts w:asciiTheme="minorHAnsi" w:hAnsiTheme="minorHAnsi" w:cs="Times New Roman"/>
                <w:color w:val="004386"/>
                <w:sz w:val="24"/>
                <w:szCs w:val="24"/>
              </w:rPr>
            </w:pPr>
            <w:r>
              <w:lastRenderedPageBreak/>
              <w:br w:type="page"/>
            </w:r>
            <w:r w:rsidRPr="00411EF2">
              <w:rPr>
                <w:rFonts w:asciiTheme="minorHAnsi" w:hAnsiTheme="minorHAnsi" w:cs="Times New Roman"/>
                <w:b/>
                <w:color w:val="004386"/>
                <w:sz w:val="24"/>
                <w:szCs w:val="24"/>
              </w:rPr>
              <w:t>Table 2</w:t>
            </w:r>
            <w:r w:rsidR="00C467C4">
              <w:rPr>
                <w:rFonts w:asciiTheme="minorHAnsi" w:hAnsiTheme="minorHAnsi" w:cs="Times New Roman"/>
                <w:color w:val="004386"/>
                <w:sz w:val="24"/>
                <w:szCs w:val="24"/>
              </w:rPr>
              <w:t>.</w:t>
            </w:r>
            <w:r w:rsidRPr="00411EF2">
              <w:rPr>
                <w:rFonts w:asciiTheme="minorHAnsi" w:hAnsiTheme="minorHAnsi" w:cs="Times New Roman"/>
                <w:color w:val="004386"/>
                <w:sz w:val="24"/>
                <w:szCs w:val="24"/>
              </w:rPr>
              <w:t xml:space="preserve"> Median Class Size Differs by District Characteristics</w:t>
            </w:r>
          </w:p>
        </w:tc>
      </w:tr>
      <w:tr w:rsidR="00C756F5" w:rsidTr="00FB0C54">
        <w:trPr>
          <w:gridAfter w:val="1"/>
          <w:wAfter w:w="50" w:type="dxa"/>
          <w:tblHeader/>
        </w:trPr>
        <w:tc>
          <w:tcPr>
            <w:tcW w:w="2680" w:type="dxa"/>
            <w:tcBorders>
              <w:top w:val="single" w:sz="4" w:space="0" w:color="E28521" w:themeColor="accent5"/>
              <w:left w:val="single" w:sz="4" w:space="0" w:color="E28521" w:themeColor="accent5"/>
            </w:tcBorders>
            <w:shd w:val="clear" w:color="auto" w:fill="E28521" w:themeFill="accent5"/>
          </w:tcPr>
          <w:p w:rsidR="00C756F5" w:rsidRPr="00C756F5" w:rsidRDefault="00C756F5" w:rsidP="003074A6">
            <w:pPr>
              <w:spacing w:after="0" w:line="240" w:lineRule="auto"/>
              <w:rPr>
                <w:rFonts w:asciiTheme="minorHAnsi" w:hAnsiTheme="minorHAnsi" w:cs="Times New Roman"/>
                <w:b/>
                <w:color w:val="FFFFFF" w:themeColor="background1"/>
              </w:rPr>
            </w:pPr>
          </w:p>
        </w:tc>
        <w:tc>
          <w:tcPr>
            <w:tcW w:w="1350" w:type="dxa"/>
            <w:tcBorders>
              <w:top w:val="single" w:sz="4" w:space="0" w:color="E28521" w:themeColor="accent5"/>
            </w:tcBorders>
            <w:shd w:val="clear" w:color="auto" w:fill="E28521" w:themeFill="accent5"/>
          </w:tcPr>
          <w:p w:rsidR="00C756F5" w:rsidRPr="00C756F5" w:rsidRDefault="00C756F5" w:rsidP="00C756F5">
            <w:pPr>
              <w:spacing w:after="0" w:line="240" w:lineRule="auto"/>
              <w:jc w:val="center"/>
              <w:rPr>
                <w:rFonts w:asciiTheme="minorHAnsi" w:hAnsiTheme="minorHAnsi" w:cs="Times New Roman"/>
                <w:b/>
                <w:color w:val="FFFFFF" w:themeColor="background1"/>
              </w:rPr>
            </w:pPr>
            <w:r>
              <w:rPr>
                <w:rFonts w:asciiTheme="minorHAnsi" w:hAnsiTheme="minorHAnsi" w:cs="Times New Roman"/>
                <w:b/>
                <w:color w:val="FFFFFF" w:themeColor="background1"/>
              </w:rPr>
              <w:t>Grade 1</w:t>
            </w:r>
          </w:p>
        </w:tc>
        <w:tc>
          <w:tcPr>
            <w:tcW w:w="1349" w:type="dxa"/>
            <w:tcBorders>
              <w:top w:val="single" w:sz="4" w:space="0" w:color="E28521" w:themeColor="accent5"/>
            </w:tcBorders>
            <w:shd w:val="clear" w:color="auto" w:fill="E28521" w:themeFill="accent5"/>
          </w:tcPr>
          <w:p w:rsidR="00C756F5" w:rsidRPr="00C756F5" w:rsidRDefault="00C756F5" w:rsidP="00C756F5">
            <w:pPr>
              <w:spacing w:after="0" w:line="240" w:lineRule="auto"/>
              <w:jc w:val="center"/>
              <w:rPr>
                <w:rFonts w:asciiTheme="minorHAnsi" w:hAnsiTheme="minorHAnsi" w:cs="Times New Roman"/>
                <w:b/>
                <w:color w:val="FFFFFF" w:themeColor="background1"/>
              </w:rPr>
            </w:pPr>
            <w:r>
              <w:rPr>
                <w:rFonts w:asciiTheme="minorHAnsi" w:hAnsiTheme="minorHAnsi" w:cs="Times New Roman"/>
                <w:b/>
                <w:color w:val="FFFFFF" w:themeColor="background1"/>
              </w:rPr>
              <w:t>Grade 4</w:t>
            </w:r>
          </w:p>
        </w:tc>
        <w:tc>
          <w:tcPr>
            <w:tcW w:w="2020" w:type="dxa"/>
            <w:gridSpan w:val="2"/>
            <w:tcBorders>
              <w:top w:val="single" w:sz="4" w:space="0" w:color="E28521" w:themeColor="accent5"/>
            </w:tcBorders>
            <w:shd w:val="clear" w:color="auto" w:fill="E28521" w:themeFill="accent5"/>
          </w:tcPr>
          <w:p w:rsidR="00C756F5" w:rsidRPr="00C756F5" w:rsidRDefault="00C756F5" w:rsidP="00C756F5">
            <w:pPr>
              <w:spacing w:after="0" w:line="240" w:lineRule="auto"/>
              <w:jc w:val="center"/>
              <w:rPr>
                <w:rFonts w:asciiTheme="minorHAnsi" w:hAnsiTheme="minorHAnsi" w:cs="Times New Roman"/>
                <w:b/>
                <w:color w:val="FFFFFF" w:themeColor="background1"/>
              </w:rPr>
            </w:pPr>
            <w:r>
              <w:rPr>
                <w:rFonts w:asciiTheme="minorHAnsi" w:hAnsiTheme="minorHAnsi" w:cs="Times New Roman"/>
                <w:b/>
                <w:color w:val="FFFFFF" w:themeColor="background1"/>
              </w:rPr>
              <w:t>Grade 7</w:t>
            </w:r>
          </w:p>
        </w:tc>
        <w:tc>
          <w:tcPr>
            <w:tcW w:w="2091" w:type="dxa"/>
            <w:gridSpan w:val="2"/>
            <w:tcBorders>
              <w:top w:val="single" w:sz="4" w:space="0" w:color="E28521" w:themeColor="accent5"/>
              <w:right w:val="single" w:sz="4" w:space="0" w:color="E28521" w:themeColor="accent5"/>
            </w:tcBorders>
            <w:shd w:val="clear" w:color="auto" w:fill="E28521" w:themeFill="accent5"/>
          </w:tcPr>
          <w:p w:rsidR="00C756F5" w:rsidRPr="00C756F5" w:rsidRDefault="00C756F5" w:rsidP="00C756F5">
            <w:pPr>
              <w:spacing w:after="0" w:line="240" w:lineRule="auto"/>
              <w:jc w:val="center"/>
              <w:rPr>
                <w:rFonts w:asciiTheme="minorHAnsi" w:hAnsiTheme="minorHAnsi" w:cs="Times New Roman"/>
                <w:b/>
                <w:color w:val="FFFFFF" w:themeColor="background1"/>
              </w:rPr>
            </w:pPr>
            <w:r>
              <w:rPr>
                <w:rFonts w:asciiTheme="minorHAnsi" w:hAnsiTheme="minorHAnsi" w:cs="Times New Roman"/>
                <w:b/>
                <w:color w:val="FFFFFF" w:themeColor="background1"/>
              </w:rPr>
              <w:t xml:space="preserve">Grade 10 </w:t>
            </w:r>
          </w:p>
        </w:tc>
      </w:tr>
      <w:tr w:rsidR="003074A6" w:rsidTr="00FB0C54">
        <w:trPr>
          <w:gridAfter w:val="1"/>
          <w:wAfter w:w="50" w:type="dxa"/>
          <w:tblHeader/>
        </w:trPr>
        <w:tc>
          <w:tcPr>
            <w:tcW w:w="2680" w:type="dxa"/>
            <w:tcBorders>
              <w:left w:val="single" w:sz="4" w:space="0" w:color="E28521" w:themeColor="accent5"/>
              <w:bottom w:val="single" w:sz="4" w:space="0" w:color="E28521" w:themeColor="accent5"/>
            </w:tcBorders>
            <w:shd w:val="clear" w:color="auto" w:fill="E28521" w:themeFill="accent5"/>
          </w:tcPr>
          <w:p w:rsidR="003074A6" w:rsidRPr="00C756F5" w:rsidRDefault="003074A6" w:rsidP="003074A6">
            <w:pPr>
              <w:spacing w:after="0" w:line="240" w:lineRule="auto"/>
              <w:rPr>
                <w:rFonts w:asciiTheme="minorHAnsi" w:hAnsiTheme="minorHAnsi" w:cs="Times New Roman"/>
                <w:b/>
                <w:color w:val="FFFFFF" w:themeColor="background1"/>
              </w:rPr>
            </w:pPr>
          </w:p>
        </w:tc>
        <w:tc>
          <w:tcPr>
            <w:tcW w:w="1350" w:type="dxa"/>
            <w:tcBorders>
              <w:bottom w:val="single" w:sz="4" w:space="0" w:color="E28521" w:themeColor="accent5"/>
            </w:tcBorders>
            <w:shd w:val="clear" w:color="auto" w:fill="E28521" w:themeFill="accent5"/>
          </w:tcPr>
          <w:p w:rsidR="003074A6" w:rsidRPr="00C756F5" w:rsidRDefault="003074A6" w:rsidP="00C756F5">
            <w:pPr>
              <w:spacing w:after="0" w:line="240" w:lineRule="auto"/>
              <w:jc w:val="center"/>
              <w:rPr>
                <w:rFonts w:asciiTheme="minorHAnsi" w:hAnsiTheme="minorHAnsi" w:cs="Times New Roman"/>
                <w:b/>
                <w:color w:val="FFFFFF" w:themeColor="background1"/>
              </w:rPr>
            </w:pPr>
            <w:r w:rsidRPr="00C756F5">
              <w:rPr>
                <w:rFonts w:asciiTheme="minorHAnsi" w:hAnsiTheme="minorHAnsi" w:cs="Times New Roman"/>
                <w:b/>
                <w:color w:val="FFFFFF" w:themeColor="background1"/>
              </w:rPr>
              <w:t>Gen Ed</w:t>
            </w:r>
          </w:p>
        </w:tc>
        <w:tc>
          <w:tcPr>
            <w:tcW w:w="1349" w:type="dxa"/>
            <w:tcBorders>
              <w:bottom w:val="single" w:sz="4" w:space="0" w:color="E28521" w:themeColor="accent5"/>
            </w:tcBorders>
            <w:shd w:val="clear" w:color="auto" w:fill="E28521" w:themeFill="accent5"/>
          </w:tcPr>
          <w:p w:rsidR="003074A6" w:rsidRPr="00C756F5" w:rsidRDefault="003074A6" w:rsidP="00C756F5">
            <w:pPr>
              <w:spacing w:after="0" w:line="240" w:lineRule="auto"/>
              <w:jc w:val="center"/>
              <w:rPr>
                <w:rFonts w:asciiTheme="minorHAnsi" w:hAnsiTheme="minorHAnsi" w:cs="Times New Roman"/>
                <w:b/>
                <w:color w:val="FFFFFF" w:themeColor="background1"/>
              </w:rPr>
            </w:pPr>
            <w:r w:rsidRPr="00C756F5">
              <w:rPr>
                <w:rFonts w:asciiTheme="minorHAnsi" w:hAnsiTheme="minorHAnsi" w:cs="Times New Roman"/>
                <w:b/>
                <w:color w:val="FFFFFF" w:themeColor="background1"/>
              </w:rPr>
              <w:t>Gen Ed</w:t>
            </w:r>
          </w:p>
        </w:tc>
        <w:tc>
          <w:tcPr>
            <w:tcW w:w="1010" w:type="dxa"/>
            <w:tcBorders>
              <w:bottom w:val="single" w:sz="4" w:space="0" w:color="E28521" w:themeColor="accent5"/>
            </w:tcBorders>
            <w:shd w:val="clear" w:color="auto" w:fill="E28521" w:themeFill="accent5"/>
          </w:tcPr>
          <w:p w:rsidR="003074A6" w:rsidRPr="00C756F5" w:rsidRDefault="003074A6" w:rsidP="00C756F5">
            <w:pPr>
              <w:spacing w:after="0" w:line="240" w:lineRule="auto"/>
              <w:jc w:val="center"/>
              <w:rPr>
                <w:rFonts w:asciiTheme="minorHAnsi" w:hAnsiTheme="minorHAnsi" w:cs="Times New Roman"/>
                <w:b/>
                <w:color w:val="FFFFFF" w:themeColor="background1"/>
              </w:rPr>
            </w:pPr>
            <w:r w:rsidRPr="00C756F5">
              <w:rPr>
                <w:rFonts w:asciiTheme="minorHAnsi" w:hAnsiTheme="minorHAnsi" w:cs="Times New Roman"/>
                <w:b/>
                <w:color w:val="FFFFFF" w:themeColor="background1"/>
              </w:rPr>
              <w:t>Math</w:t>
            </w:r>
          </w:p>
        </w:tc>
        <w:tc>
          <w:tcPr>
            <w:tcW w:w="1010" w:type="dxa"/>
            <w:tcBorders>
              <w:bottom w:val="single" w:sz="4" w:space="0" w:color="E28521" w:themeColor="accent5"/>
            </w:tcBorders>
            <w:shd w:val="clear" w:color="auto" w:fill="E28521" w:themeFill="accent5"/>
          </w:tcPr>
          <w:p w:rsidR="003074A6" w:rsidRPr="00C756F5" w:rsidRDefault="003074A6" w:rsidP="00C756F5">
            <w:pPr>
              <w:spacing w:after="0" w:line="240" w:lineRule="auto"/>
              <w:jc w:val="center"/>
              <w:rPr>
                <w:rFonts w:asciiTheme="minorHAnsi" w:hAnsiTheme="minorHAnsi" w:cs="Times New Roman"/>
                <w:b/>
                <w:color w:val="FFFFFF" w:themeColor="background1"/>
              </w:rPr>
            </w:pPr>
            <w:r w:rsidRPr="00C756F5">
              <w:rPr>
                <w:rFonts w:asciiTheme="minorHAnsi" w:hAnsiTheme="minorHAnsi" w:cs="Times New Roman"/>
                <w:b/>
                <w:color w:val="FFFFFF" w:themeColor="background1"/>
              </w:rPr>
              <w:t>ELA</w:t>
            </w:r>
          </w:p>
        </w:tc>
        <w:tc>
          <w:tcPr>
            <w:tcW w:w="1010" w:type="dxa"/>
            <w:tcBorders>
              <w:bottom w:val="single" w:sz="4" w:space="0" w:color="E28521" w:themeColor="accent5"/>
            </w:tcBorders>
            <w:shd w:val="clear" w:color="auto" w:fill="E28521" w:themeFill="accent5"/>
          </w:tcPr>
          <w:p w:rsidR="003074A6" w:rsidRPr="00C756F5" w:rsidRDefault="003074A6" w:rsidP="00C756F5">
            <w:pPr>
              <w:spacing w:after="0" w:line="240" w:lineRule="auto"/>
              <w:jc w:val="center"/>
              <w:rPr>
                <w:rFonts w:asciiTheme="minorHAnsi" w:hAnsiTheme="minorHAnsi" w:cs="Times New Roman"/>
                <w:b/>
                <w:color w:val="FFFFFF" w:themeColor="background1"/>
              </w:rPr>
            </w:pPr>
            <w:r w:rsidRPr="00C756F5">
              <w:rPr>
                <w:rFonts w:asciiTheme="minorHAnsi" w:hAnsiTheme="minorHAnsi" w:cs="Times New Roman"/>
                <w:b/>
                <w:color w:val="FFFFFF" w:themeColor="background1"/>
              </w:rPr>
              <w:t>Math</w:t>
            </w:r>
          </w:p>
        </w:tc>
        <w:tc>
          <w:tcPr>
            <w:tcW w:w="1081" w:type="dxa"/>
            <w:tcBorders>
              <w:bottom w:val="single" w:sz="4" w:space="0" w:color="E28521" w:themeColor="accent5"/>
              <w:right w:val="single" w:sz="4" w:space="0" w:color="E28521" w:themeColor="accent5"/>
            </w:tcBorders>
            <w:shd w:val="clear" w:color="auto" w:fill="E28521" w:themeFill="accent5"/>
          </w:tcPr>
          <w:p w:rsidR="003074A6" w:rsidRPr="00C756F5" w:rsidRDefault="003074A6" w:rsidP="00C756F5">
            <w:pPr>
              <w:spacing w:after="0" w:line="240" w:lineRule="auto"/>
              <w:jc w:val="center"/>
              <w:rPr>
                <w:rFonts w:asciiTheme="minorHAnsi" w:hAnsiTheme="minorHAnsi" w:cs="Times New Roman"/>
                <w:b/>
                <w:color w:val="FFFFFF" w:themeColor="background1"/>
              </w:rPr>
            </w:pPr>
            <w:r w:rsidRPr="00C756F5">
              <w:rPr>
                <w:rFonts w:asciiTheme="minorHAnsi" w:hAnsiTheme="minorHAnsi" w:cs="Times New Roman"/>
                <w:b/>
                <w:color w:val="FFFFFF" w:themeColor="background1"/>
              </w:rPr>
              <w:t>ELA</w:t>
            </w:r>
          </w:p>
        </w:tc>
      </w:tr>
      <w:tr w:rsidR="003074A6" w:rsidTr="00FB0C54">
        <w:trPr>
          <w:gridAfter w:val="1"/>
          <w:wAfter w:w="50" w:type="dxa"/>
          <w:tblHeader/>
        </w:trPr>
        <w:tc>
          <w:tcPr>
            <w:tcW w:w="2680" w:type="dxa"/>
            <w:tcBorders>
              <w:top w:val="single" w:sz="4" w:space="0" w:color="E28521" w:themeColor="accent5"/>
              <w:left w:val="single" w:sz="4" w:space="0" w:color="E28521" w:themeColor="accent5"/>
              <w:bottom w:val="single" w:sz="4" w:space="0" w:color="E28521" w:themeColor="accent5"/>
            </w:tcBorders>
            <w:shd w:val="clear" w:color="auto" w:fill="F9E6D2" w:themeFill="accent5" w:themeFillTint="33"/>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Statewide</w:t>
            </w:r>
          </w:p>
        </w:tc>
        <w:tc>
          <w:tcPr>
            <w:tcW w:w="1350" w:type="dxa"/>
            <w:tcBorders>
              <w:top w:val="single" w:sz="4" w:space="0" w:color="E28521" w:themeColor="accent5"/>
              <w:bottom w:val="single" w:sz="4" w:space="0" w:color="E28521" w:themeColor="accent5"/>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20.0</w:t>
            </w:r>
          </w:p>
        </w:tc>
        <w:tc>
          <w:tcPr>
            <w:tcW w:w="1349" w:type="dxa"/>
            <w:tcBorders>
              <w:top w:val="single" w:sz="4" w:space="0" w:color="E28521" w:themeColor="accent5"/>
              <w:bottom w:val="single" w:sz="4" w:space="0" w:color="E28521" w:themeColor="accent5"/>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21.4</w:t>
            </w:r>
          </w:p>
        </w:tc>
        <w:tc>
          <w:tcPr>
            <w:tcW w:w="1010" w:type="dxa"/>
            <w:tcBorders>
              <w:top w:val="single" w:sz="4" w:space="0" w:color="E28521" w:themeColor="accent5"/>
              <w:bottom w:val="single" w:sz="4" w:space="0" w:color="E28521" w:themeColor="accent5"/>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20.4</w:t>
            </w:r>
          </w:p>
        </w:tc>
        <w:tc>
          <w:tcPr>
            <w:tcW w:w="1010" w:type="dxa"/>
            <w:tcBorders>
              <w:top w:val="single" w:sz="4" w:space="0" w:color="E28521" w:themeColor="accent5"/>
              <w:bottom w:val="single" w:sz="4" w:space="0" w:color="E28521" w:themeColor="accent5"/>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19.1</w:t>
            </w:r>
          </w:p>
        </w:tc>
        <w:tc>
          <w:tcPr>
            <w:tcW w:w="1010" w:type="dxa"/>
            <w:tcBorders>
              <w:top w:val="single" w:sz="4" w:space="0" w:color="E28521" w:themeColor="accent5"/>
              <w:bottom w:val="single" w:sz="4" w:space="0" w:color="E28521" w:themeColor="accent5"/>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19.9</w:t>
            </w:r>
          </w:p>
        </w:tc>
        <w:tc>
          <w:tcPr>
            <w:tcW w:w="1081" w:type="dxa"/>
            <w:tcBorders>
              <w:top w:val="single" w:sz="4" w:space="0" w:color="E28521" w:themeColor="accent5"/>
              <w:bottom w:val="single" w:sz="4" w:space="0" w:color="E28521" w:themeColor="accent5"/>
              <w:right w:val="single" w:sz="4" w:space="0" w:color="E28521" w:themeColor="accent5"/>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19.3</w:t>
            </w:r>
          </w:p>
        </w:tc>
      </w:tr>
      <w:tr w:rsidR="003074A6" w:rsidTr="00FB0C54">
        <w:trPr>
          <w:gridAfter w:val="1"/>
          <w:wAfter w:w="50" w:type="dxa"/>
          <w:tblHeader/>
        </w:trPr>
        <w:tc>
          <w:tcPr>
            <w:tcW w:w="2680" w:type="dxa"/>
            <w:tcBorders>
              <w:top w:val="single" w:sz="4" w:space="0" w:color="E28521" w:themeColor="accent5"/>
              <w:left w:val="single" w:sz="4" w:space="0" w:color="E28521" w:themeColor="accent5"/>
              <w:bottom w:val="single" w:sz="4" w:space="0" w:color="E28521" w:themeColor="accent5"/>
            </w:tcBorders>
            <w:shd w:val="clear" w:color="auto" w:fill="F3CEA5" w:themeFill="accent5" w:themeFillTint="66"/>
          </w:tcPr>
          <w:p w:rsidR="003074A6" w:rsidRPr="00177251" w:rsidRDefault="00FA09F4" w:rsidP="00FA09F4">
            <w:pPr>
              <w:spacing w:after="0"/>
              <w:rPr>
                <w:rFonts w:asciiTheme="minorHAnsi" w:hAnsiTheme="minorHAnsi" w:cs="Times New Roman"/>
                <w:b/>
              </w:rPr>
            </w:pPr>
            <w:r>
              <w:rPr>
                <w:rFonts w:asciiTheme="minorHAnsi" w:hAnsiTheme="minorHAnsi" w:cs="Times New Roman"/>
                <w:b/>
              </w:rPr>
              <w:t>Per p</w:t>
            </w:r>
            <w:r w:rsidR="003074A6" w:rsidRPr="00177251">
              <w:rPr>
                <w:rFonts w:asciiTheme="minorHAnsi" w:hAnsiTheme="minorHAnsi" w:cs="Times New Roman"/>
                <w:b/>
              </w:rPr>
              <w:t xml:space="preserve">upil </w:t>
            </w:r>
            <w:r>
              <w:rPr>
                <w:rFonts w:asciiTheme="minorHAnsi" w:hAnsiTheme="minorHAnsi" w:cs="Times New Roman"/>
                <w:b/>
              </w:rPr>
              <w:t>e</w:t>
            </w:r>
            <w:r w:rsidR="003074A6" w:rsidRPr="00177251">
              <w:rPr>
                <w:rFonts w:asciiTheme="minorHAnsi" w:hAnsiTheme="minorHAnsi" w:cs="Times New Roman"/>
                <w:b/>
              </w:rPr>
              <w:t>xpenditures</w:t>
            </w:r>
          </w:p>
        </w:tc>
        <w:tc>
          <w:tcPr>
            <w:tcW w:w="135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349"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81" w:type="dxa"/>
            <w:tcBorders>
              <w:top w:val="single" w:sz="4" w:space="0" w:color="E28521" w:themeColor="accent5"/>
              <w:bottom w:val="single" w:sz="4" w:space="0" w:color="E28521" w:themeColor="accent5"/>
              <w:right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r>
      <w:tr w:rsidR="003074A6" w:rsidTr="00FB0C54">
        <w:trPr>
          <w:gridAfter w:val="1"/>
          <w:wAfter w:w="50" w:type="dxa"/>
          <w:tblHeader/>
        </w:trPr>
        <w:tc>
          <w:tcPr>
            <w:tcW w:w="2680" w:type="dxa"/>
            <w:tcBorders>
              <w:top w:val="single" w:sz="4" w:space="0" w:color="E28521" w:themeColor="accent5"/>
              <w:left w:val="single" w:sz="4" w:space="0" w:color="E28521" w:themeColor="accent5"/>
              <w:bottom w:val="single" w:sz="4" w:space="0" w:color="EDB579" w:themeColor="accent5" w:themeTint="99"/>
            </w:tcBorders>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Bottom 25%</w:t>
            </w:r>
          </w:p>
        </w:tc>
        <w:tc>
          <w:tcPr>
            <w:tcW w:w="135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20.3</w:t>
            </w:r>
          </w:p>
        </w:tc>
        <w:tc>
          <w:tcPr>
            <w:tcW w:w="1349"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21.9</w:t>
            </w:r>
          </w:p>
        </w:tc>
        <w:tc>
          <w:tcPr>
            <w:tcW w:w="101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21.3</w:t>
            </w:r>
          </w:p>
        </w:tc>
        <w:tc>
          <w:tcPr>
            <w:tcW w:w="101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21.3</w:t>
            </w:r>
          </w:p>
        </w:tc>
        <w:tc>
          <w:tcPr>
            <w:tcW w:w="101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20.9</w:t>
            </w:r>
          </w:p>
        </w:tc>
        <w:tc>
          <w:tcPr>
            <w:tcW w:w="1081" w:type="dxa"/>
            <w:tcBorders>
              <w:top w:val="single" w:sz="4" w:space="0" w:color="E28521" w:themeColor="accent5"/>
              <w:bottom w:val="single" w:sz="4" w:space="0" w:color="EDB579" w:themeColor="accent5" w:themeTint="99"/>
              <w:right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21.2</w:t>
            </w:r>
          </w:p>
        </w:tc>
      </w:tr>
      <w:tr w:rsidR="003074A6"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Middle 50%</w:t>
            </w:r>
          </w:p>
        </w:tc>
        <w:tc>
          <w:tcPr>
            <w:tcW w:w="135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20.2</w:t>
            </w:r>
          </w:p>
        </w:tc>
        <w:tc>
          <w:tcPr>
            <w:tcW w:w="1349"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21.4</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20.5</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19.1</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20.2</w:t>
            </w:r>
          </w:p>
        </w:tc>
        <w:tc>
          <w:tcPr>
            <w:tcW w:w="1081"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18.8</w:t>
            </w:r>
          </w:p>
        </w:tc>
      </w:tr>
      <w:tr w:rsidR="003074A6"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28521" w:themeColor="accent5"/>
            </w:tcBorders>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Top 25%</w:t>
            </w:r>
          </w:p>
        </w:tc>
        <w:tc>
          <w:tcPr>
            <w:tcW w:w="135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19.4</w:t>
            </w:r>
          </w:p>
        </w:tc>
        <w:tc>
          <w:tcPr>
            <w:tcW w:w="1349"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20.4</w:t>
            </w:r>
          </w:p>
        </w:tc>
        <w:tc>
          <w:tcPr>
            <w:tcW w:w="101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19.8</w:t>
            </w:r>
          </w:p>
        </w:tc>
        <w:tc>
          <w:tcPr>
            <w:tcW w:w="101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18.1</w:t>
            </w:r>
          </w:p>
        </w:tc>
        <w:tc>
          <w:tcPr>
            <w:tcW w:w="101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19.8</w:t>
            </w:r>
          </w:p>
        </w:tc>
        <w:tc>
          <w:tcPr>
            <w:tcW w:w="1081" w:type="dxa"/>
            <w:tcBorders>
              <w:top w:val="single" w:sz="4" w:space="0" w:color="EDB579" w:themeColor="accent5" w:themeTint="99"/>
              <w:bottom w:val="single" w:sz="4" w:space="0" w:color="E28521" w:themeColor="accent5"/>
              <w:right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19.3</w:t>
            </w:r>
          </w:p>
        </w:tc>
      </w:tr>
      <w:tr w:rsidR="003074A6" w:rsidTr="00FB0C54">
        <w:trPr>
          <w:gridAfter w:val="1"/>
          <w:wAfter w:w="50" w:type="dxa"/>
          <w:tblHeader/>
        </w:trPr>
        <w:tc>
          <w:tcPr>
            <w:tcW w:w="2680" w:type="dxa"/>
            <w:tcBorders>
              <w:top w:val="single" w:sz="4" w:space="0" w:color="E28521" w:themeColor="accent5"/>
              <w:left w:val="single" w:sz="4" w:space="0" w:color="E28521" w:themeColor="accent5"/>
              <w:bottom w:val="single" w:sz="4" w:space="0" w:color="E28521" w:themeColor="accent5"/>
            </w:tcBorders>
            <w:shd w:val="clear" w:color="auto" w:fill="F3CEA5" w:themeFill="accent5" w:themeFillTint="66"/>
          </w:tcPr>
          <w:p w:rsidR="003074A6" w:rsidRPr="00177251" w:rsidRDefault="003074A6" w:rsidP="00FA09F4">
            <w:pPr>
              <w:spacing w:after="0"/>
              <w:rPr>
                <w:rFonts w:asciiTheme="minorHAnsi" w:hAnsiTheme="minorHAnsi" w:cs="Times New Roman"/>
                <w:b/>
              </w:rPr>
            </w:pPr>
            <w:r w:rsidRPr="00177251">
              <w:rPr>
                <w:rFonts w:asciiTheme="minorHAnsi" w:hAnsiTheme="minorHAnsi" w:cs="Times New Roman"/>
                <w:b/>
              </w:rPr>
              <w:t xml:space="preserve">Median </w:t>
            </w:r>
            <w:r w:rsidR="00FA09F4">
              <w:rPr>
                <w:rFonts w:asciiTheme="minorHAnsi" w:hAnsiTheme="minorHAnsi" w:cs="Times New Roman"/>
                <w:b/>
              </w:rPr>
              <w:t>h</w:t>
            </w:r>
            <w:r w:rsidRPr="00177251">
              <w:rPr>
                <w:rFonts w:asciiTheme="minorHAnsi" w:hAnsiTheme="minorHAnsi" w:cs="Times New Roman"/>
                <w:b/>
              </w:rPr>
              <w:t xml:space="preserve">ousehold </w:t>
            </w:r>
            <w:r w:rsidR="00FA09F4">
              <w:rPr>
                <w:rFonts w:asciiTheme="minorHAnsi" w:hAnsiTheme="minorHAnsi" w:cs="Times New Roman"/>
                <w:b/>
              </w:rPr>
              <w:t>i</w:t>
            </w:r>
            <w:r w:rsidRPr="00177251">
              <w:rPr>
                <w:rFonts w:asciiTheme="minorHAnsi" w:hAnsiTheme="minorHAnsi" w:cs="Times New Roman"/>
                <w:b/>
              </w:rPr>
              <w:t>ncome</w:t>
            </w:r>
          </w:p>
        </w:tc>
        <w:tc>
          <w:tcPr>
            <w:tcW w:w="135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349"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81" w:type="dxa"/>
            <w:tcBorders>
              <w:top w:val="single" w:sz="4" w:space="0" w:color="E28521" w:themeColor="accent5"/>
              <w:bottom w:val="single" w:sz="4" w:space="0" w:color="E28521" w:themeColor="accent5"/>
              <w:right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r>
      <w:tr w:rsidR="003074A6" w:rsidTr="00FB0C54">
        <w:trPr>
          <w:gridAfter w:val="1"/>
          <w:wAfter w:w="50" w:type="dxa"/>
          <w:tblHeader/>
        </w:trPr>
        <w:tc>
          <w:tcPr>
            <w:tcW w:w="2680" w:type="dxa"/>
            <w:tcBorders>
              <w:top w:val="single" w:sz="4" w:space="0" w:color="E28521" w:themeColor="accent5"/>
              <w:left w:val="single" w:sz="4" w:space="0" w:color="E28521" w:themeColor="accent5"/>
              <w:bottom w:val="single" w:sz="4" w:space="0" w:color="EDB579" w:themeColor="accent5" w:themeTint="99"/>
            </w:tcBorders>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Bottom 25% </w:t>
            </w:r>
          </w:p>
        </w:tc>
        <w:tc>
          <w:tcPr>
            <w:tcW w:w="135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20.5</w:t>
            </w:r>
          </w:p>
        </w:tc>
        <w:tc>
          <w:tcPr>
            <w:tcW w:w="1349"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21.7</w:t>
            </w:r>
          </w:p>
        </w:tc>
        <w:tc>
          <w:tcPr>
            <w:tcW w:w="101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21.2</w:t>
            </w:r>
          </w:p>
        </w:tc>
        <w:tc>
          <w:tcPr>
            <w:tcW w:w="101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18.1</w:t>
            </w:r>
          </w:p>
        </w:tc>
        <w:tc>
          <w:tcPr>
            <w:tcW w:w="101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19.7</w:t>
            </w:r>
          </w:p>
        </w:tc>
        <w:tc>
          <w:tcPr>
            <w:tcW w:w="1081" w:type="dxa"/>
            <w:tcBorders>
              <w:top w:val="single" w:sz="4" w:space="0" w:color="E28521" w:themeColor="accent5"/>
              <w:bottom w:val="single" w:sz="4" w:space="0" w:color="EDB579" w:themeColor="accent5" w:themeTint="99"/>
              <w:right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18.6</w:t>
            </w:r>
          </w:p>
        </w:tc>
      </w:tr>
      <w:tr w:rsidR="003074A6"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Middle 50%</w:t>
            </w:r>
          </w:p>
        </w:tc>
        <w:tc>
          <w:tcPr>
            <w:tcW w:w="135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19.4</w:t>
            </w:r>
          </w:p>
        </w:tc>
        <w:tc>
          <w:tcPr>
            <w:tcW w:w="1349"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20.6</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19.6</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20.0</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20.2</w:t>
            </w:r>
          </w:p>
        </w:tc>
        <w:tc>
          <w:tcPr>
            <w:tcW w:w="1081"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19.7</w:t>
            </w:r>
          </w:p>
        </w:tc>
      </w:tr>
      <w:tr w:rsidR="003074A6"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28521" w:themeColor="accent5"/>
            </w:tcBorders>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Top 25%</w:t>
            </w:r>
          </w:p>
        </w:tc>
        <w:tc>
          <w:tcPr>
            <w:tcW w:w="135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20.1</w:t>
            </w:r>
          </w:p>
        </w:tc>
        <w:tc>
          <w:tcPr>
            <w:tcW w:w="1349"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20.9</w:t>
            </w:r>
          </w:p>
        </w:tc>
        <w:tc>
          <w:tcPr>
            <w:tcW w:w="101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20.4</w:t>
            </w:r>
          </w:p>
        </w:tc>
        <w:tc>
          <w:tcPr>
            <w:tcW w:w="101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20.4</w:t>
            </w:r>
          </w:p>
        </w:tc>
        <w:tc>
          <w:tcPr>
            <w:tcW w:w="101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20.7</w:t>
            </w:r>
          </w:p>
        </w:tc>
        <w:tc>
          <w:tcPr>
            <w:tcW w:w="1081" w:type="dxa"/>
            <w:tcBorders>
              <w:top w:val="single" w:sz="4" w:space="0" w:color="EDB579" w:themeColor="accent5" w:themeTint="99"/>
              <w:bottom w:val="single" w:sz="4" w:space="0" w:color="E28521" w:themeColor="accent5"/>
              <w:right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20.6</w:t>
            </w:r>
          </w:p>
        </w:tc>
      </w:tr>
      <w:tr w:rsidR="003074A6" w:rsidTr="00FB0C54">
        <w:trPr>
          <w:gridAfter w:val="1"/>
          <w:wAfter w:w="50" w:type="dxa"/>
          <w:tblHeader/>
        </w:trPr>
        <w:tc>
          <w:tcPr>
            <w:tcW w:w="2680" w:type="dxa"/>
            <w:tcBorders>
              <w:top w:val="single" w:sz="4" w:space="0" w:color="E28521" w:themeColor="accent5"/>
              <w:left w:val="single" w:sz="4" w:space="0" w:color="E28521" w:themeColor="accent5"/>
              <w:bottom w:val="single" w:sz="4" w:space="0" w:color="E28521" w:themeColor="accent5"/>
            </w:tcBorders>
            <w:shd w:val="clear" w:color="auto" w:fill="F3CEA5" w:themeFill="accent5" w:themeFillTint="66"/>
          </w:tcPr>
          <w:p w:rsidR="003074A6" w:rsidRPr="00177251" w:rsidRDefault="003074A6" w:rsidP="00FA09F4">
            <w:pPr>
              <w:spacing w:after="0"/>
              <w:rPr>
                <w:rFonts w:asciiTheme="minorHAnsi" w:hAnsiTheme="minorHAnsi" w:cs="Times New Roman"/>
                <w:b/>
              </w:rPr>
            </w:pPr>
            <w:r w:rsidRPr="00177251">
              <w:rPr>
                <w:rFonts w:asciiTheme="minorHAnsi" w:hAnsiTheme="minorHAnsi" w:cs="Times New Roman"/>
                <w:b/>
              </w:rPr>
              <w:t xml:space="preserve">District </w:t>
            </w:r>
            <w:r w:rsidR="00FA09F4">
              <w:rPr>
                <w:rFonts w:asciiTheme="minorHAnsi" w:hAnsiTheme="minorHAnsi" w:cs="Times New Roman"/>
                <w:b/>
              </w:rPr>
              <w:t>e</w:t>
            </w:r>
            <w:r w:rsidRPr="00177251">
              <w:rPr>
                <w:rFonts w:asciiTheme="minorHAnsi" w:hAnsiTheme="minorHAnsi" w:cs="Times New Roman"/>
                <w:b/>
              </w:rPr>
              <w:t>nrollment</w:t>
            </w:r>
          </w:p>
        </w:tc>
        <w:tc>
          <w:tcPr>
            <w:tcW w:w="135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349"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81" w:type="dxa"/>
            <w:tcBorders>
              <w:top w:val="single" w:sz="4" w:space="0" w:color="E28521" w:themeColor="accent5"/>
              <w:bottom w:val="single" w:sz="4" w:space="0" w:color="E28521" w:themeColor="accent5"/>
              <w:right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r>
      <w:tr w:rsidR="003074A6" w:rsidTr="00FB0C54">
        <w:trPr>
          <w:gridAfter w:val="1"/>
          <w:wAfter w:w="50" w:type="dxa"/>
          <w:tblHeader/>
        </w:trPr>
        <w:tc>
          <w:tcPr>
            <w:tcW w:w="2680" w:type="dxa"/>
            <w:tcBorders>
              <w:top w:val="single" w:sz="4" w:space="0" w:color="E28521" w:themeColor="accent5"/>
              <w:left w:val="single" w:sz="4" w:space="0" w:color="E28521" w:themeColor="accent5"/>
              <w:bottom w:val="single" w:sz="4" w:space="0" w:color="EDB579" w:themeColor="accent5" w:themeTint="99"/>
            </w:tcBorders>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Bottom 25%</w:t>
            </w:r>
          </w:p>
        </w:tc>
        <w:tc>
          <w:tcPr>
            <w:tcW w:w="135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17.7</w:t>
            </w:r>
          </w:p>
        </w:tc>
        <w:tc>
          <w:tcPr>
            <w:tcW w:w="1349"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19.0</w:t>
            </w:r>
          </w:p>
        </w:tc>
        <w:tc>
          <w:tcPr>
            <w:tcW w:w="101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18.1</w:t>
            </w:r>
          </w:p>
        </w:tc>
        <w:tc>
          <w:tcPr>
            <w:tcW w:w="101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18.8</w:t>
            </w:r>
          </w:p>
        </w:tc>
        <w:tc>
          <w:tcPr>
            <w:tcW w:w="101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17.5</w:t>
            </w:r>
          </w:p>
        </w:tc>
        <w:tc>
          <w:tcPr>
            <w:tcW w:w="1081" w:type="dxa"/>
            <w:tcBorders>
              <w:top w:val="single" w:sz="4" w:space="0" w:color="E28521" w:themeColor="accent5"/>
              <w:bottom w:val="single" w:sz="4" w:space="0" w:color="EDB579" w:themeColor="accent5" w:themeTint="99"/>
              <w:right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17.8</w:t>
            </w:r>
          </w:p>
        </w:tc>
      </w:tr>
      <w:tr w:rsidR="003074A6"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Middle 50%</w:t>
            </w:r>
          </w:p>
        </w:tc>
        <w:tc>
          <w:tcPr>
            <w:tcW w:w="135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19.3</w:t>
            </w:r>
          </w:p>
        </w:tc>
        <w:tc>
          <w:tcPr>
            <w:tcW w:w="1349"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20.8</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19.6</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19.8</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19.9</w:t>
            </w:r>
          </w:p>
        </w:tc>
        <w:tc>
          <w:tcPr>
            <w:tcW w:w="1081"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19.3</w:t>
            </w:r>
          </w:p>
        </w:tc>
      </w:tr>
      <w:tr w:rsidR="003074A6"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28521" w:themeColor="accent5"/>
            </w:tcBorders>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Top 25%</w:t>
            </w:r>
          </w:p>
        </w:tc>
        <w:tc>
          <w:tcPr>
            <w:tcW w:w="135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20.7</w:t>
            </w:r>
          </w:p>
        </w:tc>
        <w:tc>
          <w:tcPr>
            <w:tcW w:w="1349"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21.6</w:t>
            </w:r>
          </w:p>
        </w:tc>
        <w:tc>
          <w:tcPr>
            <w:tcW w:w="101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21.2</w:t>
            </w:r>
          </w:p>
        </w:tc>
        <w:tc>
          <w:tcPr>
            <w:tcW w:w="101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19.1</w:t>
            </w:r>
          </w:p>
        </w:tc>
        <w:tc>
          <w:tcPr>
            <w:tcW w:w="101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20.4</w:t>
            </w:r>
          </w:p>
        </w:tc>
        <w:tc>
          <w:tcPr>
            <w:tcW w:w="1081" w:type="dxa"/>
            <w:tcBorders>
              <w:top w:val="single" w:sz="4" w:space="0" w:color="EDB579" w:themeColor="accent5" w:themeTint="99"/>
              <w:bottom w:val="single" w:sz="4" w:space="0" w:color="E28521" w:themeColor="accent5"/>
              <w:right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19.3</w:t>
            </w:r>
          </w:p>
        </w:tc>
      </w:tr>
      <w:tr w:rsidR="003074A6" w:rsidTr="00FB0C54">
        <w:trPr>
          <w:gridAfter w:val="1"/>
          <w:wAfter w:w="50" w:type="dxa"/>
          <w:tblHeader/>
        </w:trPr>
        <w:tc>
          <w:tcPr>
            <w:tcW w:w="2680" w:type="dxa"/>
            <w:tcBorders>
              <w:top w:val="single" w:sz="4" w:space="0" w:color="E28521" w:themeColor="accent5"/>
              <w:left w:val="single" w:sz="4" w:space="0" w:color="E28521" w:themeColor="accent5"/>
              <w:bottom w:val="single" w:sz="4" w:space="0" w:color="E28521" w:themeColor="accent5"/>
            </w:tcBorders>
            <w:shd w:val="clear" w:color="auto" w:fill="F3CEA5" w:themeFill="accent5" w:themeFillTint="66"/>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Regions </w:t>
            </w:r>
          </w:p>
        </w:tc>
        <w:tc>
          <w:tcPr>
            <w:tcW w:w="135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349"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81" w:type="dxa"/>
            <w:tcBorders>
              <w:top w:val="single" w:sz="4" w:space="0" w:color="E28521" w:themeColor="accent5"/>
              <w:bottom w:val="single" w:sz="4" w:space="0" w:color="E28521" w:themeColor="accent5"/>
              <w:right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r>
      <w:tr w:rsidR="003074A6" w:rsidTr="00FB0C54">
        <w:trPr>
          <w:gridAfter w:val="1"/>
          <w:wAfter w:w="50" w:type="dxa"/>
          <w:tblHeader/>
        </w:trPr>
        <w:tc>
          <w:tcPr>
            <w:tcW w:w="2680" w:type="dxa"/>
            <w:tcBorders>
              <w:top w:val="single" w:sz="4" w:space="0" w:color="E28521" w:themeColor="accent5"/>
              <w:left w:val="single" w:sz="4" w:space="0" w:color="E28521" w:themeColor="accent5"/>
              <w:bottom w:val="single" w:sz="4" w:space="0" w:color="EDB579" w:themeColor="accent5" w:themeTint="99"/>
            </w:tcBorders>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Berkshire County</w:t>
            </w:r>
          </w:p>
        </w:tc>
        <w:tc>
          <w:tcPr>
            <w:tcW w:w="135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17.6</w:t>
            </w:r>
          </w:p>
        </w:tc>
        <w:tc>
          <w:tcPr>
            <w:tcW w:w="1349"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18.6</w:t>
            </w:r>
          </w:p>
        </w:tc>
        <w:tc>
          <w:tcPr>
            <w:tcW w:w="101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17.0</w:t>
            </w:r>
          </w:p>
        </w:tc>
        <w:tc>
          <w:tcPr>
            <w:tcW w:w="101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14.5</w:t>
            </w:r>
          </w:p>
        </w:tc>
        <w:tc>
          <w:tcPr>
            <w:tcW w:w="1010" w:type="dxa"/>
            <w:tcBorders>
              <w:top w:val="single" w:sz="4" w:space="0" w:color="E28521" w:themeColor="accent5"/>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18.1</w:t>
            </w:r>
          </w:p>
        </w:tc>
        <w:tc>
          <w:tcPr>
            <w:tcW w:w="1081" w:type="dxa"/>
            <w:tcBorders>
              <w:top w:val="single" w:sz="4" w:space="0" w:color="E28521" w:themeColor="accent5"/>
              <w:bottom w:val="single" w:sz="4" w:space="0" w:color="EDB579" w:themeColor="accent5" w:themeTint="99"/>
              <w:right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17.5</w:t>
            </w:r>
          </w:p>
        </w:tc>
      </w:tr>
      <w:tr w:rsidR="003074A6"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Central</w:t>
            </w:r>
          </w:p>
        </w:tc>
        <w:tc>
          <w:tcPr>
            <w:tcW w:w="135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19.7</w:t>
            </w:r>
          </w:p>
        </w:tc>
        <w:tc>
          <w:tcPr>
            <w:tcW w:w="1349"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22.4</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20.0</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20.1</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20.3</w:t>
            </w:r>
          </w:p>
        </w:tc>
        <w:tc>
          <w:tcPr>
            <w:tcW w:w="1081"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20.3</w:t>
            </w:r>
          </w:p>
        </w:tc>
      </w:tr>
      <w:tr w:rsidR="003074A6"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DB579" w:themeColor="accent5" w:themeTint="99"/>
            </w:tcBorders>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Commissioner’s Districts</w:t>
            </w:r>
          </w:p>
        </w:tc>
        <w:tc>
          <w:tcPr>
            <w:tcW w:w="1350" w:type="dxa"/>
            <w:tcBorders>
              <w:top w:val="single" w:sz="4" w:space="0" w:color="EDB579" w:themeColor="accent5" w:themeTint="99"/>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20.8</w:t>
            </w:r>
          </w:p>
        </w:tc>
        <w:tc>
          <w:tcPr>
            <w:tcW w:w="1349" w:type="dxa"/>
            <w:tcBorders>
              <w:top w:val="single" w:sz="4" w:space="0" w:color="EDB579" w:themeColor="accent5" w:themeTint="99"/>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21.7</w:t>
            </w:r>
          </w:p>
        </w:tc>
        <w:tc>
          <w:tcPr>
            <w:tcW w:w="1010" w:type="dxa"/>
            <w:tcBorders>
              <w:top w:val="single" w:sz="4" w:space="0" w:color="EDB579" w:themeColor="accent5" w:themeTint="99"/>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21.5</w:t>
            </w:r>
          </w:p>
        </w:tc>
        <w:tc>
          <w:tcPr>
            <w:tcW w:w="1010" w:type="dxa"/>
            <w:tcBorders>
              <w:top w:val="single" w:sz="4" w:space="0" w:color="EDB579" w:themeColor="accent5" w:themeTint="99"/>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18.1</w:t>
            </w:r>
          </w:p>
        </w:tc>
        <w:tc>
          <w:tcPr>
            <w:tcW w:w="1010" w:type="dxa"/>
            <w:tcBorders>
              <w:top w:val="single" w:sz="4" w:space="0" w:color="EDB579" w:themeColor="accent5" w:themeTint="99"/>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19.9</w:t>
            </w:r>
          </w:p>
        </w:tc>
        <w:tc>
          <w:tcPr>
            <w:tcW w:w="1081" w:type="dxa"/>
            <w:tcBorders>
              <w:top w:val="single" w:sz="4" w:space="0" w:color="EDB579" w:themeColor="accent5" w:themeTint="99"/>
              <w:bottom w:val="single" w:sz="4" w:space="0" w:color="EDB579" w:themeColor="accent5" w:themeTint="99"/>
              <w:right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18.6</w:t>
            </w:r>
          </w:p>
        </w:tc>
      </w:tr>
      <w:tr w:rsidR="003074A6"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Greater Boston</w:t>
            </w:r>
          </w:p>
        </w:tc>
        <w:tc>
          <w:tcPr>
            <w:tcW w:w="135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20.5</w:t>
            </w:r>
          </w:p>
        </w:tc>
        <w:tc>
          <w:tcPr>
            <w:tcW w:w="1349"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21.2</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20.3</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20.1</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20.8</w:t>
            </w:r>
          </w:p>
        </w:tc>
        <w:tc>
          <w:tcPr>
            <w:tcW w:w="1081"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20.3</w:t>
            </w:r>
          </w:p>
        </w:tc>
      </w:tr>
      <w:tr w:rsidR="003074A6"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DB579" w:themeColor="accent5" w:themeTint="99"/>
            </w:tcBorders>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Northeast</w:t>
            </w:r>
          </w:p>
        </w:tc>
        <w:tc>
          <w:tcPr>
            <w:tcW w:w="1350" w:type="dxa"/>
            <w:tcBorders>
              <w:top w:val="single" w:sz="4" w:space="0" w:color="EDB579" w:themeColor="accent5" w:themeTint="99"/>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19.8</w:t>
            </w:r>
          </w:p>
        </w:tc>
        <w:tc>
          <w:tcPr>
            <w:tcW w:w="1349" w:type="dxa"/>
            <w:tcBorders>
              <w:top w:val="single" w:sz="4" w:space="0" w:color="EDB579" w:themeColor="accent5" w:themeTint="99"/>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20.4</w:t>
            </w:r>
          </w:p>
        </w:tc>
        <w:tc>
          <w:tcPr>
            <w:tcW w:w="1010" w:type="dxa"/>
            <w:tcBorders>
              <w:top w:val="single" w:sz="4" w:space="0" w:color="EDB579" w:themeColor="accent5" w:themeTint="99"/>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19.6</w:t>
            </w:r>
          </w:p>
        </w:tc>
        <w:tc>
          <w:tcPr>
            <w:tcW w:w="1010" w:type="dxa"/>
            <w:tcBorders>
              <w:top w:val="single" w:sz="4" w:space="0" w:color="EDB579" w:themeColor="accent5" w:themeTint="99"/>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19.8</w:t>
            </w:r>
          </w:p>
        </w:tc>
        <w:tc>
          <w:tcPr>
            <w:tcW w:w="1010" w:type="dxa"/>
            <w:tcBorders>
              <w:top w:val="single" w:sz="4" w:space="0" w:color="EDB579" w:themeColor="accent5" w:themeTint="99"/>
              <w:bottom w:val="single" w:sz="4" w:space="0" w:color="EDB579" w:themeColor="accent5" w:themeTint="99"/>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20.3</w:t>
            </w:r>
          </w:p>
        </w:tc>
        <w:tc>
          <w:tcPr>
            <w:tcW w:w="1081" w:type="dxa"/>
            <w:tcBorders>
              <w:top w:val="single" w:sz="4" w:space="0" w:color="EDB579" w:themeColor="accent5" w:themeTint="99"/>
              <w:bottom w:val="single" w:sz="4" w:space="0" w:color="EDB579" w:themeColor="accent5" w:themeTint="99"/>
              <w:right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21.0</w:t>
            </w:r>
          </w:p>
        </w:tc>
      </w:tr>
      <w:tr w:rsidR="003074A6"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Pioneer Valley</w:t>
            </w:r>
          </w:p>
        </w:tc>
        <w:tc>
          <w:tcPr>
            <w:tcW w:w="135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19.5</w:t>
            </w:r>
          </w:p>
        </w:tc>
        <w:tc>
          <w:tcPr>
            <w:tcW w:w="1349"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20.4</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18.4</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18.2</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17.5</w:t>
            </w:r>
          </w:p>
        </w:tc>
        <w:tc>
          <w:tcPr>
            <w:tcW w:w="1081"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17.4</w:t>
            </w:r>
          </w:p>
        </w:tc>
      </w:tr>
      <w:tr w:rsidR="003074A6" w:rsidRPr="00EB5EA0"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28521" w:themeColor="accent5"/>
            </w:tcBorders>
          </w:tcPr>
          <w:p w:rsidR="003074A6" w:rsidRPr="00177251" w:rsidRDefault="003074A6" w:rsidP="003074A6">
            <w:pPr>
              <w:spacing w:after="0"/>
              <w:rPr>
                <w:rFonts w:asciiTheme="minorHAnsi" w:hAnsiTheme="minorHAnsi" w:cs="Times New Roman"/>
                <w:b/>
              </w:rPr>
            </w:pPr>
            <w:r w:rsidRPr="00177251">
              <w:rPr>
                <w:rFonts w:asciiTheme="minorHAnsi" w:hAnsiTheme="minorHAnsi" w:cs="Times New Roman"/>
                <w:b/>
              </w:rPr>
              <w:t xml:space="preserve">   Southeast</w:t>
            </w:r>
          </w:p>
        </w:tc>
        <w:tc>
          <w:tcPr>
            <w:tcW w:w="135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19.2</w:t>
            </w:r>
          </w:p>
        </w:tc>
        <w:tc>
          <w:tcPr>
            <w:tcW w:w="1349"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21.0</w:t>
            </w:r>
          </w:p>
        </w:tc>
        <w:tc>
          <w:tcPr>
            <w:tcW w:w="101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19.8</w:t>
            </w:r>
          </w:p>
        </w:tc>
        <w:tc>
          <w:tcPr>
            <w:tcW w:w="101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20.8</w:t>
            </w:r>
          </w:p>
        </w:tc>
        <w:tc>
          <w:tcPr>
            <w:tcW w:w="1010" w:type="dxa"/>
            <w:tcBorders>
              <w:top w:val="single" w:sz="4" w:space="0" w:color="EDB579" w:themeColor="accent5" w:themeTint="99"/>
              <w:bottom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20.0</w:t>
            </w:r>
          </w:p>
        </w:tc>
        <w:tc>
          <w:tcPr>
            <w:tcW w:w="1081" w:type="dxa"/>
            <w:tcBorders>
              <w:top w:val="single" w:sz="4" w:space="0" w:color="EDB579" w:themeColor="accent5" w:themeTint="99"/>
              <w:bottom w:val="single" w:sz="4" w:space="0" w:color="E28521" w:themeColor="accent5"/>
              <w:right w:val="single" w:sz="4" w:space="0" w:color="E28521" w:themeColor="accent5"/>
            </w:tcBorders>
          </w:tcPr>
          <w:p w:rsidR="003074A6" w:rsidRPr="00177251" w:rsidRDefault="003074A6" w:rsidP="00C756F5">
            <w:pPr>
              <w:spacing w:after="0"/>
              <w:jc w:val="center"/>
              <w:rPr>
                <w:rFonts w:asciiTheme="minorHAnsi" w:hAnsiTheme="minorHAnsi" w:cs="Times New Roman"/>
              </w:rPr>
            </w:pPr>
            <w:r w:rsidRPr="00177251">
              <w:rPr>
                <w:rFonts w:asciiTheme="minorHAnsi" w:hAnsiTheme="minorHAnsi" w:cs="Times New Roman"/>
              </w:rPr>
              <w:t>19.5</w:t>
            </w:r>
          </w:p>
        </w:tc>
      </w:tr>
      <w:tr w:rsidR="003074A6" w:rsidTr="00FB0C54">
        <w:trPr>
          <w:gridAfter w:val="1"/>
          <w:wAfter w:w="50" w:type="dxa"/>
          <w:tblHeader/>
        </w:trPr>
        <w:tc>
          <w:tcPr>
            <w:tcW w:w="2680" w:type="dxa"/>
            <w:tcBorders>
              <w:top w:val="single" w:sz="4" w:space="0" w:color="E28521" w:themeColor="accent5"/>
              <w:left w:val="single" w:sz="4" w:space="0" w:color="E28521" w:themeColor="accent5"/>
              <w:bottom w:val="single" w:sz="4" w:space="0" w:color="E28521" w:themeColor="accent5"/>
            </w:tcBorders>
            <w:shd w:val="clear" w:color="auto" w:fill="F3CEA5" w:themeFill="accent5" w:themeFillTint="66"/>
          </w:tcPr>
          <w:p w:rsidR="003074A6" w:rsidRPr="00177251" w:rsidRDefault="00EB5EA0" w:rsidP="003074A6">
            <w:pPr>
              <w:spacing w:after="0"/>
              <w:rPr>
                <w:rFonts w:asciiTheme="minorHAnsi" w:hAnsiTheme="minorHAnsi" w:cs="Times New Roman"/>
                <w:b/>
              </w:rPr>
            </w:pPr>
            <w:r>
              <w:rPr>
                <w:rFonts w:asciiTheme="minorHAnsi" w:hAnsiTheme="minorHAnsi" w:cs="Times New Roman"/>
                <w:b/>
              </w:rPr>
              <w:t>Type of district</w:t>
            </w:r>
          </w:p>
        </w:tc>
        <w:tc>
          <w:tcPr>
            <w:tcW w:w="135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349"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10" w:type="dxa"/>
            <w:tcBorders>
              <w:top w:val="single" w:sz="4" w:space="0" w:color="E28521" w:themeColor="accent5"/>
              <w:bottom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c>
          <w:tcPr>
            <w:tcW w:w="1081" w:type="dxa"/>
            <w:tcBorders>
              <w:top w:val="single" w:sz="4" w:space="0" w:color="E28521" w:themeColor="accent5"/>
              <w:bottom w:val="single" w:sz="4" w:space="0" w:color="E28521" w:themeColor="accent5"/>
              <w:right w:val="single" w:sz="4" w:space="0" w:color="E28521" w:themeColor="accent5"/>
            </w:tcBorders>
            <w:shd w:val="clear" w:color="auto" w:fill="F3CEA5" w:themeFill="accent5" w:themeFillTint="66"/>
          </w:tcPr>
          <w:p w:rsidR="003074A6" w:rsidRPr="00177251" w:rsidRDefault="003074A6" w:rsidP="00C756F5">
            <w:pPr>
              <w:spacing w:after="0"/>
              <w:jc w:val="center"/>
              <w:rPr>
                <w:rFonts w:asciiTheme="minorHAnsi" w:hAnsiTheme="minorHAnsi" w:cs="Times New Roman"/>
              </w:rPr>
            </w:pPr>
          </w:p>
        </w:tc>
      </w:tr>
      <w:tr w:rsidR="00EB5EA0" w:rsidRPr="00177251"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DB579" w:themeColor="accent5" w:themeTint="99"/>
            </w:tcBorders>
            <w:shd w:val="clear" w:color="auto" w:fill="F9E6D2" w:themeFill="accent5" w:themeFillTint="33"/>
          </w:tcPr>
          <w:p w:rsidR="00EB5EA0" w:rsidRPr="00177251" w:rsidRDefault="00EB5EA0" w:rsidP="00EB5EA0">
            <w:pPr>
              <w:spacing w:after="0"/>
              <w:rPr>
                <w:rFonts w:asciiTheme="minorHAnsi" w:hAnsiTheme="minorHAnsi" w:cs="Times New Roman"/>
                <w:b/>
              </w:rPr>
            </w:pPr>
            <w:r w:rsidRPr="00177251">
              <w:rPr>
                <w:rFonts w:asciiTheme="minorHAnsi" w:hAnsiTheme="minorHAnsi" w:cs="Times New Roman"/>
                <w:b/>
              </w:rPr>
              <w:t xml:space="preserve">   </w:t>
            </w:r>
            <w:r>
              <w:rPr>
                <w:rFonts w:asciiTheme="minorHAnsi" w:hAnsiTheme="minorHAnsi" w:cs="Times New Roman"/>
                <w:b/>
              </w:rPr>
              <w:t>Traditional</w:t>
            </w:r>
          </w:p>
        </w:tc>
        <w:tc>
          <w:tcPr>
            <w:tcW w:w="1350" w:type="dxa"/>
            <w:tcBorders>
              <w:top w:val="single" w:sz="4" w:space="0" w:color="EDB579" w:themeColor="accent5" w:themeTint="99"/>
              <w:bottom w:val="single" w:sz="4" w:space="0" w:color="EDB579" w:themeColor="accent5" w:themeTint="99"/>
            </w:tcBorders>
            <w:shd w:val="clear" w:color="auto" w:fill="F9E6D2" w:themeFill="accent5" w:themeFillTint="33"/>
          </w:tcPr>
          <w:p w:rsidR="00EB5EA0" w:rsidRPr="00177251" w:rsidRDefault="00EB5EA0" w:rsidP="00351436">
            <w:pPr>
              <w:spacing w:after="0"/>
              <w:jc w:val="center"/>
              <w:rPr>
                <w:rFonts w:asciiTheme="minorHAnsi" w:hAnsiTheme="minorHAnsi" w:cs="Times New Roman"/>
              </w:rPr>
            </w:pPr>
            <w:r>
              <w:rPr>
                <w:rFonts w:asciiTheme="minorHAnsi" w:hAnsiTheme="minorHAnsi" w:cs="Times New Roman"/>
              </w:rPr>
              <w:t>20.0</w:t>
            </w:r>
          </w:p>
        </w:tc>
        <w:tc>
          <w:tcPr>
            <w:tcW w:w="1349" w:type="dxa"/>
            <w:tcBorders>
              <w:top w:val="single" w:sz="4" w:space="0" w:color="EDB579" w:themeColor="accent5" w:themeTint="99"/>
              <w:bottom w:val="single" w:sz="4" w:space="0" w:color="EDB579" w:themeColor="accent5" w:themeTint="99"/>
            </w:tcBorders>
            <w:shd w:val="clear" w:color="auto" w:fill="F9E6D2" w:themeFill="accent5" w:themeFillTint="33"/>
          </w:tcPr>
          <w:p w:rsidR="00EB5EA0" w:rsidRPr="00177251" w:rsidRDefault="00EB5EA0" w:rsidP="00351436">
            <w:pPr>
              <w:spacing w:after="0"/>
              <w:jc w:val="center"/>
              <w:rPr>
                <w:rFonts w:asciiTheme="minorHAnsi" w:hAnsiTheme="minorHAnsi" w:cs="Times New Roman"/>
              </w:rPr>
            </w:pPr>
            <w:r>
              <w:rPr>
                <w:rFonts w:asciiTheme="minorHAnsi" w:hAnsiTheme="minorHAnsi" w:cs="Times New Roman"/>
              </w:rPr>
              <w:t>21.4</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EB5EA0" w:rsidRPr="00177251" w:rsidRDefault="00EB5EA0" w:rsidP="00351436">
            <w:pPr>
              <w:spacing w:after="0"/>
              <w:jc w:val="center"/>
              <w:rPr>
                <w:rFonts w:asciiTheme="minorHAnsi" w:hAnsiTheme="minorHAnsi" w:cs="Times New Roman"/>
              </w:rPr>
            </w:pPr>
            <w:r>
              <w:rPr>
                <w:rFonts w:asciiTheme="minorHAnsi" w:hAnsiTheme="minorHAnsi" w:cs="Times New Roman"/>
              </w:rPr>
              <w:t>20.4</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EB5EA0" w:rsidRPr="00177251" w:rsidRDefault="00EB5EA0" w:rsidP="00351436">
            <w:pPr>
              <w:spacing w:after="0"/>
              <w:jc w:val="center"/>
              <w:rPr>
                <w:rFonts w:asciiTheme="minorHAnsi" w:hAnsiTheme="minorHAnsi" w:cs="Times New Roman"/>
              </w:rPr>
            </w:pPr>
            <w:r>
              <w:rPr>
                <w:rFonts w:asciiTheme="minorHAnsi" w:hAnsiTheme="minorHAnsi" w:cs="Times New Roman"/>
              </w:rPr>
              <w:t>19.1</w:t>
            </w:r>
          </w:p>
        </w:tc>
        <w:tc>
          <w:tcPr>
            <w:tcW w:w="1010" w:type="dxa"/>
            <w:tcBorders>
              <w:top w:val="single" w:sz="4" w:space="0" w:color="EDB579" w:themeColor="accent5" w:themeTint="99"/>
              <w:bottom w:val="single" w:sz="4" w:space="0" w:color="EDB579" w:themeColor="accent5" w:themeTint="99"/>
            </w:tcBorders>
            <w:shd w:val="clear" w:color="auto" w:fill="F9E6D2" w:themeFill="accent5" w:themeFillTint="33"/>
          </w:tcPr>
          <w:p w:rsidR="00EB5EA0" w:rsidRPr="00177251" w:rsidRDefault="00EB5EA0" w:rsidP="00351436">
            <w:pPr>
              <w:spacing w:after="0"/>
              <w:jc w:val="center"/>
              <w:rPr>
                <w:rFonts w:asciiTheme="minorHAnsi" w:hAnsiTheme="minorHAnsi" w:cs="Times New Roman"/>
              </w:rPr>
            </w:pPr>
            <w:r>
              <w:rPr>
                <w:rFonts w:asciiTheme="minorHAnsi" w:hAnsiTheme="minorHAnsi" w:cs="Times New Roman"/>
              </w:rPr>
              <w:t>19.9</w:t>
            </w:r>
          </w:p>
        </w:tc>
        <w:tc>
          <w:tcPr>
            <w:tcW w:w="1081" w:type="dxa"/>
            <w:tcBorders>
              <w:top w:val="single" w:sz="4" w:space="0" w:color="EDB579" w:themeColor="accent5" w:themeTint="99"/>
              <w:bottom w:val="single" w:sz="4" w:space="0" w:color="EDB579" w:themeColor="accent5" w:themeTint="99"/>
              <w:right w:val="single" w:sz="4" w:space="0" w:color="E28521" w:themeColor="accent5"/>
            </w:tcBorders>
            <w:shd w:val="clear" w:color="auto" w:fill="F9E6D2" w:themeFill="accent5" w:themeFillTint="33"/>
          </w:tcPr>
          <w:p w:rsidR="00EB5EA0" w:rsidRPr="00177251" w:rsidRDefault="00EB5EA0" w:rsidP="00351436">
            <w:pPr>
              <w:spacing w:after="0"/>
              <w:jc w:val="center"/>
              <w:rPr>
                <w:rFonts w:asciiTheme="minorHAnsi" w:hAnsiTheme="minorHAnsi" w:cs="Times New Roman"/>
              </w:rPr>
            </w:pPr>
            <w:r>
              <w:rPr>
                <w:rFonts w:asciiTheme="minorHAnsi" w:hAnsiTheme="minorHAnsi" w:cs="Times New Roman"/>
              </w:rPr>
              <w:t>19.3</w:t>
            </w:r>
          </w:p>
        </w:tc>
      </w:tr>
      <w:tr w:rsidR="00EB5EA0" w:rsidRPr="00177251" w:rsidTr="00FB0C54">
        <w:trPr>
          <w:gridAfter w:val="1"/>
          <w:wAfter w:w="50" w:type="dxa"/>
          <w:tblHeader/>
        </w:trPr>
        <w:tc>
          <w:tcPr>
            <w:tcW w:w="2680" w:type="dxa"/>
            <w:tcBorders>
              <w:top w:val="single" w:sz="4" w:space="0" w:color="EDB579" w:themeColor="accent5" w:themeTint="99"/>
              <w:left w:val="single" w:sz="4" w:space="0" w:color="E28521" w:themeColor="accent5"/>
              <w:bottom w:val="single" w:sz="4" w:space="0" w:color="E28521" w:themeColor="accent5"/>
            </w:tcBorders>
          </w:tcPr>
          <w:p w:rsidR="00EB5EA0" w:rsidRPr="00177251" w:rsidRDefault="00EB5EA0" w:rsidP="00EB5EA0">
            <w:pPr>
              <w:spacing w:after="0"/>
              <w:rPr>
                <w:rFonts w:asciiTheme="minorHAnsi" w:hAnsiTheme="minorHAnsi" w:cs="Times New Roman"/>
                <w:b/>
              </w:rPr>
            </w:pPr>
            <w:r w:rsidRPr="00177251">
              <w:rPr>
                <w:rFonts w:asciiTheme="minorHAnsi" w:hAnsiTheme="minorHAnsi" w:cs="Times New Roman"/>
                <w:b/>
              </w:rPr>
              <w:t xml:space="preserve">   </w:t>
            </w:r>
            <w:r>
              <w:rPr>
                <w:rFonts w:asciiTheme="minorHAnsi" w:hAnsiTheme="minorHAnsi" w:cs="Times New Roman"/>
                <w:b/>
              </w:rPr>
              <w:t>Charter</w:t>
            </w:r>
          </w:p>
        </w:tc>
        <w:tc>
          <w:tcPr>
            <w:tcW w:w="1350" w:type="dxa"/>
            <w:tcBorders>
              <w:top w:val="single" w:sz="4" w:space="0" w:color="EDB579" w:themeColor="accent5" w:themeTint="99"/>
              <w:bottom w:val="single" w:sz="4" w:space="0" w:color="E28521" w:themeColor="accent5"/>
            </w:tcBorders>
          </w:tcPr>
          <w:p w:rsidR="00EB5EA0" w:rsidRPr="00177251" w:rsidRDefault="00EB5EA0" w:rsidP="00351436">
            <w:pPr>
              <w:spacing w:after="0"/>
              <w:jc w:val="center"/>
              <w:rPr>
                <w:rFonts w:asciiTheme="minorHAnsi" w:hAnsiTheme="minorHAnsi" w:cs="Times New Roman"/>
              </w:rPr>
            </w:pPr>
            <w:r>
              <w:rPr>
                <w:rFonts w:asciiTheme="minorHAnsi" w:hAnsiTheme="minorHAnsi" w:cs="Times New Roman"/>
              </w:rPr>
              <w:t>21.6</w:t>
            </w:r>
          </w:p>
        </w:tc>
        <w:tc>
          <w:tcPr>
            <w:tcW w:w="1349" w:type="dxa"/>
            <w:tcBorders>
              <w:top w:val="single" w:sz="4" w:space="0" w:color="EDB579" w:themeColor="accent5" w:themeTint="99"/>
              <w:bottom w:val="single" w:sz="4" w:space="0" w:color="E28521" w:themeColor="accent5"/>
            </w:tcBorders>
          </w:tcPr>
          <w:p w:rsidR="00EB5EA0" w:rsidRPr="00177251" w:rsidRDefault="00EB5EA0" w:rsidP="00351436">
            <w:pPr>
              <w:spacing w:after="0"/>
              <w:jc w:val="center"/>
              <w:rPr>
                <w:rFonts w:asciiTheme="minorHAnsi" w:hAnsiTheme="minorHAnsi" w:cs="Times New Roman"/>
              </w:rPr>
            </w:pPr>
            <w:r>
              <w:rPr>
                <w:rFonts w:asciiTheme="minorHAnsi" w:hAnsiTheme="minorHAnsi" w:cs="Times New Roman"/>
              </w:rPr>
              <w:t>21.3</w:t>
            </w:r>
          </w:p>
        </w:tc>
        <w:tc>
          <w:tcPr>
            <w:tcW w:w="1010" w:type="dxa"/>
            <w:tcBorders>
              <w:top w:val="single" w:sz="4" w:space="0" w:color="EDB579" w:themeColor="accent5" w:themeTint="99"/>
              <w:bottom w:val="single" w:sz="4" w:space="0" w:color="E28521" w:themeColor="accent5"/>
            </w:tcBorders>
          </w:tcPr>
          <w:p w:rsidR="00EB5EA0" w:rsidRPr="00177251" w:rsidRDefault="00EB5EA0" w:rsidP="00351436">
            <w:pPr>
              <w:spacing w:after="0"/>
              <w:jc w:val="center"/>
              <w:rPr>
                <w:rFonts w:asciiTheme="minorHAnsi" w:hAnsiTheme="minorHAnsi" w:cs="Times New Roman"/>
              </w:rPr>
            </w:pPr>
            <w:r>
              <w:rPr>
                <w:rFonts w:asciiTheme="minorHAnsi" w:hAnsiTheme="minorHAnsi" w:cs="Times New Roman"/>
              </w:rPr>
              <w:t>22.3</w:t>
            </w:r>
          </w:p>
        </w:tc>
        <w:tc>
          <w:tcPr>
            <w:tcW w:w="1010" w:type="dxa"/>
            <w:tcBorders>
              <w:top w:val="single" w:sz="4" w:space="0" w:color="EDB579" w:themeColor="accent5" w:themeTint="99"/>
              <w:bottom w:val="single" w:sz="4" w:space="0" w:color="E28521" w:themeColor="accent5"/>
            </w:tcBorders>
          </w:tcPr>
          <w:p w:rsidR="00EB5EA0" w:rsidRPr="00177251" w:rsidRDefault="00EB5EA0" w:rsidP="00351436">
            <w:pPr>
              <w:spacing w:after="0"/>
              <w:jc w:val="center"/>
              <w:rPr>
                <w:rFonts w:asciiTheme="minorHAnsi" w:hAnsiTheme="minorHAnsi" w:cs="Times New Roman"/>
              </w:rPr>
            </w:pPr>
            <w:r>
              <w:rPr>
                <w:rFonts w:asciiTheme="minorHAnsi" w:hAnsiTheme="minorHAnsi" w:cs="Times New Roman"/>
              </w:rPr>
              <w:t>22.3</w:t>
            </w:r>
          </w:p>
        </w:tc>
        <w:tc>
          <w:tcPr>
            <w:tcW w:w="1010" w:type="dxa"/>
            <w:tcBorders>
              <w:top w:val="single" w:sz="4" w:space="0" w:color="EDB579" w:themeColor="accent5" w:themeTint="99"/>
              <w:bottom w:val="single" w:sz="4" w:space="0" w:color="E28521" w:themeColor="accent5"/>
            </w:tcBorders>
          </w:tcPr>
          <w:p w:rsidR="00EB5EA0" w:rsidRPr="00177251" w:rsidRDefault="00EB5EA0" w:rsidP="00351436">
            <w:pPr>
              <w:spacing w:after="0"/>
              <w:jc w:val="center"/>
              <w:rPr>
                <w:rFonts w:asciiTheme="minorHAnsi" w:hAnsiTheme="minorHAnsi" w:cs="Times New Roman"/>
              </w:rPr>
            </w:pPr>
            <w:r>
              <w:rPr>
                <w:rFonts w:asciiTheme="minorHAnsi" w:hAnsiTheme="minorHAnsi" w:cs="Times New Roman"/>
              </w:rPr>
              <w:t>16.5</w:t>
            </w:r>
          </w:p>
        </w:tc>
        <w:tc>
          <w:tcPr>
            <w:tcW w:w="1081" w:type="dxa"/>
            <w:tcBorders>
              <w:top w:val="single" w:sz="4" w:space="0" w:color="EDB579" w:themeColor="accent5" w:themeTint="99"/>
              <w:bottom w:val="single" w:sz="4" w:space="0" w:color="E28521" w:themeColor="accent5"/>
              <w:right w:val="single" w:sz="4" w:space="0" w:color="E28521" w:themeColor="accent5"/>
            </w:tcBorders>
          </w:tcPr>
          <w:p w:rsidR="00EB5EA0" w:rsidRPr="00177251" w:rsidRDefault="00EB5EA0" w:rsidP="00351436">
            <w:pPr>
              <w:spacing w:after="0"/>
              <w:jc w:val="center"/>
              <w:rPr>
                <w:rFonts w:asciiTheme="minorHAnsi" w:hAnsiTheme="minorHAnsi" w:cs="Times New Roman"/>
              </w:rPr>
            </w:pPr>
            <w:r>
              <w:rPr>
                <w:rFonts w:asciiTheme="minorHAnsi" w:hAnsiTheme="minorHAnsi" w:cs="Times New Roman"/>
              </w:rPr>
              <w:t>18.0</w:t>
            </w:r>
          </w:p>
        </w:tc>
      </w:tr>
    </w:tbl>
    <w:p w:rsidR="00351436" w:rsidRDefault="00351436" w:rsidP="00284A53">
      <w:pPr>
        <w:rPr>
          <w:color w:val="000000" w:themeColor="text1"/>
        </w:rPr>
      </w:pPr>
    </w:p>
    <w:p w:rsidR="00C756F5" w:rsidRPr="00351436" w:rsidRDefault="00C756F5" w:rsidP="00351436">
      <w:pPr>
        <w:sectPr w:rsidR="00C756F5" w:rsidRPr="00351436" w:rsidSect="003074A6">
          <w:endnotePr>
            <w:numFmt w:val="decimal"/>
          </w:endnotePr>
          <w:type w:val="continuous"/>
          <w:pgSz w:w="12240" w:h="15840"/>
          <w:pgMar w:top="720" w:right="720" w:bottom="720" w:left="720" w:header="720" w:footer="720" w:gutter="0"/>
          <w:cols w:space="720"/>
          <w:docGrid w:linePitch="360"/>
        </w:sectPr>
      </w:pPr>
    </w:p>
    <w:p w:rsidR="00F33370" w:rsidRPr="00EB5EA0" w:rsidRDefault="00F33370" w:rsidP="00284A53">
      <w:pPr>
        <w:rPr>
          <w:color w:val="000000" w:themeColor="text1"/>
          <w:sz w:val="10"/>
          <w:szCs w:val="10"/>
        </w:rPr>
      </w:pPr>
    </w:p>
    <w:p w:rsidR="00C756F5" w:rsidRPr="00284A53" w:rsidRDefault="00862F67" w:rsidP="00C756F5">
      <w:pPr>
        <w:rPr>
          <w:color w:val="000000" w:themeColor="text1"/>
        </w:rPr>
      </w:pPr>
      <w:r>
        <w:rPr>
          <w:color w:val="000000" w:themeColor="text1"/>
        </w:rPr>
        <w:t>a</w:t>
      </w:r>
      <w:r w:rsidR="00C756F5" w:rsidRPr="00284A53">
        <w:rPr>
          <w:color w:val="000000" w:themeColor="text1"/>
        </w:rPr>
        <w:t xml:space="preserve">lso varies by region. Class sizes in Berkshire County are notably smaller than elsewhere in the state, with a median of 17.6 students per class as compared to 20 statewide in grade 1. </w:t>
      </w:r>
    </w:p>
    <w:p w:rsidR="00C756F5" w:rsidRPr="00A63860" w:rsidRDefault="00C756F5" w:rsidP="00284A53">
      <w:pPr>
        <w:rPr>
          <w:color w:val="000000" w:themeColor="text1"/>
        </w:rPr>
      </w:pPr>
      <w:r w:rsidRPr="00284A53">
        <w:rPr>
          <w:color w:val="000000" w:themeColor="text1"/>
        </w:rPr>
        <w:t>Some factors have less obvious correlations. Districts with high median household income do not necessarily have smaller classes, though higher spending districts do. And charter schools typically enroll about two more students per class than other schools in middle school grades</w:t>
      </w:r>
      <w:r w:rsidR="00FD4A9B">
        <w:rPr>
          <w:color w:val="000000" w:themeColor="text1"/>
        </w:rPr>
        <w:t>,</w:t>
      </w:r>
      <w:r w:rsidRPr="00284A53">
        <w:rPr>
          <w:color w:val="000000" w:themeColor="text1"/>
        </w:rPr>
        <w:t xml:space="preserve"> and about one and a half more students in</w:t>
      </w:r>
      <w:r w:rsidR="00A63860">
        <w:rPr>
          <w:color w:val="000000" w:themeColor="text1"/>
        </w:rPr>
        <w:t xml:space="preserve"> </w:t>
      </w:r>
      <w:r w:rsidRPr="00284A53">
        <w:rPr>
          <w:color w:val="000000" w:themeColor="text1"/>
        </w:rPr>
        <w:t>grade 1.</w:t>
      </w:r>
    </w:p>
    <w:p w:rsidR="00DE1F43" w:rsidRPr="00DE1F43" w:rsidRDefault="00DE1F43" w:rsidP="00DE1F43">
      <w:pPr>
        <w:rPr>
          <w:rFonts w:asciiTheme="majorHAnsi" w:eastAsiaTheme="majorEastAsia" w:hAnsiTheme="majorHAnsi" w:cstheme="majorBidi"/>
          <w:b/>
          <w:bCs/>
          <w:i/>
          <w:color w:val="004386" w:themeColor="accent1"/>
          <w:szCs w:val="22"/>
        </w:rPr>
      </w:pPr>
      <w:r w:rsidRPr="00DE1F43">
        <w:rPr>
          <w:rStyle w:val="Heading3Char"/>
          <w:szCs w:val="22"/>
        </w:rPr>
        <w:t>After controlling for other factors, districts with higher average per pupil expenditures and larger numbers of schools have lower core academic class sizes across all grades</w:t>
      </w:r>
      <w:r w:rsidR="00117828">
        <w:rPr>
          <w:rStyle w:val="Heading3Char"/>
          <w:szCs w:val="22"/>
        </w:rPr>
        <w:t>. D</w:t>
      </w:r>
      <w:r w:rsidRPr="00DE1F43">
        <w:rPr>
          <w:rStyle w:val="Heading3Char"/>
          <w:szCs w:val="22"/>
        </w:rPr>
        <w:t xml:space="preserve">istricts with larger total enrollment have larger class sizes in elementary grades. </w:t>
      </w:r>
    </w:p>
    <w:p w:rsidR="00DE1F43" w:rsidRPr="00DE1F43" w:rsidRDefault="00DE1F43" w:rsidP="00DE1F43">
      <w:pPr>
        <w:rPr>
          <w:color w:val="000000" w:themeColor="text1"/>
        </w:rPr>
      </w:pPr>
      <w:r w:rsidRPr="00DE1F43">
        <w:rPr>
          <w:color w:val="000000" w:themeColor="text1"/>
        </w:rPr>
        <w:t xml:space="preserve">We performed additional statistical analyses to see which of the characteristics above were still related to class size once we controlled for the districts’ student demographics and other factors (see online </w:t>
      </w:r>
      <w:hyperlink r:id="rId18" w:history="1">
        <w:r w:rsidRPr="00351436">
          <w:rPr>
            <w:rStyle w:val="Hyperlink"/>
          </w:rPr>
          <w:t>appendix</w:t>
        </w:r>
      </w:hyperlink>
      <w:r w:rsidRPr="00DE1F43">
        <w:rPr>
          <w:color w:val="000000" w:themeColor="text1"/>
        </w:rPr>
        <w:t xml:space="preserve"> for more details on constructing the data and for tables with the findings described below). We grouped the factors we control for into four categories: district, grade, student, and residential. District characteristics included total enrollment, the five-year change in district enrollment, and per pupil expenditures. Grade characteristics included the number of schools in the district serving that grade, the total grade enrollment, and the five-year change in grade enrollment. Student characteristics included th</w:t>
      </w:r>
      <w:r w:rsidR="00EB5EA0">
        <w:rPr>
          <w:color w:val="000000" w:themeColor="text1"/>
        </w:rPr>
        <w:t>e proportion of English learner</w:t>
      </w:r>
      <w:r w:rsidRPr="00DE1F43">
        <w:rPr>
          <w:color w:val="000000" w:themeColor="text1"/>
        </w:rPr>
        <w:t xml:space="preserve"> students in the district, the proportion of economically disadvantaged students, and the proportion of students with disabilities. Lastly, residential characteristics included median household income and parent education level (the proportion of residents aged 25 or older with at least a bachelor’s degree, obtained from Census data). For regional districts, residential characteristics were weighted averages across the towns in each district. After controlling for these factors, we found some expected and unexpected correlations.</w:t>
      </w:r>
    </w:p>
    <w:p w:rsidR="00DE1F43" w:rsidRPr="00DE1F43" w:rsidRDefault="00DE1F43" w:rsidP="00DE1F43">
      <w:pPr>
        <w:rPr>
          <w:color w:val="000000" w:themeColor="text1"/>
        </w:rPr>
      </w:pPr>
      <w:r w:rsidRPr="00DE1F43">
        <w:rPr>
          <w:i/>
          <w:color w:val="004386"/>
        </w:rPr>
        <w:lastRenderedPageBreak/>
        <w:t>Per pupil expenditures</w:t>
      </w:r>
      <w:r w:rsidRPr="00DE1F43">
        <w:rPr>
          <w:color w:val="000000" w:themeColor="text1"/>
        </w:rPr>
        <w:t xml:space="preserve"> is the factor most consistently associated with class size across districts. Districts with higher per pupil expenditures had lower class sizes, holding other factors constant, and this was statistically significant across all grades we examined. </w:t>
      </w:r>
      <w:r w:rsidRPr="00DE1F43">
        <w:rPr>
          <w:i/>
          <w:color w:val="004386"/>
        </w:rPr>
        <w:t xml:space="preserve">Total district enrollment </w:t>
      </w:r>
      <w:r w:rsidRPr="00DE1F43">
        <w:rPr>
          <w:color w:val="000000" w:themeColor="text1"/>
        </w:rPr>
        <w:t>was also correlated with class size for some grades, but the direction of the relationship was somewhat unclear. Districts with higher total enrollment had larger class sizes for grade 4 and smaller class sizes for grade 10 math, holding other factors constant. This was not significant for grade 1 or for grade 7 math, though. Districts with higher enrollment and more students per grade can more easily keep class sizes in a given range. However, other factors or mechanisms must explain smaller 10th grade mat</w:t>
      </w:r>
      <w:r w:rsidR="00AA6921">
        <w:rPr>
          <w:color w:val="000000" w:themeColor="text1"/>
        </w:rPr>
        <w:t>h classes. Differences in the five-</w:t>
      </w:r>
      <w:r w:rsidRPr="00DE1F43">
        <w:rPr>
          <w:color w:val="000000" w:themeColor="text1"/>
        </w:rPr>
        <w:t>year change in total district enrollment were not significantly correlated with class size in any of the grades examined.</w:t>
      </w:r>
    </w:p>
    <w:p w:rsidR="00DE1F43" w:rsidRPr="00DE1F43" w:rsidRDefault="00DE1F43" w:rsidP="00DE1F43">
      <w:pPr>
        <w:rPr>
          <w:color w:val="000000" w:themeColor="text1"/>
        </w:rPr>
      </w:pPr>
      <w:r w:rsidRPr="00DE1F43">
        <w:rPr>
          <w:color w:val="000000" w:themeColor="text1"/>
        </w:rPr>
        <w:t xml:space="preserve">The </w:t>
      </w:r>
      <w:r w:rsidRPr="00DE1F43">
        <w:rPr>
          <w:i/>
          <w:color w:val="004386"/>
        </w:rPr>
        <w:t>number of schools in the district</w:t>
      </w:r>
      <w:r w:rsidRPr="00DE1F43">
        <w:rPr>
          <w:color w:val="000000" w:themeColor="text1"/>
        </w:rPr>
        <w:t xml:space="preserve"> was, however, a significant factor in explaining class size with other factors held constant, particularly for elementary grades. Generally, districts with more schools had smaller class sizes, holding other factors constant. For a similar number of students, having more schools would counteract the efficiencies for districts with large enrollment. Differences in </w:t>
      </w:r>
      <w:r w:rsidRPr="00DE1F43">
        <w:rPr>
          <w:i/>
          <w:color w:val="004386"/>
        </w:rPr>
        <w:t>total grade enrollment</w:t>
      </w:r>
      <w:r w:rsidRPr="00DE1F43">
        <w:rPr>
          <w:color w:val="000000" w:themeColor="text1"/>
        </w:rPr>
        <w:t xml:space="preserve"> did not prove to be related to class size, except for grade 10 math, where larger grade enrollment was associated with larger class sizes, holding other factors constant. While changes in total grade enrollment are likely to be similar to changes in total district enrollment, they can have different impacts for two reasons. First, the size of the cohort (number of students) may differ across grades. Second, entry and exit from an individual grade may differ from the total entry and exit from the district. The </w:t>
      </w:r>
      <w:r w:rsidR="00117828">
        <w:rPr>
          <w:i/>
          <w:color w:val="004386"/>
        </w:rPr>
        <w:t>five-</w:t>
      </w:r>
      <w:r w:rsidRPr="00DE1F43">
        <w:rPr>
          <w:i/>
          <w:color w:val="004386"/>
        </w:rPr>
        <w:t>year change in total grade enrollment</w:t>
      </w:r>
      <w:r w:rsidRPr="00DE1F43">
        <w:rPr>
          <w:color w:val="000000" w:themeColor="text1"/>
        </w:rPr>
        <w:t xml:space="preserve"> was also associated with larger class size for grades 1 and grade 7 math, but the association was </w:t>
      </w:r>
      <w:r>
        <w:rPr>
          <w:color w:val="000000" w:themeColor="text1"/>
        </w:rPr>
        <w:t>small in magnitude.</w:t>
      </w:r>
    </w:p>
    <w:p w:rsidR="00DE1F43" w:rsidRPr="00DE1F43" w:rsidRDefault="00DE1F43" w:rsidP="00DE1F43">
      <w:pPr>
        <w:rPr>
          <w:color w:val="000000" w:themeColor="text1"/>
        </w:rPr>
      </w:pPr>
      <w:r w:rsidRPr="00DE1F43">
        <w:rPr>
          <w:color w:val="000000" w:themeColor="text1"/>
        </w:rPr>
        <w:t xml:space="preserve">Interestingly, </w:t>
      </w:r>
      <w:r w:rsidRPr="00DE1F43">
        <w:rPr>
          <w:i/>
          <w:color w:val="004386"/>
        </w:rPr>
        <w:t>student characteristics</w:t>
      </w:r>
      <w:r w:rsidRPr="00DE1F43">
        <w:rPr>
          <w:color w:val="000000" w:themeColor="text1"/>
        </w:rPr>
        <w:t xml:space="preserve"> were not associated with class size. Differences across districts in the proportion of Limited English Proficient students, economically disadvantaged students and students with </w:t>
      </w:r>
      <w:r w:rsidRPr="00DE1F43">
        <w:rPr>
          <w:color w:val="000000" w:themeColor="text1"/>
        </w:rPr>
        <w:lastRenderedPageBreak/>
        <w:t>disabilities were not statistically significant predictors of class size, holding all other factors constant, in any grades.</w:t>
      </w:r>
    </w:p>
    <w:p w:rsidR="00DE1F43" w:rsidRPr="00DE1F43" w:rsidRDefault="00DE1F43" w:rsidP="00DE1F43">
      <w:pPr>
        <w:rPr>
          <w:color w:val="000000" w:themeColor="text1"/>
        </w:rPr>
      </w:pPr>
      <w:r w:rsidRPr="00DE1F43">
        <w:rPr>
          <w:color w:val="000000" w:themeColor="text1"/>
        </w:rPr>
        <w:t xml:space="preserve">Lastly, differences in </w:t>
      </w:r>
      <w:r w:rsidRPr="00DE1F43">
        <w:rPr>
          <w:i/>
          <w:color w:val="004386"/>
        </w:rPr>
        <w:t>district residential characteristics</w:t>
      </w:r>
      <w:r w:rsidRPr="00DE1F43">
        <w:rPr>
          <w:color w:val="000000" w:themeColor="text1"/>
        </w:rPr>
        <w:t xml:space="preserve"> did not play a big role in class size either. Median household income was not a significant factor in determining class size in grades 1 or 10, holding other factors equal. It was significant for grade 4 and grade 7—districts with larger median household income surprisingly had larger class sizes in those grades—but the association is weaker than other factors </w:t>
      </w:r>
      <w:r w:rsidR="00AA6921">
        <w:rPr>
          <w:color w:val="000000" w:themeColor="text1"/>
        </w:rPr>
        <w:t>with statistically significant</w:t>
      </w:r>
      <w:r w:rsidRPr="00DE1F43">
        <w:rPr>
          <w:color w:val="000000" w:themeColor="text1"/>
        </w:rPr>
        <w:t xml:space="preserve"> associations with class size</w:t>
      </w:r>
      <w:r w:rsidR="00A63860">
        <w:rPr>
          <w:color w:val="000000" w:themeColor="text1"/>
        </w:rPr>
        <w:t>.</w:t>
      </w:r>
      <w:r w:rsidRPr="00DE1F43">
        <w:rPr>
          <w:color w:val="000000" w:themeColor="text1"/>
        </w:rPr>
        <w:t xml:space="preserve"> The proportion of parents with a bachelor’s degree or higher was not significan</w:t>
      </w:r>
      <w:r>
        <w:rPr>
          <w:color w:val="000000" w:themeColor="text1"/>
        </w:rPr>
        <w:t>t for class size in any grades.</w:t>
      </w:r>
    </w:p>
    <w:p w:rsidR="00DE1F43" w:rsidRPr="00DE1F43" w:rsidRDefault="00DE1F43" w:rsidP="00DE1F43">
      <w:pPr>
        <w:rPr>
          <w:color w:val="000000" w:themeColor="text1"/>
        </w:rPr>
      </w:pPr>
      <w:r w:rsidRPr="00DE1F43">
        <w:rPr>
          <w:color w:val="000000" w:themeColor="text1"/>
        </w:rPr>
        <w:t xml:space="preserve">Finally, we also explored how much each of our four groups of measures contributed to differences in class size across districts. </w:t>
      </w:r>
      <w:r w:rsidRPr="00DE1F43">
        <w:rPr>
          <w:i/>
          <w:color w:val="004386"/>
        </w:rPr>
        <w:t>District characteristics</w:t>
      </w:r>
      <w:r w:rsidRPr="00DE1F43">
        <w:rPr>
          <w:color w:val="000000" w:themeColor="text1"/>
        </w:rPr>
        <w:t xml:space="preserve"> contributed the most to the differences. The added contribution of these characteristics was in the range of 5.7 to 18.7 percent, depending on the grade, after holding the other three groups of measures constant. </w:t>
      </w:r>
      <w:r w:rsidRPr="00DE1F43">
        <w:rPr>
          <w:i/>
          <w:color w:val="004386"/>
        </w:rPr>
        <w:t xml:space="preserve">Grade characteristics </w:t>
      </w:r>
      <w:r w:rsidRPr="00DE1F43">
        <w:rPr>
          <w:color w:val="000000" w:themeColor="text1"/>
        </w:rPr>
        <w:t xml:space="preserve">were also an important factor, adding between 4.2 and 6.7 percent, while neither student characteristics nor district residential characteristics contributed substantially to explaining the observed differences in class size. This means that most of the variation in class size reflects differences across districts, such as per pupil expenditures and total district enrollment, </w:t>
      </w:r>
      <w:r w:rsidR="005211CB">
        <w:rPr>
          <w:color w:val="000000" w:themeColor="text1"/>
        </w:rPr>
        <w:t>and</w:t>
      </w:r>
      <w:r w:rsidRPr="00DE1F43">
        <w:rPr>
          <w:color w:val="000000" w:themeColor="text1"/>
        </w:rPr>
        <w:t xml:space="preserve"> differences in grade characteristics</w:t>
      </w:r>
      <w:r w:rsidR="005211CB">
        <w:rPr>
          <w:color w:val="000000" w:themeColor="text1"/>
        </w:rPr>
        <w:t>,</w:t>
      </w:r>
      <w:r w:rsidRPr="00DE1F43">
        <w:rPr>
          <w:color w:val="000000" w:themeColor="text1"/>
        </w:rPr>
        <w:t xml:space="preserve"> such as number of schools in the district serving that grade.</w:t>
      </w:r>
    </w:p>
    <w:p w:rsidR="00DE1F43" w:rsidRPr="00DE1F43" w:rsidRDefault="00DE1F43" w:rsidP="00FD3CBD">
      <w:pPr>
        <w:rPr>
          <w:rFonts w:asciiTheme="majorHAnsi" w:eastAsiaTheme="majorEastAsia" w:hAnsiTheme="majorHAnsi" w:cstheme="majorBidi"/>
          <w:b/>
          <w:bCs/>
          <w:i/>
          <w:color w:val="004386" w:themeColor="accent1"/>
          <w:szCs w:val="22"/>
        </w:rPr>
      </w:pPr>
      <w:r w:rsidRPr="00DE1F43">
        <w:rPr>
          <w:rStyle w:val="Heading3Char"/>
          <w:szCs w:val="22"/>
        </w:rPr>
        <w:t>Class size is likely not the best measure of districts’ investment in non-core courses.</w:t>
      </w:r>
    </w:p>
    <w:p w:rsidR="00DE1F43" w:rsidRPr="00DE1F43" w:rsidRDefault="00DE1F43" w:rsidP="00DE1F43">
      <w:pPr>
        <w:rPr>
          <w:color w:val="000000" w:themeColor="text1"/>
        </w:rPr>
      </w:pPr>
      <w:r w:rsidRPr="00DE1F43">
        <w:rPr>
          <w:color w:val="000000" w:themeColor="text1"/>
        </w:rPr>
        <w:t xml:space="preserve">The above analysis focuses on core academic classes since roughly 70 percent of FTEs are dedicated to core classes in Massachusetts. That said, non-core classes are also an important part of a district’s budget and </w:t>
      </w:r>
      <w:r w:rsidRPr="00DE1F43">
        <w:rPr>
          <w:color w:val="000000" w:themeColor="text1"/>
        </w:rPr>
        <w:lastRenderedPageBreak/>
        <w:t xml:space="preserve">educational programming, with roughly 30 percent of FTEs teaching in non-core courses spanning a wide range of subjects. Elementary and middle schools often offer art, music, and physical education; high schools often expand elective offerings to include more specialized topics such as accounting, carpentry, computer literacy, </w:t>
      </w:r>
      <w:r w:rsidR="00995A25">
        <w:rPr>
          <w:color w:val="000000" w:themeColor="text1"/>
        </w:rPr>
        <w:t>or</w:t>
      </w:r>
      <w:r w:rsidRPr="00DE1F43">
        <w:rPr>
          <w:color w:val="000000" w:themeColor="text1"/>
        </w:rPr>
        <w:t xml:space="preserve"> entrepreneurship. </w:t>
      </w:r>
    </w:p>
    <w:p w:rsidR="00C756F5" w:rsidRDefault="00DE1F43" w:rsidP="00DE1F43">
      <w:pPr>
        <w:rPr>
          <w:color w:val="000000" w:themeColor="text1"/>
        </w:rPr>
      </w:pPr>
      <w:r w:rsidRPr="00DE1F43">
        <w:rPr>
          <w:color w:val="000000" w:themeColor="text1"/>
        </w:rPr>
        <w:t>Class size is likely not the best measure of districts’ investment in non-core courses. For example, at the elementary level, non-core classes such as art may be the same size as core classes, but offered for only an hour or two a week. At the secondary level, electives have a wide range of class size, and large classes are sometimes an integral part of the course experience (e.g., band and orchestra). Instead, analysis should focus on a district’s relative investment in core versus non-core teaching staff, for example by comparing non-core FTEs as a percentage of teachers, or by comparing the ratio of students to non-core teachers. An in-depth analysis of these factors is beyond the scope of this report.</w:t>
      </w:r>
    </w:p>
    <w:p w:rsidR="00DE1F43" w:rsidRPr="00A3092C" w:rsidRDefault="00DE1F43" w:rsidP="00DE1F43">
      <w:pPr>
        <w:pStyle w:val="Heading2"/>
      </w:pPr>
      <w:r w:rsidRPr="00DE1F43">
        <w:t>What resources are required to have small classes?</w:t>
      </w:r>
    </w:p>
    <w:p w:rsidR="00DE1F43" w:rsidRPr="00DE1F43" w:rsidRDefault="00DE1F43" w:rsidP="00DE1F43">
      <w:r w:rsidRPr="00DE1F43">
        <w:t>Class sizes reflect choices about the use of three resources: sufficient funding for teacher salaries, a pool of qualified teachers to fill additional teaching positions</w:t>
      </w:r>
      <w:r>
        <w:t xml:space="preserve">, and classroom space. </w:t>
      </w:r>
    </w:p>
    <w:p w:rsidR="00FD3CBD" w:rsidRDefault="00DE1F43" w:rsidP="00DE1F43">
      <w:pPr>
        <w:sectPr w:rsidR="00FD3CBD" w:rsidSect="00C756F5">
          <w:endnotePr>
            <w:numFmt w:val="decimal"/>
          </w:endnotePr>
          <w:type w:val="continuous"/>
          <w:pgSz w:w="12240" w:h="15840"/>
          <w:pgMar w:top="720" w:right="720" w:bottom="720" w:left="720" w:header="720" w:footer="720" w:gutter="0"/>
          <w:cols w:num="2" w:space="720"/>
          <w:docGrid w:linePitch="360"/>
        </w:sectPr>
      </w:pPr>
      <w:r w:rsidRPr="00DE1F43">
        <w:t>In 2015–16, the average teacher salary in Massachusetts was approximately $76,000; if we estimate benefits such as health insurance and retirement at 33 percent of salary expenditures, the estimated total cost to a district of the average teacher is roughly $100,000. This number can vary substantially with teacher experience and benefit packages. Table 3 below illustrates the range of average teacher salary and total cost of a teac</w:t>
      </w:r>
      <w:r w:rsidR="00FD3CBD">
        <w:t xml:space="preserve">her for Massachusetts districts. </w:t>
      </w:r>
    </w:p>
    <w:p w:rsidR="00FD3CBD" w:rsidRPr="00B63472" w:rsidRDefault="00FD3CBD" w:rsidP="00FD3CBD">
      <w:pPr>
        <w:spacing w:after="0" w:line="240" w:lineRule="auto"/>
        <w:jc w:val="center"/>
        <w:rPr>
          <w:rFonts w:asciiTheme="minorHAnsi" w:hAnsiTheme="minorHAnsi" w:cs="Times New Roman"/>
          <w:b/>
          <w:color w:val="004386"/>
          <w:sz w:val="10"/>
          <w:szCs w:val="10"/>
        </w:rPr>
      </w:pPr>
    </w:p>
    <w:p w:rsidR="00FD3CBD" w:rsidRPr="00FD3CBD" w:rsidRDefault="00FD3CBD" w:rsidP="00BA0E4D">
      <w:pPr>
        <w:spacing w:line="240" w:lineRule="auto"/>
        <w:jc w:val="center"/>
        <w:rPr>
          <w:rFonts w:asciiTheme="minorHAnsi" w:hAnsiTheme="minorHAnsi" w:cs="Times New Roman"/>
          <w:color w:val="004386"/>
          <w:sz w:val="24"/>
        </w:rPr>
      </w:pPr>
      <w:r w:rsidRPr="00FD3CBD">
        <w:rPr>
          <w:rFonts w:asciiTheme="minorHAnsi" w:hAnsiTheme="minorHAnsi" w:cs="Times New Roman"/>
          <w:b/>
          <w:color w:val="004386"/>
          <w:sz w:val="24"/>
        </w:rPr>
        <w:t>Table 3</w:t>
      </w:r>
      <w:r w:rsidR="00BA0E4D">
        <w:rPr>
          <w:rFonts w:asciiTheme="minorHAnsi" w:hAnsiTheme="minorHAnsi" w:cs="Times New Roman"/>
          <w:color w:val="004386"/>
          <w:sz w:val="24"/>
        </w:rPr>
        <w:t>. The T</w:t>
      </w:r>
      <w:r w:rsidRPr="00FD3CBD">
        <w:rPr>
          <w:rFonts w:asciiTheme="minorHAnsi" w:hAnsiTheme="minorHAnsi" w:cs="Times New Roman"/>
          <w:color w:val="004386"/>
          <w:sz w:val="24"/>
        </w:rPr>
        <w:t xml:space="preserve">ypical </w:t>
      </w:r>
      <w:r w:rsidR="00BA0E4D">
        <w:rPr>
          <w:rFonts w:asciiTheme="minorHAnsi" w:hAnsiTheme="minorHAnsi" w:cs="Times New Roman"/>
          <w:color w:val="004386"/>
          <w:sz w:val="24"/>
        </w:rPr>
        <w:t>C</w:t>
      </w:r>
      <w:r w:rsidRPr="00FD3CBD">
        <w:rPr>
          <w:rFonts w:asciiTheme="minorHAnsi" w:hAnsiTheme="minorHAnsi" w:cs="Times New Roman"/>
          <w:color w:val="004386"/>
          <w:sz w:val="24"/>
        </w:rPr>
        <w:t xml:space="preserve">ost of </w:t>
      </w:r>
      <w:r w:rsidR="00BA0E4D">
        <w:rPr>
          <w:rFonts w:asciiTheme="minorHAnsi" w:hAnsiTheme="minorHAnsi" w:cs="Times New Roman"/>
          <w:color w:val="004386"/>
          <w:sz w:val="24"/>
        </w:rPr>
        <w:t>E</w:t>
      </w:r>
      <w:r w:rsidRPr="00FD3CBD">
        <w:rPr>
          <w:rFonts w:asciiTheme="minorHAnsi" w:hAnsiTheme="minorHAnsi" w:cs="Times New Roman"/>
          <w:color w:val="004386"/>
          <w:sz w:val="24"/>
        </w:rPr>
        <w:t xml:space="preserve">mploying a </w:t>
      </w:r>
      <w:r w:rsidR="00BA0E4D">
        <w:rPr>
          <w:rFonts w:asciiTheme="minorHAnsi" w:hAnsiTheme="minorHAnsi" w:cs="Times New Roman"/>
          <w:color w:val="004386"/>
          <w:sz w:val="24"/>
        </w:rPr>
        <w:t>Teacher in Massachusetts I</w:t>
      </w:r>
      <w:r w:rsidRPr="00FD3CBD">
        <w:rPr>
          <w:rFonts w:asciiTheme="minorHAnsi" w:hAnsiTheme="minorHAnsi" w:cs="Times New Roman"/>
          <w:color w:val="004386"/>
          <w:sz w:val="24"/>
        </w:rPr>
        <w:t xml:space="preserve">s </w:t>
      </w:r>
      <w:r w:rsidR="00BA0E4D">
        <w:rPr>
          <w:rFonts w:asciiTheme="minorHAnsi" w:hAnsiTheme="minorHAnsi" w:cs="Times New Roman"/>
          <w:color w:val="004386"/>
          <w:sz w:val="24"/>
        </w:rPr>
        <w:t>A</w:t>
      </w:r>
      <w:r w:rsidRPr="00FD3CBD">
        <w:rPr>
          <w:rFonts w:asciiTheme="minorHAnsi" w:hAnsiTheme="minorHAnsi" w:cs="Times New Roman"/>
          <w:color w:val="004386"/>
          <w:sz w:val="24"/>
        </w:rPr>
        <w:t>bout $100,000</w:t>
      </w:r>
    </w:p>
    <w:tbl>
      <w:tblPr>
        <w:tblW w:w="9576" w:type="dxa"/>
        <w:tblInd w:w="558" w:type="dxa"/>
        <w:tblLayout w:type="fixed"/>
        <w:tblLook w:val="04A0" w:firstRow="1" w:lastRow="0" w:firstColumn="1" w:lastColumn="0" w:noHBand="0" w:noVBand="1"/>
      </w:tblPr>
      <w:tblGrid>
        <w:gridCol w:w="2268"/>
        <w:gridCol w:w="1206"/>
        <w:gridCol w:w="1206"/>
        <w:gridCol w:w="1206"/>
        <w:gridCol w:w="1206"/>
        <w:gridCol w:w="1206"/>
        <w:gridCol w:w="1278"/>
      </w:tblGrid>
      <w:tr w:rsidR="00FD3CBD" w:rsidRPr="00FD3CBD" w:rsidTr="00FB0C54">
        <w:trPr>
          <w:trHeight w:val="315"/>
          <w:tblHeader/>
        </w:trPr>
        <w:tc>
          <w:tcPr>
            <w:tcW w:w="2268" w:type="dxa"/>
            <w:tcBorders>
              <w:top w:val="single" w:sz="4" w:space="0" w:color="E28521" w:themeColor="accent5"/>
              <w:left w:val="single" w:sz="4" w:space="0" w:color="E28521" w:themeColor="accent5"/>
              <w:right w:val="nil"/>
            </w:tcBorders>
            <w:shd w:val="clear" w:color="auto" w:fill="E28521" w:themeFill="accent5"/>
            <w:noWrap/>
            <w:vAlign w:val="bottom"/>
            <w:hideMark/>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r w:rsidRPr="00FD3CBD">
              <w:rPr>
                <w:rFonts w:asciiTheme="minorHAnsi" w:eastAsia="Times New Roman" w:hAnsiTheme="minorHAnsi" w:cs="Times New Roman"/>
                <w:b/>
                <w:color w:val="FFFFFF" w:themeColor="background1"/>
                <w:szCs w:val="22"/>
              </w:rPr>
              <w:t> </w:t>
            </w:r>
          </w:p>
        </w:tc>
        <w:tc>
          <w:tcPr>
            <w:tcW w:w="1206" w:type="dxa"/>
            <w:tcBorders>
              <w:top w:val="single" w:sz="4" w:space="0" w:color="E28521" w:themeColor="accent5"/>
              <w:left w:val="nil"/>
              <w:bottom w:val="single" w:sz="4" w:space="0" w:color="EDB579" w:themeColor="accent5" w:themeTint="99"/>
              <w:right w:val="nil"/>
            </w:tcBorders>
            <w:shd w:val="clear" w:color="auto" w:fill="E28521" w:themeFill="accent5"/>
            <w:noWrap/>
            <w:vAlign w:val="bottom"/>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p>
        </w:tc>
        <w:tc>
          <w:tcPr>
            <w:tcW w:w="1206" w:type="dxa"/>
            <w:tcBorders>
              <w:top w:val="single" w:sz="4" w:space="0" w:color="E28521" w:themeColor="accent5"/>
              <w:left w:val="nil"/>
              <w:bottom w:val="single" w:sz="4" w:space="0" w:color="EDB579" w:themeColor="accent5" w:themeTint="99"/>
              <w:right w:val="nil"/>
            </w:tcBorders>
            <w:shd w:val="clear" w:color="auto" w:fill="E28521" w:themeFill="accent5"/>
            <w:noWrap/>
            <w:vAlign w:val="bottom"/>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p>
        </w:tc>
        <w:tc>
          <w:tcPr>
            <w:tcW w:w="1206" w:type="dxa"/>
            <w:tcBorders>
              <w:top w:val="single" w:sz="4" w:space="0" w:color="E28521" w:themeColor="accent5"/>
              <w:left w:val="nil"/>
              <w:bottom w:val="single" w:sz="4" w:space="0" w:color="EDB579" w:themeColor="accent5" w:themeTint="99"/>
              <w:right w:val="nil"/>
            </w:tcBorders>
            <w:shd w:val="clear" w:color="auto" w:fill="E28521" w:themeFill="accent5"/>
            <w:noWrap/>
            <w:vAlign w:val="bottom"/>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r w:rsidRPr="00FD3CBD">
              <w:rPr>
                <w:rFonts w:asciiTheme="minorHAnsi" w:eastAsia="Times New Roman" w:hAnsiTheme="minorHAnsi" w:cs="Times New Roman"/>
                <w:b/>
                <w:color w:val="FFFFFF" w:themeColor="background1"/>
                <w:szCs w:val="22"/>
              </w:rPr>
              <w:t>Percentile</w:t>
            </w:r>
          </w:p>
        </w:tc>
        <w:tc>
          <w:tcPr>
            <w:tcW w:w="1206" w:type="dxa"/>
            <w:tcBorders>
              <w:top w:val="single" w:sz="4" w:space="0" w:color="E28521" w:themeColor="accent5"/>
              <w:left w:val="nil"/>
              <w:bottom w:val="single" w:sz="4" w:space="0" w:color="EDB579" w:themeColor="accent5" w:themeTint="99"/>
              <w:right w:val="nil"/>
            </w:tcBorders>
            <w:shd w:val="clear" w:color="auto" w:fill="E28521" w:themeFill="accent5"/>
            <w:noWrap/>
            <w:vAlign w:val="bottom"/>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p>
        </w:tc>
        <w:tc>
          <w:tcPr>
            <w:tcW w:w="1206" w:type="dxa"/>
            <w:tcBorders>
              <w:top w:val="single" w:sz="4" w:space="0" w:color="E28521" w:themeColor="accent5"/>
              <w:left w:val="nil"/>
              <w:bottom w:val="single" w:sz="4" w:space="0" w:color="EDB579" w:themeColor="accent5" w:themeTint="99"/>
              <w:right w:val="nil"/>
            </w:tcBorders>
            <w:shd w:val="clear" w:color="auto" w:fill="E28521" w:themeFill="accent5"/>
            <w:noWrap/>
            <w:vAlign w:val="bottom"/>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p>
        </w:tc>
        <w:tc>
          <w:tcPr>
            <w:tcW w:w="1278" w:type="dxa"/>
            <w:tcBorders>
              <w:top w:val="single" w:sz="4" w:space="0" w:color="E28521" w:themeColor="accent5"/>
              <w:left w:val="nil"/>
              <w:right w:val="single" w:sz="4" w:space="0" w:color="E28521" w:themeColor="accent5"/>
            </w:tcBorders>
            <w:shd w:val="clear" w:color="auto" w:fill="E28521" w:themeFill="accent5"/>
            <w:vAlign w:val="bottom"/>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p>
        </w:tc>
      </w:tr>
      <w:tr w:rsidR="00FD3CBD" w:rsidRPr="00FD3CBD" w:rsidTr="00FB0C54">
        <w:trPr>
          <w:trHeight w:val="315"/>
          <w:tblHeader/>
        </w:trPr>
        <w:tc>
          <w:tcPr>
            <w:tcW w:w="2268" w:type="dxa"/>
            <w:tcBorders>
              <w:left w:val="single" w:sz="4" w:space="0" w:color="E28521" w:themeColor="accent5"/>
              <w:bottom w:val="single" w:sz="4" w:space="0" w:color="E28521" w:themeColor="accent5"/>
              <w:right w:val="nil"/>
            </w:tcBorders>
            <w:shd w:val="clear" w:color="auto" w:fill="E28521" w:themeFill="accent5"/>
            <w:noWrap/>
            <w:vAlign w:val="bottom"/>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p>
        </w:tc>
        <w:tc>
          <w:tcPr>
            <w:tcW w:w="1206" w:type="dxa"/>
            <w:tcBorders>
              <w:top w:val="single" w:sz="4" w:space="0" w:color="EDB579" w:themeColor="accent5" w:themeTint="99"/>
              <w:left w:val="nil"/>
              <w:bottom w:val="single" w:sz="4" w:space="0" w:color="E28521" w:themeColor="accent5"/>
              <w:right w:val="nil"/>
            </w:tcBorders>
            <w:shd w:val="clear" w:color="auto" w:fill="E28521" w:themeFill="accent5"/>
            <w:noWrap/>
            <w:vAlign w:val="bottom"/>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r w:rsidRPr="00FD3CBD">
              <w:rPr>
                <w:rFonts w:asciiTheme="minorHAnsi" w:eastAsia="Times New Roman" w:hAnsiTheme="minorHAnsi" w:cs="Times New Roman"/>
                <w:b/>
                <w:color w:val="FFFFFF" w:themeColor="background1"/>
                <w:szCs w:val="22"/>
              </w:rPr>
              <w:t>10</w:t>
            </w:r>
            <w:r w:rsidRPr="00FD3CBD">
              <w:rPr>
                <w:rFonts w:asciiTheme="minorHAnsi" w:eastAsia="Times New Roman" w:hAnsiTheme="minorHAnsi" w:cs="Times New Roman"/>
                <w:b/>
                <w:color w:val="FFFFFF" w:themeColor="background1"/>
                <w:szCs w:val="22"/>
                <w:vertAlign w:val="superscript"/>
              </w:rPr>
              <w:t>th</w:t>
            </w:r>
          </w:p>
        </w:tc>
        <w:tc>
          <w:tcPr>
            <w:tcW w:w="1206" w:type="dxa"/>
            <w:tcBorders>
              <w:top w:val="single" w:sz="4" w:space="0" w:color="EDB579" w:themeColor="accent5" w:themeTint="99"/>
              <w:left w:val="nil"/>
              <w:bottom w:val="single" w:sz="4" w:space="0" w:color="E28521" w:themeColor="accent5"/>
              <w:right w:val="nil"/>
            </w:tcBorders>
            <w:shd w:val="clear" w:color="auto" w:fill="E28521" w:themeFill="accent5"/>
            <w:noWrap/>
            <w:vAlign w:val="bottom"/>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r w:rsidRPr="00FD3CBD">
              <w:rPr>
                <w:rFonts w:asciiTheme="minorHAnsi" w:eastAsia="Times New Roman" w:hAnsiTheme="minorHAnsi" w:cs="Times New Roman"/>
                <w:b/>
                <w:color w:val="FFFFFF" w:themeColor="background1"/>
                <w:szCs w:val="22"/>
              </w:rPr>
              <w:t>25</w:t>
            </w:r>
            <w:r w:rsidRPr="00FD3CBD">
              <w:rPr>
                <w:rFonts w:asciiTheme="minorHAnsi" w:eastAsia="Times New Roman" w:hAnsiTheme="minorHAnsi" w:cs="Times New Roman"/>
                <w:b/>
                <w:color w:val="FFFFFF" w:themeColor="background1"/>
                <w:szCs w:val="22"/>
                <w:vertAlign w:val="superscript"/>
              </w:rPr>
              <w:t>th</w:t>
            </w:r>
            <w:r w:rsidRPr="00FD3CBD">
              <w:rPr>
                <w:rFonts w:asciiTheme="minorHAnsi" w:eastAsia="Times New Roman" w:hAnsiTheme="minorHAnsi" w:cs="Times New Roman"/>
                <w:b/>
                <w:color w:val="FFFFFF" w:themeColor="background1"/>
                <w:szCs w:val="22"/>
              </w:rPr>
              <w:t xml:space="preserve"> </w:t>
            </w:r>
          </w:p>
        </w:tc>
        <w:tc>
          <w:tcPr>
            <w:tcW w:w="1206" w:type="dxa"/>
            <w:tcBorders>
              <w:top w:val="single" w:sz="4" w:space="0" w:color="EDB579" w:themeColor="accent5" w:themeTint="99"/>
              <w:left w:val="nil"/>
              <w:bottom w:val="single" w:sz="4" w:space="0" w:color="E28521" w:themeColor="accent5"/>
              <w:right w:val="nil"/>
            </w:tcBorders>
            <w:shd w:val="clear" w:color="auto" w:fill="E28521" w:themeFill="accent5"/>
            <w:noWrap/>
            <w:vAlign w:val="bottom"/>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r w:rsidRPr="00FD3CBD">
              <w:rPr>
                <w:rFonts w:asciiTheme="minorHAnsi" w:eastAsia="Times New Roman" w:hAnsiTheme="minorHAnsi" w:cs="Times New Roman"/>
                <w:b/>
                <w:color w:val="FFFFFF" w:themeColor="background1"/>
                <w:szCs w:val="22"/>
              </w:rPr>
              <w:t>50</w:t>
            </w:r>
            <w:r w:rsidRPr="00FD3CBD">
              <w:rPr>
                <w:rFonts w:asciiTheme="minorHAnsi" w:eastAsia="Times New Roman" w:hAnsiTheme="minorHAnsi" w:cs="Times New Roman"/>
                <w:b/>
                <w:color w:val="FFFFFF" w:themeColor="background1"/>
                <w:szCs w:val="22"/>
                <w:vertAlign w:val="superscript"/>
              </w:rPr>
              <w:t>th</w:t>
            </w:r>
            <w:r w:rsidRPr="00FD3CBD">
              <w:rPr>
                <w:rFonts w:asciiTheme="minorHAnsi" w:eastAsia="Times New Roman" w:hAnsiTheme="minorHAnsi" w:cs="Times New Roman"/>
                <w:b/>
                <w:color w:val="FFFFFF" w:themeColor="background1"/>
                <w:szCs w:val="22"/>
              </w:rPr>
              <w:t xml:space="preserve"> </w:t>
            </w:r>
          </w:p>
        </w:tc>
        <w:tc>
          <w:tcPr>
            <w:tcW w:w="1206" w:type="dxa"/>
            <w:tcBorders>
              <w:top w:val="single" w:sz="4" w:space="0" w:color="EDB579" w:themeColor="accent5" w:themeTint="99"/>
              <w:left w:val="nil"/>
              <w:bottom w:val="single" w:sz="4" w:space="0" w:color="E28521" w:themeColor="accent5"/>
              <w:right w:val="nil"/>
            </w:tcBorders>
            <w:shd w:val="clear" w:color="auto" w:fill="E28521" w:themeFill="accent5"/>
            <w:noWrap/>
            <w:vAlign w:val="bottom"/>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r w:rsidRPr="00FD3CBD">
              <w:rPr>
                <w:rFonts w:asciiTheme="minorHAnsi" w:eastAsia="Times New Roman" w:hAnsiTheme="minorHAnsi" w:cs="Times New Roman"/>
                <w:b/>
                <w:color w:val="FFFFFF" w:themeColor="background1"/>
                <w:szCs w:val="22"/>
              </w:rPr>
              <w:t>75</w:t>
            </w:r>
            <w:r w:rsidRPr="00FD3CBD">
              <w:rPr>
                <w:rFonts w:asciiTheme="minorHAnsi" w:eastAsia="Times New Roman" w:hAnsiTheme="minorHAnsi" w:cs="Times New Roman"/>
                <w:b/>
                <w:color w:val="FFFFFF" w:themeColor="background1"/>
                <w:szCs w:val="22"/>
                <w:vertAlign w:val="superscript"/>
              </w:rPr>
              <w:t>th</w:t>
            </w:r>
            <w:r w:rsidRPr="00FD3CBD">
              <w:rPr>
                <w:rFonts w:asciiTheme="minorHAnsi" w:eastAsia="Times New Roman" w:hAnsiTheme="minorHAnsi" w:cs="Times New Roman"/>
                <w:b/>
                <w:color w:val="FFFFFF" w:themeColor="background1"/>
                <w:szCs w:val="22"/>
              </w:rPr>
              <w:t xml:space="preserve"> </w:t>
            </w:r>
          </w:p>
        </w:tc>
        <w:tc>
          <w:tcPr>
            <w:tcW w:w="1206" w:type="dxa"/>
            <w:tcBorders>
              <w:top w:val="single" w:sz="4" w:space="0" w:color="EDB579" w:themeColor="accent5" w:themeTint="99"/>
              <w:left w:val="nil"/>
              <w:bottom w:val="single" w:sz="4" w:space="0" w:color="E28521" w:themeColor="accent5"/>
              <w:right w:val="nil"/>
            </w:tcBorders>
            <w:shd w:val="clear" w:color="auto" w:fill="E28521" w:themeFill="accent5"/>
            <w:noWrap/>
            <w:vAlign w:val="bottom"/>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r w:rsidRPr="00FD3CBD">
              <w:rPr>
                <w:rFonts w:asciiTheme="minorHAnsi" w:eastAsia="Times New Roman" w:hAnsiTheme="minorHAnsi" w:cs="Times New Roman"/>
                <w:b/>
                <w:color w:val="FFFFFF" w:themeColor="background1"/>
                <w:szCs w:val="22"/>
              </w:rPr>
              <w:t>90</w:t>
            </w:r>
            <w:r w:rsidRPr="00FD3CBD">
              <w:rPr>
                <w:rFonts w:asciiTheme="minorHAnsi" w:eastAsia="Times New Roman" w:hAnsiTheme="minorHAnsi" w:cs="Times New Roman"/>
                <w:b/>
                <w:color w:val="FFFFFF" w:themeColor="background1"/>
                <w:szCs w:val="22"/>
                <w:vertAlign w:val="superscript"/>
              </w:rPr>
              <w:t>th</w:t>
            </w:r>
          </w:p>
        </w:tc>
        <w:tc>
          <w:tcPr>
            <w:tcW w:w="1278" w:type="dxa"/>
            <w:tcBorders>
              <w:left w:val="nil"/>
              <w:bottom w:val="single" w:sz="4" w:space="0" w:color="E28521" w:themeColor="accent5"/>
              <w:right w:val="single" w:sz="4" w:space="0" w:color="E28521" w:themeColor="accent5"/>
            </w:tcBorders>
            <w:shd w:val="clear" w:color="auto" w:fill="E28521" w:themeFill="accent5"/>
            <w:vAlign w:val="bottom"/>
          </w:tcPr>
          <w:p w:rsidR="00FD3CBD" w:rsidRPr="00FD3CBD" w:rsidRDefault="00FD3CBD" w:rsidP="00FD3CBD">
            <w:pPr>
              <w:spacing w:after="0" w:line="240" w:lineRule="auto"/>
              <w:jc w:val="center"/>
              <w:rPr>
                <w:rFonts w:asciiTheme="minorHAnsi" w:eastAsia="Times New Roman" w:hAnsiTheme="minorHAnsi" w:cs="Times New Roman"/>
                <w:b/>
                <w:color w:val="FFFFFF" w:themeColor="background1"/>
                <w:szCs w:val="22"/>
              </w:rPr>
            </w:pPr>
            <w:r w:rsidRPr="00FD3CBD">
              <w:rPr>
                <w:rFonts w:asciiTheme="minorHAnsi" w:eastAsia="Times New Roman" w:hAnsiTheme="minorHAnsi" w:cs="Times New Roman"/>
                <w:b/>
                <w:color w:val="FFFFFF" w:themeColor="background1"/>
                <w:szCs w:val="22"/>
              </w:rPr>
              <w:t xml:space="preserve">Average </w:t>
            </w:r>
          </w:p>
        </w:tc>
      </w:tr>
      <w:tr w:rsidR="00FD3CBD" w:rsidRPr="00FD3CBD" w:rsidTr="00FB0C54">
        <w:trPr>
          <w:trHeight w:val="368"/>
          <w:tblHeader/>
        </w:trPr>
        <w:tc>
          <w:tcPr>
            <w:tcW w:w="2268" w:type="dxa"/>
            <w:tcBorders>
              <w:top w:val="single" w:sz="4" w:space="0" w:color="E28521" w:themeColor="accent5"/>
              <w:left w:val="single" w:sz="4" w:space="0" w:color="E28521" w:themeColor="accent5"/>
              <w:bottom w:val="single" w:sz="4" w:space="0" w:color="EDB579" w:themeColor="accent5" w:themeTint="99"/>
              <w:right w:val="nil"/>
            </w:tcBorders>
            <w:shd w:val="clear" w:color="auto" w:fill="auto"/>
            <w:noWrap/>
            <w:vAlign w:val="bottom"/>
            <w:hideMark/>
          </w:tcPr>
          <w:p w:rsidR="00FD3CBD" w:rsidRPr="00FD3CBD" w:rsidRDefault="00BA0E4D" w:rsidP="00FD3CBD">
            <w:pPr>
              <w:spacing w:after="0" w:line="240" w:lineRule="auto"/>
              <w:rPr>
                <w:rFonts w:asciiTheme="minorHAnsi" w:eastAsia="Times New Roman" w:hAnsiTheme="minorHAnsi" w:cs="Times New Roman"/>
                <w:b/>
                <w:color w:val="000000"/>
                <w:szCs w:val="22"/>
              </w:rPr>
            </w:pPr>
            <w:r>
              <w:rPr>
                <w:rFonts w:asciiTheme="minorHAnsi" w:eastAsia="Times New Roman" w:hAnsiTheme="minorHAnsi" w:cs="Times New Roman"/>
                <w:b/>
                <w:color w:val="000000"/>
                <w:szCs w:val="22"/>
              </w:rPr>
              <w:t>S</w:t>
            </w:r>
            <w:r w:rsidR="00FD3CBD" w:rsidRPr="00FD3CBD">
              <w:rPr>
                <w:rFonts w:asciiTheme="minorHAnsi" w:eastAsia="Times New Roman" w:hAnsiTheme="minorHAnsi" w:cs="Times New Roman"/>
                <w:b/>
                <w:color w:val="000000"/>
                <w:szCs w:val="22"/>
              </w:rPr>
              <w:t>alary</w:t>
            </w:r>
          </w:p>
        </w:tc>
        <w:tc>
          <w:tcPr>
            <w:tcW w:w="1206" w:type="dxa"/>
            <w:tcBorders>
              <w:top w:val="single" w:sz="4" w:space="0" w:color="E28521" w:themeColor="accent5"/>
              <w:left w:val="nil"/>
              <w:bottom w:val="single" w:sz="4" w:space="0" w:color="EDB579" w:themeColor="accent5" w:themeTint="99"/>
              <w:right w:val="nil"/>
            </w:tcBorders>
            <w:shd w:val="clear" w:color="auto" w:fill="auto"/>
            <w:noWrap/>
            <w:vAlign w:val="bottom"/>
            <w:hideMark/>
          </w:tcPr>
          <w:p w:rsidR="00FD3CBD" w:rsidRPr="00FD3CBD" w:rsidRDefault="00FD3CBD" w:rsidP="00FD3CBD">
            <w:pPr>
              <w:spacing w:after="0" w:line="240" w:lineRule="auto"/>
              <w:jc w:val="center"/>
              <w:rPr>
                <w:rFonts w:asciiTheme="minorHAnsi" w:eastAsia="Times New Roman" w:hAnsiTheme="minorHAnsi" w:cs="Times New Roman"/>
                <w:color w:val="000000"/>
                <w:szCs w:val="22"/>
              </w:rPr>
            </w:pPr>
            <w:r w:rsidRPr="00FD3CBD">
              <w:rPr>
                <w:rFonts w:asciiTheme="minorHAnsi" w:eastAsia="Times New Roman" w:hAnsiTheme="minorHAnsi" w:cs="Times New Roman"/>
                <w:color w:val="000000"/>
                <w:szCs w:val="22"/>
              </w:rPr>
              <w:t xml:space="preserve">$63,645 </w:t>
            </w:r>
          </w:p>
        </w:tc>
        <w:tc>
          <w:tcPr>
            <w:tcW w:w="1206" w:type="dxa"/>
            <w:tcBorders>
              <w:top w:val="single" w:sz="4" w:space="0" w:color="E28521" w:themeColor="accent5"/>
              <w:left w:val="nil"/>
              <w:bottom w:val="single" w:sz="4" w:space="0" w:color="EDB579" w:themeColor="accent5" w:themeTint="99"/>
              <w:right w:val="nil"/>
            </w:tcBorders>
            <w:shd w:val="clear" w:color="auto" w:fill="auto"/>
            <w:noWrap/>
            <w:vAlign w:val="bottom"/>
            <w:hideMark/>
          </w:tcPr>
          <w:p w:rsidR="00FD3CBD" w:rsidRPr="00FD3CBD" w:rsidRDefault="00FD3CBD" w:rsidP="00FD3CBD">
            <w:pPr>
              <w:spacing w:after="0" w:line="240" w:lineRule="auto"/>
              <w:jc w:val="center"/>
              <w:rPr>
                <w:rFonts w:asciiTheme="minorHAnsi" w:eastAsia="Times New Roman" w:hAnsiTheme="minorHAnsi" w:cs="Times New Roman"/>
                <w:color w:val="000000"/>
                <w:szCs w:val="22"/>
              </w:rPr>
            </w:pPr>
            <w:r w:rsidRPr="00FD3CBD">
              <w:rPr>
                <w:rFonts w:asciiTheme="minorHAnsi" w:eastAsia="Times New Roman" w:hAnsiTheme="minorHAnsi" w:cs="Times New Roman"/>
                <w:color w:val="000000"/>
                <w:szCs w:val="22"/>
              </w:rPr>
              <w:t xml:space="preserve">$68,851 </w:t>
            </w:r>
          </w:p>
        </w:tc>
        <w:tc>
          <w:tcPr>
            <w:tcW w:w="1206" w:type="dxa"/>
            <w:tcBorders>
              <w:top w:val="single" w:sz="4" w:space="0" w:color="E28521" w:themeColor="accent5"/>
              <w:left w:val="nil"/>
              <w:bottom w:val="single" w:sz="4" w:space="0" w:color="EDB579" w:themeColor="accent5" w:themeTint="99"/>
              <w:right w:val="nil"/>
            </w:tcBorders>
            <w:shd w:val="clear" w:color="auto" w:fill="auto"/>
            <w:noWrap/>
            <w:vAlign w:val="bottom"/>
            <w:hideMark/>
          </w:tcPr>
          <w:p w:rsidR="00FD3CBD" w:rsidRPr="00FD3CBD" w:rsidRDefault="00FD3CBD" w:rsidP="00FD3CBD">
            <w:pPr>
              <w:spacing w:after="0" w:line="240" w:lineRule="auto"/>
              <w:jc w:val="center"/>
              <w:rPr>
                <w:rFonts w:asciiTheme="minorHAnsi" w:eastAsia="Times New Roman" w:hAnsiTheme="minorHAnsi" w:cs="Times New Roman"/>
                <w:color w:val="000000"/>
                <w:szCs w:val="22"/>
              </w:rPr>
            </w:pPr>
            <w:r w:rsidRPr="00FD3CBD">
              <w:rPr>
                <w:rFonts w:asciiTheme="minorHAnsi" w:eastAsia="Times New Roman" w:hAnsiTheme="minorHAnsi" w:cs="Times New Roman"/>
                <w:color w:val="000000"/>
                <w:szCs w:val="22"/>
              </w:rPr>
              <w:t xml:space="preserve">$74,314 </w:t>
            </w:r>
          </w:p>
        </w:tc>
        <w:tc>
          <w:tcPr>
            <w:tcW w:w="1206" w:type="dxa"/>
            <w:tcBorders>
              <w:top w:val="single" w:sz="4" w:space="0" w:color="E28521" w:themeColor="accent5"/>
              <w:left w:val="nil"/>
              <w:bottom w:val="single" w:sz="4" w:space="0" w:color="EDB579" w:themeColor="accent5" w:themeTint="99"/>
              <w:right w:val="nil"/>
            </w:tcBorders>
            <w:shd w:val="clear" w:color="auto" w:fill="auto"/>
            <w:noWrap/>
            <w:vAlign w:val="bottom"/>
            <w:hideMark/>
          </w:tcPr>
          <w:p w:rsidR="00FD3CBD" w:rsidRPr="00FD3CBD" w:rsidRDefault="00FD3CBD" w:rsidP="00FD3CBD">
            <w:pPr>
              <w:spacing w:after="0" w:line="240" w:lineRule="auto"/>
              <w:jc w:val="center"/>
              <w:rPr>
                <w:rFonts w:asciiTheme="minorHAnsi" w:eastAsia="Times New Roman" w:hAnsiTheme="minorHAnsi" w:cs="Times New Roman"/>
                <w:color w:val="000000"/>
                <w:szCs w:val="22"/>
              </w:rPr>
            </w:pPr>
            <w:r w:rsidRPr="00FD3CBD">
              <w:rPr>
                <w:rFonts w:asciiTheme="minorHAnsi" w:eastAsia="Times New Roman" w:hAnsiTheme="minorHAnsi" w:cs="Times New Roman"/>
                <w:color w:val="000000"/>
                <w:szCs w:val="22"/>
              </w:rPr>
              <w:t xml:space="preserve">$79,565 </w:t>
            </w:r>
          </w:p>
        </w:tc>
        <w:tc>
          <w:tcPr>
            <w:tcW w:w="1206" w:type="dxa"/>
            <w:tcBorders>
              <w:top w:val="single" w:sz="4" w:space="0" w:color="E28521" w:themeColor="accent5"/>
              <w:left w:val="nil"/>
              <w:bottom w:val="single" w:sz="4" w:space="0" w:color="EDB579" w:themeColor="accent5" w:themeTint="99"/>
              <w:right w:val="nil"/>
            </w:tcBorders>
            <w:shd w:val="clear" w:color="auto" w:fill="auto"/>
            <w:noWrap/>
            <w:vAlign w:val="bottom"/>
            <w:hideMark/>
          </w:tcPr>
          <w:p w:rsidR="00FD3CBD" w:rsidRPr="00FD3CBD" w:rsidRDefault="00FD3CBD" w:rsidP="00FD3CBD">
            <w:pPr>
              <w:spacing w:after="0" w:line="240" w:lineRule="auto"/>
              <w:jc w:val="center"/>
              <w:rPr>
                <w:rFonts w:asciiTheme="minorHAnsi" w:eastAsia="Times New Roman" w:hAnsiTheme="minorHAnsi" w:cs="Times New Roman"/>
                <w:color w:val="000000"/>
                <w:szCs w:val="22"/>
              </w:rPr>
            </w:pPr>
            <w:r w:rsidRPr="00FD3CBD">
              <w:rPr>
                <w:rFonts w:asciiTheme="minorHAnsi" w:eastAsia="Times New Roman" w:hAnsiTheme="minorHAnsi" w:cs="Times New Roman"/>
                <w:color w:val="000000"/>
                <w:szCs w:val="22"/>
              </w:rPr>
              <w:t xml:space="preserve">$84,444 </w:t>
            </w:r>
          </w:p>
        </w:tc>
        <w:tc>
          <w:tcPr>
            <w:tcW w:w="1278" w:type="dxa"/>
            <w:tcBorders>
              <w:top w:val="single" w:sz="4" w:space="0" w:color="E28521" w:themeColor="accent5"/>
              <w:left w:val="nil"/>
              <w:bottom w:val="single" w:sz="4" w:space="0" w:color="EDB579" w:themeColor="accent5" w:themeTint="99"/>
              <w:right w:val="single" w:sz="4" w:space="0" w:color="E28521" w:themeColor="accent5"/>
            </w:tcBorders>
            <w:shd w:val="clear" w:color="auto" w:fill="auto"/>
            <w:noWrap/>
            <w:vAlign w:val="bottom"/>
            <w:hideMark/>
          </w:tcPr>
          <w:p w:rsidR="00FD3CBD" w:rsidRPr="00FD3CBD" w:rsidRDefault="00FD3CBD" w:rsidP="00FD3CBD">
            <w:pPr>
              <w:spacing w:after="0" w:line="240" w:lineRule="auto"/>
              <w:jc w:val="center"/>
              <w:rPr>
                <w:rFonts w:asciiTheme="minorHAnsi" w:eastAsia="Times New Roman" w:hAnsiTheme="minorHAnsi" w:cs="Times New Roman"/>
                <w:color w:val="000000"/>
                <w:szCs w:val="22"/>
              </w:rPr>
            </w:pPr>
            <w:r w:rsidRPr="00FD3CBD">
              <w:rPr>
                <w:rFonts w:asciiTheme="minorHAnsi" w:eastAsia="Times New Roman" w:hAnsiTheme="minorHAnsi" w:cs="Times New Roman"/>
                <w:color w:val="000000"/>
                <w:szCs w:val="22"/>
              </w:rPr>
              <w:t xml:space="preserve">$76,442 </w:t>
            </w:r>
          </w:p>
        </w:tc>
      </w:tr>
      <w:tr w:rsidR="00FD3CBD" w:rsidRPr="00FD3CBD" w:rsidTr="00FB0C54">
        <w:trPr>
          <w:trHeight w:val="333"/>
          <w:tblHeader/>
        </w:trPr>
        <w:tc>
          <w:tcPr>
            <w:tcW w:w="2268" w:type="dxa"/>
            <w:tcBorders>
              <w:top w:val="single" w:sz="4" w:space="0" w:color="EDB579" w:themeColor="accent5" w:themeTint="99"/>
              <w:left w:val="single" w:sz="4" w:space="0" w:color="E28521" w:themeColor="accent5"/>
              <w:bottom w:val="single" w:sz="4" w:space="0" w:color="E28521" w:themeColor="accent5"/>
              <w:right w:val="nil"/>
            </w:tcBorders>
            <w:shd w:val="clear" w:color="auto" w:fill="F9E6D2" w:themeFill="accent5" w:themeFillTint="33"/>
            <w:noWrap/>
            <w:vAlign w:val="bottom"/>
            <w:hideMark/>
          </w:tcPr>
          <w:p w:rsidR="00FD3CBD" w:rsidRPr="00FD3CBD" w:rsidRDefault="00FD3CBD" w:rsidP="00117828">
            <w:pPr>
              <w:spacing w:after="0" w:line="240" w:lineRule="auto"/>
              <w:rPr>
                <w:rFonts w:asciiTheme="minorHAnsi" w:eastAsia="Times New Roman" w:hAnsiTheme="minorHAnsi" w:cs="Times New Roman"/>
                <w:b/>
                <w:color w:val="000000"/>
                <w:szCs w:val="22"/>
              </w:rPr>
            </w:pPr>
            <w:r w:rsidRPr="00FD3CBD">
              <w:rPr>
                <w:rFonts w:asciiTheme="minorHAnsi" w:eastAsia="Times New Roman" w:hAnsiTheme="minorHAnsi" w:cs="Times New Roman"/>
                <w:b/>
                <w:color w:val="000000"/>
                <w:szCs w:val="22"/>
              </w:rPr>
              <w:t xml:space="preserve">Estimated </w:t>
            </w:r>
            <w:r w:rsidR="00117828">
              <w:rPr>
                <w:rFonts w:asciiTheme="minorHAnsi" w:eastAsia="Times New Roman" w:hAnsiTheme="minorHAnsi" w:cs="Times New Roman"/>
                <w:b/>
                <w:color w:val="000000"/>
                <w:szCs w:val="22"/>
              </w:rPr>
              <w:t>t</w:t>
            </w:r>
            <w:r w:rsidRPr="00FD3CBD">
              <w:rPr>
                <w:rFonts w:asciiTheme="minorHAnsi" w:eastAsia="Times New Roman" w:hAnsiTheme="minorHAnsi" w:cs="Times New Roman"/>
                <w:b/>
                <w:color w:val="000000"/>
                <w:szCs w:val="22"/>
              </w:rPr>
              <w:t xml:space="preserve">otal </w:t>
            </w:r>
            <w:r w:rsidR="00117828">
              <w:rPr>
                <w:rFonts w:asciiTheme="minorHAnsi" w:eastAsia="Times New Roman" w:hAnsiTheme="minorHAnsi" w:cs="Times New Roman"/>
                <w:b/>
                <w:color w:val="000000"/>
                <w:szCs w:val="22"/>
              </w:rPr>
              <w:t>c</w:t>
            </w:r>
            <w:r w:rsidRPr="00FD3CBD">
              <w:rPr>
                <w:rFonts w:asciiTheme="minorHAnsi" w:eastAsia="Times New Roman" w:hAnsiTheme="minorHAnsi" w:cs="Times New Roman"/>
                <w:b/>
                <w:color w:val="000000"/>
                <w:szCs w:val="22"/>
              </w:rPr>
              <w:t>ost</w:t>
            </w:r>
          </w:p>
        </w:tc>
        <w:tc>
          <w:tcPr>
            <w:tcW w:w="1206" w:type="dxa"/>
            <w:tcBorders>
              <w:top w:val="single" w:sz="4" w:space="0" w:color="EDB579" w:themeColor="accent5" w:themeTint="99"/>
              <w:left w:val="nil"/>
              <w:bottom w:val="single" w:sz="4" w:space="0" w:color="E28521" w:themeColor="accent5"/>
              <w:right w:val="nil"/>
            </w:tcBorders>
            <w:shd w:val="clear" w:color="auto" w:fill="F9E6D2" w:themeFill="accent5" w:themeFillTint="33"/>
            <w:noWrap/>
            <w:vAlign w:val="bottom"/>
            <w:hideMark/>
          </w:tcPr>
          <w:p w:rsidR="00FD3CBD" w:rsidRPr="00FD3CBD" w:rsidRDefault="00FD3CBD" w:rsidP="00FD3CBD">
            <w:pPr>
              <w:spacing w:after="0" w:line="240" w:lineRule="auto"/>
              <w:jc w:val="center"/>
              <w:rPr>
                <w:rFonts w:asciiTheme="minorHAnsi" w:eastAsia="Times New Roman" w:hAnsiTheme="minorHAnsi" w:cs="Times New Roman"/>
                <w:color w:val="000000"/>
                <w:szCs w:val="22"/>
              </w:rPr>
            </w:pPr>
            <w:r w:rsidRPr="00FD3CBD">
              <w:rPr>
                <w:rFonts w:asciiTheme="minorHAnsi" w:eastAsia="Times New Roman" w:hAnsiTheme="minorHAnsi" w:cs="Times New Roman"/>
                <w:color w:val="000000"/>
                <w:szCs w:val="22"/>
              </w:rPr>
              <w:t>$84,648</w:t>
            </w:r>
          </w:p>
        </w:tc>
        <w:tc>
          <w:tcPr>
            <w:tcW w:w="1206" w:type="dxa"/>
            <w:tcBorders>
              <w:top w:val="single" w:sz="4" w:space="0" w:color="EDB579" w:themeColor="accent5" w:themeTint="99"/>
              <w:left w:val="nil"/>
              <w:bottom w:val="single" w:sz="4" w:space="0" w:color="E28521" w:themeColor="accent5"/>
              <w:right w:val="nil"/>
            </w:tcBorders>
            <w:shd w:val="clear" w:color="auto" w:fill="F9E6D2" w:themeFill="accent5" w:themeFillTint="33"/>
            <w:noWrap/>
            <w:vAlign w:val="bottom"/>
            <w:hideMark/>
          </w:tcPr>
          <w:p w:rsidR="00FD3CBD" w:rsidRPr="00FD3CBD" w:rsidRDefault="00FD3CBD" w:rsidP="00FD3CBD">
            <w:pPr>
              <w:spacing w:after="0" w:line="240" w:lineRule="auto"/>
              <w:jc w:val="center"/>
              <w:rPr>
                <w:rFonts w:asciiTheme="minorHAnsi" w:eastAsia="Times New Roman" w:hAnsiTheme="minorHAnsi" w:cs="Times New Roman"/>
                <w:color w:val="000000"/>
                <w:szCs w:val="22"/>
              </w:rPr>
            </w:pPr>
            <w:r w:rsidRPr="00FD3CBD">
              <w:rPr>
                <w:rFonts w:asciiTheme="minorHAnsi" w:eastAsia="Times New Roman" w:hAnsiTheme="minorHAnsi" w:cs="Times New Roman"/>
                <w:color w:val="000000"/>
                <w:szCs w:val="22"/>
              </w:rPr>
              <w:t xml:space="preserve">$91,572 </w:t>
            </w:r>
          </w:p>
        </w:tc>
        <w:tc>
          <w:tcPr>
            <w:tcW w:w="1206" w:type="dxa"/>
            <w:tcBorders>
              <w:top w:val="single" w:sz="4" w:space="0" w:color="EDB579" w:themeColor="accent5" w:themeTint="99"/>
              <w:left w:val="nil"/>
              <w:bottom w:val="single" w:sz="4" w:space="0" w:color="E28521" w:themeColor="accent5"/>
              <w:right w:val="nil"/>
            </w:tcBorders>
            <w:shd w:val="clear" w:color="auto" w:fill="F9E6D2" w:themeFill="accent5" w:themeFillTint="33"/>
            <w:noWrap/>
            <w:vAlign w:val="bottom"/>
            <w:hideMark/>
          </w:tcPr>
          <w:p w:rsidR="00FD3CBD" w:rsidRPr="00FD3CBD" w:rsidRDefault="00FD3CBD" w:rsidP="00FD3CBD">
            <w:pPr>
              <w:spacing w:after="0" w:line="240" w:lineRule="auto"/>
              <w:jc w:val="center"/>
              <w:rPr>
                <w:rFonts w:asciiTheme="minorHAnsi" w:eastAsia="Times New Roman" w:hAnsiTheme="minorHAnsi" w:cs="Times New Roman"/>
                <w:color w:val="000000"/>
                <w:szCs w:val="22"/>
              </w:rPr>
            </w:pPr>
            <w:r w:rsidRPr="00FD3CBD">
              <w:rPr>
                <w:rFonts w:asciiTheme="minorHAnsi" w:eastAsia="Times New Roman" w:hAnsiTheme="minorHAnsi" w:cs="Times New Roman"/>
                <w:color w:val="000000"/>
                <w:szCs w:val="22"/>
              </w:rPr>
              <w:t>$98,838</w:t>
            </w:r>
          </w:p>
        </w:tc>
        <w:tc>
          <w:tcPr>
            <w:tcW w:w="1206" w:type="dxa"/>
            <w:tcBorders>
              <w:top w:val="single" w:sz="4" w:space="0" w:color="EDB579" w:themeColor="accent5" w:themeTint="99"/>
              <w:left w:val="nil"/>
              <w:bottom w:val="single" w:sz="4" w:space="0" w:color="E28521" w:themeColor="accent5"/>
              <w:right w:val="nil"/>
            </w:tcBorders>
            <w:shd w:val="clear" w:color="auto" w:fill="F9E6D2" w:themeFill="accent5" w:themeFillTint="33"/>
            <w:noWrap/>
            <w:vAlign w:val="bottom"/>
            <w:hideMark/>
          </w:tcPr>
          <w:p w:rsidR="00FD3CBD" w:rsidRPr="00FD3CBD" w:rsidRDefault="00FD3CBD" w:rsidP="00FD3CBD">
            <w:pPr>
              <w:spacing w:after="0" w:line="240" w:lineRule="auto"/>
              <w:jc w:val="center"/>
              <w:rPr>
                <w:rFonts w:asciiTheme="minorHAnsi" w:eastAsia="Times New Roman" w:hAnsiTheme="minorHAnsi" w:cs="Times New Roman"/>
                <w:color w:val="000000"/>
                <w:szCs w:val="22"/>
              </w:rPr>
            </w:pPr>
            <w:r w:rsidRPr="00FD3CBD">
              <w:rPr>
                <w:rFonts w:asciiTheme="minorHAnsi" w:eastAsia="Times New Roman" w:hAnsiTheme="minorHAnsi" w:cs="Times New Roman"/>
                <w:color w:val="000000"/>
                <w:szCs w:val="22"/>
              </w:rPr>
              <w:t xml:space="preserve">$105,822 </w:t>
            </w:r>
          </w:p>
        </w:tc>
        <w:tc>
          <w:tcPr>
            <w:tcW w:w="1206" w:type="dxa"/>
            <w:tcBorders>
              <w:top w:val="single" w:sz="4" w:space="0" w:color="EDB579" w:themeColor="accent5" w:themeTint="99"/>
              <w:left w:val="nil"/>
              <w:bottom w:val="single" w:sz="4" w:space="0" w:color="E28521" w:themeColor="accent5"/>
              <w:right w:val="nil"/>
            </w:tcBorders>
            <w:shd w:val="clear" w:color="auto" w:fill="F9E6D2" w:themeFill="accent5" w:themeFillTint="33"/>
            <w:noWrap/>
            <w:vAlign w:val="bottom"/>
            <w:hideMark/>
          </w:tcPr>
          <w:p w:rsidR="00FD3CBD" w:rsidRPr="00FD3CBD" w:rsidRDefault="00FD3CBD" w:rsidP="00FD3CBD">
            <w:pPr>
              <w:spacing w:after="0" w:line="240" w:lineRule="auto"/>
              <w:jc w:val="center"/>
              <w:rPr>
                <w:rFonts w:asciiTheme="minorHAnsi" w:eastAsia="Times New Roman" w:hAnsiTheme="minorHAnsi" w:cs="Times New Roman"/>
                <w:color w:val="000000"/>
                <w:szCs w:val="22"/>
              </w:rPr>
            </w:pPr>
            <w:r w:rsidRPr="00FD3CBD">
              <w:rPr>
                <w:rFonts w:asciiTheme="minorHAnsi" w:eastAsia="Times New Roman" w:hAnsiTheme="minorHAnsi" w:cs="Times New Roman"/>
                <w:color w:val="000000"/>
                <w:szCs w:val="22"/>
              </w:rPr>
              <w:t xml:space="preserve">$112,311 </w:t>
            </w:r>
          </w:p>
        </w:tc>
        <w:tc>
          <w:tcPr>
            <w:tcW w:w="1278" w:type="dxa"/>
            <w:tcBorders>
              <w:top w:val="single" w:sz="4" w:space="0" w:color="EDB579" w:themeColor="accent5" w:themeTint="99"/>
              <w:left w:val="nil"/>
              <w:bottom w:val="single" w:sz="4" w:space="0" w:color="E28521" w:themeColor="accent5"/>
              <w:right w:val="single" w:sz="4" w:space="0" w:color="E28521" w:themeColor="accent5"/>
            </w:tcBorders>
            <w:shd w:val="clear" w:color="auto" w:fill="F9E6D2" w:themeFill="accent5" w:themeFillTint="33"/>
            <w:noWrap/>
            <w:vAlign w:val="bottom"/>
            <w:hideMark/>
          </w:tcPr>
          <w:p w:rsidR="00FD3CBD" w:rsidRPr="00FD3CBD" w:rsidRDefault="00FD3CBD" w:rsidP="00FD3CBD">
            <w:pPr>
              <w:spacing w:after="0" w:line="240" w:lineRule="auto"/>
              <w:jc w:val="center"/>
              <w:rPr>
                <w:rFonts w:asciiTheme="minorHAnsi" w:eastAsia="Times New Roman" w:hAnsiTheme="minorHAnsi" w:cs="Times New Roman"/>
                <w:color w:val="000000"/>
                <w:szCs w:val="22"/>
              </w:rPr>
            </w:pPr>
            <w:r w:rsidRPr="00FD3CBD">
              <w:rPr>
                <w:rFonts w:asciiTheme="minorHAnsi" w:eastAsia="Times New Roman" w:hAnsiTheme="minorHAnsi" w:cs="Times New Roman"/>
                <w:color w:val="000000"/>
                <w:szCs w:val="22"/>
              </w:rPr>
              <w:t xml:space="preserve">$101,668 </w:t>
            </w:r>
          </w:p>
        </w:tc>
      </w:tr>
    </w:tbl>
    <w:p w:rsidR="00FD3CBD" w:rsidRDefault="00FD3CBD" w:rsidP="00FD3CBD">
      <w:pPr>
        <w:rPr>
          <w:rFonts w:ascii="Times New Roman" w:hAnsi="Times New Roman" w:cs="Times New Roman"/>
          <w:sz w:val="24"/>
        </w:rPr>
        <w:sectPr w:rsidR="00FD3CBD" w:rsidSect="00FD3CBD">
          <w:endnotePr>
            <w:numFmt w:val="decimal"/>
          </w:endnotePr>
          <w:type w:val="continuous"/>
          <w:pgSz w:w="12240" w:h="15840"/>
          <w:pgMar w:top="720" w:right="720" w:bottom="720" w:left="720" w:header="720" w:footer="720" w:gutter="0"/>
          <w:cols w:space="720"/>
          <w:docGrid w:linePitch="360"/>
        </w:sectPr>
      </w:pPr>
    </w:p>
    <w:p w:rsidR="00FD3CBD" w:rsidRPr="00FD3CBD" w:rsidRDefault="00FD3CBD" w:rsidP="00FD3CBD">
      <w:pPr>
        <w:rPr>
          <w:rFonts w:asciiTheme="majorHAnsi" w:eastAsiaTheme="majorEastAsia" w:hAnsiTheme="majorHAnsi" w:cstheme="majorBidi"/>
          <w:b/>
          <w:bCs/>
          <w:i/>
          <w:color w:val="004386" w:themeColor="accent1"/>
          <w:szCs w:val="22"/>
        </w:rPr>
      </w:pPr>
      <w:r w:rsidRPr="00FD3CBD">
        <w:rPr>
          <w:rStyle w:val="Heading3Char"/>
          <w:szCs w:val="22"/>
        </w:rPr>
        <w:lastRenderedPageBreak/>
        <w:t>Adding teachers is costly and can have a substantial impact on district budgets.</w:t>
      </w:r>
    </w:p>
    <w:p w:rsidR="00FD3CBD" w:rsidRPr="00FD3CBD" w:rsidRDefault="00FD3CBD" w:rsidP="00FD3CBD">
      <w:pPr>
        <w:rPr>
          <w:color w:val="000000" w:themeColor="text1"/>
        </w:rPr>
      </w:pPr>
      <w:r w:rsidRPr="00FD3CBD">
        <w:rPr>
          <w:color w:val="000000" w:themeColor="text1"/>
        </w:rPr>
        <w:t>Teacher salaries are the key determinant of the cost of reducing class size, as a school would likely need to add an additional class (and therefore hire an additional teacher.) As an example, consider a typical district with three elementary schools, each with three grade 1 classes of 21 students and the usual one teacher per class. If each school adds one more class—thereby reducing class size in grade 1 by roughly five students to 16 or so—the annual cost would be approximately $300,000 just for the additional teachers (3 FTEs), not considering any addi</w:t>
      </w:r>
      <w:r w:rsidR="00F062AE">
        <w:rPr>
          <w:color w:val="000000" w:themeColor="text1"/>
        </w:rPr>
        <w:t>tional cost for classroom space and so forth</w:t>
      </w:r>
      <w:r w:rsidRPr="00FD3CBD">
        <w:rPr>
          <w:color w:val="000000" w:themeColor="text1"/>
        </w:rPr>
        <w:t xml:space="preserve">. To put that cost in context, the median district for total spending on teacher salaries in the state employed 133 teachers and expended approximately $24 million on total in-district expenditures. Hiring three additional grade 1 teachers would increase total in-district expenditures by roughly 1.3 percent. This increase is substantial, close to the typical total annual revenue increase for districts. The statewide revenue increase from fiscal year 2015 to fiscal year 2016 was 1.7 percent. If adding three </w:t>
      </w:r>
      <w:proofErr w:type="gramStart"/>
      <w:r w:rsidRPr="00FD3CBD">
        <w:rPr>
          <w:color w:val="000000" w:themeColor="text1"/>
        </w:rPr>
        <w:t>teachers</w:t>
      </w:r>
      <w:proofErr w:type="gramEnd"/>
      <w:r w:rsidRPr="00FD3CBD">
        <w:rPr>
          <w:color w:val="000000" w:themeColor="text1"/>
        </w:rPr>
        <w:t xml:space="preserve"> costs 1.3 percent, virtually all of a typical district’s additional revenue would be used for class size reduction. This strategy would compete with, for instance, wage and health insurance increases, which generally add up to more than 1.7 percent on their own. </w:t>
      </w:r>
    </w:p>
    <w:p w:rsidR="00FD3CBD" w:rsidRPr="00A63860" w:rsidRDefault="00FD3CBD" w:rsidP="00FD3CBD">
      <w:pPr>
        <w:rPr>
          <w:rFonts w:asciiTheme="majorHAnsi" w:eastAsiaTheme="majorEastAsia" w:hAnsiTheme="majorHAnsi" w:cstheme="majorBidi"/>
          <w:b/>
          <w:bCs/>
          <w:i/>
          <w:color w:val="004386" w:themeColor="accent1"/>
          <w:szCs w:val="22"/>
        </w:rPr>
      </w:pPr>
      <w:r w:rsidRPr="00FD3CBD">
        <w:rPr>
          <w:color w:val="000000" w:themeColor="text1"/>
        </w:rPr>
        <w:t>Districts, of course, could choose to make a smaller investment in class size reduction. Take, for example, a district with nine grade 1 classes of 21 students. Adding one more grade 1 class would reduce class size by roughly two students, to 19 students per class, and the annual cost to the district would be about $100,000 for the additional teacher. The cost to this district would be less, but the resulting class size reduction is smaller and still leaves the average class size above the levels studied in prior research</w:t>
      </w:r>
      <w:r>
        <w:rPr>
          <w:color w:val="000000" w:themeColor="text1"/>
        </w:rPr>
        <w:t>.</w:t>
      </w:r>
      <w:r w:rsidR="00243B7D">
        <w:rPr>
          <w:color w:val="000000" w:themeColor="text1"/>
        </w:rPr>
        <w:br w:type="column"/>
      </w:r>
      <w:r w:rsidRPr="00FD3CBD">
        <w:rPr>
          <w:rStyle w:val="Heading3Char"/>
          <w:szCs w:val="22"/>
        </w:rPr>
        <w:lastRenderedPageBreak/>
        <w:t>Districts that reduce class sizes must also have sufficient qualified teachers and classroom space to meet higher demand.</w:t>
      </w:r>
    </w:p>
    <w:p w:rsidR="00FD3CBD" w:rsidRPr="00FD3CBD" w:rsidRDefault="00FD3CBD" w:rsidP="00FD3CBD">
      <w:pPr>
        <w:rPr>
          <w:color w:val="000000" w:themeColor="text1"/>
        </w:rPr>
      </w:pPr>
      <w:r w:rsidRPr="00FD3CBD">
        <w:rPr>
          <w:color w:val="000000" w:themeColor="text1"/>
        </w:rPr>
        <w:t xml:space="preserve">In addition, districts that choose to hire additional teachers to reduce class size need to be cautious that dipping deeper into the hiring pool does not result in hiring lower quality teachers. As noted above, prior research suggests that this can have a meaningful impact on the overall effectiveness of class size reduction, because teacher quality is such an important factor in improving student learning. For example, data from Massachusetts shows that compared to an average teacher, a teacher at the 40th percentile decreases student learning by the equivalent of about one month a year (Cowan, Theobald, and </w:t>
      </w:r>
      <w:proofErr w:type="spellStart"/>
      <w:r w:rsidRPr="00FD3CBD">
        <w:rPr>
          <w:color w:val="000000" w:themeColor="text1"/>
        </w:rPr>
        <w:t>Goldhaber</w:t>
      </w:r>
      <w:proofErr w:type="spellEnd"/>
      <w:r w:rsidRPr="00FD3CBD">
        <w:rPr>
          <w:color w:val="000000" w:themeColor="text1"/>
        </w:rPr>
        <w:t xml:space="preserve">, 2017).  </w:t>
      </w:r>
    </w:p>
    <w:p w:rsidR="00FD3CBD" w:rsidRDefault="00FD3CBD" w:rsidP="00FD3CBD">
      <w:pPr>
        <w:rPr>
          <w:rFonts w:ascii="Times New Roman" w:hAnsi="Times New Roman" w:cs="Times New Roman"/>
          <w:sz w:val="24"/>
        </w:rPr>
      </w:pPr>
      <w:r w:rsidRPr="00FD3CBD">
        <w:rPr>
          <w:color w:val="000000" w:themeColor="text1"/>
        </w:rPr>
        <w:t>A final consideration is that small classes require sufficient classroom space. Schools must have available classrooms and may need to restructure or reassign existing space to accommodate new classrooms. In some cases, schools and districts will need extra funding to build school building or classroom additions if there is not sufficient classroom space. As an example, space constraints hindered California’s class size reduction efforts; this was even more pronounced for urban districts with less physical space to accommodate additional classes and that tended to be overcrowded already (</w:t>
      </w:r>
      <w:proofErr w:type="spellStart"/>
      <w:r w:rsidRPr="00FD3CBD">
        <w:rPr>
          <w:color w:val="000000" w:themeColor="text1"/>
        </w:rPr>
        <w:t>Schrag</w:t>
      </w:r>
      <w:proofErr w:type="spellEnd"/>
      <w:r w:rsidRPr="00FD3CBD">
        <w:rPr>
          <w:color w:val="000000" w:themeColor="text1"/>
        </w:rPr>
        <w:t>, 2006). The requirement of additional classrooms that many schools do not have can lead schools to use gyms, cafeterias, special education classrooms, and other spaces as classrooms. Areas surrounding the schools, such as playgrounds, may get obstructed by portable classroom units</w:t>
      </w:r>
      <w:r>
        <w:rPr>
          <w:rFonts w:ascii="Times New Roman" w:hAnsi="Times New Roman" w:cs="Times New Roman"/>
          <w:sz w:val="24"/>
        </w:rPr>
        <w:t>.</w:t>
      </w:r>
    </w:p>
    <w:p w:rsidR="00243B7D" w:rsidRDefault="00243B7D">
      <w:pPr>
        <w:spacing w:after="0" w:line="240" w:lineRule="auto"/>
        <w:rPr>
          <w:rFonts w:ascii="Times New Roman" w:hAnsi="Times New Roman" w:cs="Times New Roman"/>
          <w:sz w:val="24"/>
        </w:rPr>
      </w:pPr>
      <w:r>
        <w:rPr>
          <w:rFonts w:ascii="Times New Roman" w:hAnsi="Times New Roman" w:cs="Times New Roman"/>
          <w:sz w:val="24"/>
        </w:rPr>
        <w:br w:type="page"/>
      </w:r>
    </w:p>
    <w:p w:rsidR="00243B7D" w:rsidRPr="00A3092C" w:rsidRDefault="00243B7D" w:rsidP="00243B7D">
      <w:pPr>
        <w:pStyle w:val="Heading2"/>
      </w:pPr>
      <w:r w:rsidRPr="00243B7D">
        <w:lastRenderedPageBreak/>
        <w:t>When should districts consider small classes? What additional resources on class size are available from the Department of Elementary and Secondary Education?</w:t>
      </w:r>
    </w:p>
    <w:p w:rsidR="00243B7D" w:rsidRPr="00243B7D" w:rsidRDefault="00243B7D" w:rsidP="00243B7D">
      <w:r w:rsidRPr="00243B7D">
        <w:t xml:space="preserve">In the current climate with limited revenue increases, districts face choices between keeping class size low and implementing other strategic initiatives such as developing stronger curriculum, improving teachers’ effectiveness, investing in technology, and supporting students’ non-academic needs. When resources are limited, district and school leaders must not simply consider whether an educational policy or strategy will have a positive effect, but whether it is the most effective use of resources. Current class sizes, grade level, student demographic characteristics, and available funding are all important considerations as districts make class size decisions. More generally, other options for reform, enrichment, or expansion may offer greater impact on student outcomes than small classes. Indeed, it might even be worth increasing class size slightly in some areas to free up resources for more cost-effective interventions. </w:t>
      </w:r>
    </w:p>
    <w:p w:rsidR="00243B7D" w:rsidRPr="00243B7D" w:rsidRDefault="00243B7D" w:rsidP="00243B7D">
      <w:r w:rsidRPr="00243B7D">
        <w:t xml:space="preserve">What might alternatives be? While a full inventory and assessment of educational interventions is not warranted here, promising interventions might include those focused on more effectively deploying teachers, for instance by redeploying teachers freed up by increased class sizes to serve as coaches, master teachers, or tiered intervention specialists. Alternatively, schools or districts might strategically increase class sizes for the most effective teachers to allow more struggling students opportunities for </w:t>
      </w:r>
      <w:r w:rsidR="0059549B">
        <w:t>access to those teachers</w:t>
      </w:r>
      <w:r w:rsidRPr="00243B7D">
        <w:t xml:space="preserve">. As positions become vacant through retirement or attrition, districts might also use resources that would have otherwise gone to refilling positions in other ways that support student learning: for example, implementing more effective curricula or increasing access to non-academic resources such as social-emotional supports, free meals, or summer jobs that have evidence of increasing student performance. </w:t>
      </w:r>
    </w:p>
    <w:p w:rsidR="00243B7D" w:rsidRPr="00243B7D" w:rsidRDefault="00243B7D" w:rsidP="00243B7D">
      <w:r w:rsidRPr="00243B7D">
        <w:lastRenderedPageBreak/>
        <w:t xml:space="preserve">Districts can begin </w:t>
      </w:r>
      <w:r w:rsidRPr="00243B7D">
        <w:rPr>
          <w:szCs w:val="22"/>
        </w:rPr>
        <w:t>the process of determining their expenditures on current class sizes and modeling other sizes by using information in the Department’s</w:t>
      </w:r>
      <w:r w:rsidRPr="00243B7D">
        <w:rPr>
          <w:rFonts w:cs="Times New Roman"/>
          <w:szCs w:val="22"/>
        </w:rPr>
        <w:t xml:space="preserve"> </w:t>
      </w:r>
      <w:hyperlink r:id="rId19" w:history="1">
        <w:r w:rsidRPr="00243B7D">
          <w:rPr>
            <w:rStyle w:val="Hyperlink"/>
            <w:rFonts w:cs="Times New Roman"/>
            <w:szCs w:val="22"/>
          </w:rPr>
          <w:t>RADAR Benchmarking</w:t>
        </w:r>
      </w:hyperlink>
      <w:r w:rsidRPr="00243B7D">
        <w:rPr>
          <w:rFonts w:cs="Times New Roman"/>
          <w:szCs w:val="22"/>
        </w:rPr>
        <w:t xml:space="preserve">, </w:t>
      </w:r>
      <w:hyperlink r:id="rId20" w:history="1">
        <w:r w:rsidRPr="00243B7D">
          <w:rPr>
            <w:rStyle w:val="Hyperlink"/>
            <w:rFonts w:cs="Times New Roman"/>
            <w:szCs w:val="22"/>
          </w:rPr>
          <w:t>DART</w:t>
        </w:r>
      </w:hyperlink>
      <w:r w:rsidR="00AA6921">
        <w:rPr>
          <w:rFonts w:cs="Times New Roman"/>
          <w:szCs w:val="22"/>
        </w:rPr>
        <w:t xml:space="preserve">, </w:t>
      </w:r>
      <w:r w:rsidRPr="00243B7D">
        <w:rPr>
          <w:rFonts w:cs="Times New Roman"/>
          <w:szCs w:val="22"/>
        </w:rPr>
        <w:t xml:space="preserve">and </w:t>
      </w:r>
      <w:hyperlink r:id="rId21" w:history="1">
        <w:r w:rsidRPr="00243B7D">
          <w:rPr>
            <w:rStyle w:val="Hyperlink"/>
            <w:rFonts w:cs="Times New Roman"/>
            <w:szCs w:val="22"/>
          </w:rPr>
          <w:t>Profiles</w:t>
        </w:r>
      </w:hyperlink>
      <w:r w:rsidRPr="00243B7D">
        <w:rPr>
          <w:rFonts w:cs="Times New Roman"/>
          <w:szCs w:val="22"/>
        </w:rPr>
        <w:t xml:space="preserve"> </w:t>
      </w:r>
      <w:r w:rsidRPr="00243B7D">
        <w:rPr>
          <w:szCs w:val="22"/>
        </w:rPr>
        <w:t>reports. The Department is currently developing additional RADAR reports about class size that will allow districts to compare class sizes with other districts by grade level and subject. Reports can provide insight on questions such as how a district’s overall teacher staffing level and its average class sizes compare to similar districts. ESE also has launched a</w:t>
      </w:r>
      <w:r w:rsidRPr="00243B7D">
        <w:rPr>
          <w:rFonts w:cs="Times New Roman"/>
          <w:szCs w:val="22"/>
        </w:rPr>
        <w:t xml:space="preserve"> </w:t>
      </w:r>
      <w:hyperlink r:id="rId22" w:history="1">
        <w:r w:rsidRPr="00243B7D">
          <w:rPr>
            <w:rStyle w:val="Hyperlink"/>
            <w:rFonts w:cs="Times New Roman"/>
            <w:szCs w:val="22"/>
          </w:rPr>
          <w:t>How Do We Know? Initiative</w:t>
        </w:r>
      </w:hyperlink>
      <w:r w:rsidRPr="00243B7D">
        <w:rPr>
          <w:rFonts w:cs="Times New Roman"/>
          <w:szCs w:val="22"/>
        </w:rPr>
        <w:t xml:space="preserve"> </w:t>
      </w:r>
      <w:r w:rsidRPr="00243B7D">
        <w:rPr>
          <w:szCs w:val="22"/>
        </w:rPr>
        <w:t>website that includes information on using, building, and sharing evidence to improve student outcomes. This may be a useful resource for districts looking for evidence-based</w:t>
      </w:r>
      <w:r w:rsidRPr="00243B7D">
        <w:t xml:space="preserve">, cost-effective improvement </w:t>
      </w:r>
      <w:r>
        <w:t xml:space="preserve">strategies. </w:t>
      </w:r>
    </w:p>
    <w:p w:rsidR="00243B7D" w:rsidRDefault="00243B7D" w:rsidP="00243B7D">
      <w:r w:rsidRPr="00243B7D">
        <w:t>Considering class size when making decisions about planning and budgeting is complex but important. District reforms, interventions, and policy decisions often translate into changes, albeit unintended, in class size. As an example, an expansion in elective offerings aimed at increasing student engagement can have a collateral effect of decreasing class size and increasing teacher costs. Alternatively, increasing the proportion of inclusion placements for students with disabilities might be done while lowering some class sizes, but some small, substantially separate classes would be eliminated. Thus, class size differences may reflect the interaction of a host of policies, programs and educational decisions that are not directly aimed at changing class size. The resulting distribution of class size—whether small or large—may reflect unintended consequences and be worthy of reconsideration by districts seeking to best use their resources to support student learning.</w:t>
      </w:r>
    </w:p>
    <w:p w:rsidR="00267C96" w:rsidRDefault="00267C96" w:rsidP="00267C96">
      <w:pPr>
        <w:spacing w:after="0" w:line="240" w:lineRule="auto"/>
      </w:pPr>
    </w:p>
    <w:p w:rsidR="00243B7D" w:rsidRPr="00267C96" w:rsidRDefault="007D7AB0" w:rsidP="00267C96">
      <w:pPr>
        <w:rPr>
          <w:rStyle w:val="Heading3Char"/>
        </w:rPr>
      </w:pPr>
      <w:r w:rsidRPr="00267C96">
        <w:rPr>
          <w:rStyle w:val="Heading3Char"/>
        </w:rPr>
        <w:t>Links to additional resources</w:t>
      </w:r>
      <w:r w:rsidR="00243B7D" w:rsidRPr="00267C96">
        <w:rPr>
          <w:rStyle w:val="Heading3Char"/>
        </w:rPr>
        <w:t xml:space="preserve"> </w:t>
      </w:r>
    </w:p>
    <w:p w:rsidR="00243B7D" w:rsidRDefault="00243B7D" w:rsidP="007D7AB0">
      <w:pPr>
        <w:spacing w:after="0" w:line="240" w:lineRule="auto"/>
        <w:ind w:left="180" w:hanging="180"/>
        <w:rPr>
          <w:szCs w:val="22"/>
        </w:rPr>
      </w:pPr>
      <w:r w:rsidRPr="00243B7D">
        <w:rPr>
          <w:rFonts w:cs="Times New Roman"/>
          <w:szCs w:val="22"/>
        </w:rPr>
        <w:t>RADAR Benchmarking</w:t>
      </w:r>
      <w:r>
        <w:rPr>
          <w:szCs w:val="22"/>
        </w:rPr>
        <w:t xml:space="preserve">: </w:t>
      </w:r>
      <w:hyperlink r:id="rId23" w:history="1">
        <w:r w:rsidRPr="00C77851">
          <w:rPr>
            <w:rStyle w:val="Hyperlink"/>
            <w:szCs w:val="22"/>
          </w:rPr>
          <w:t>http://www.doe.mass.edu/research/radar/</w:t>
        </w:r>
      </w:hyperlink>
      <w:r>
        <w:rPr>
          <w:szCs w:val="22"/>
        </w:rPr>
        <w:t xml:space="preserve"> </w:t>
      </w:r>
    </w:p>
    <w:p w:rsidR="00243B7D" w:rsidRDefault="00243B7D" w:rsidP="007D7AB0">
      <w:pPr>
        <w:spacing w:after="0" w:line="240" w:lineRule="auto"/>
        <w:ind w:left="180" w:hanging="180"/>
        <w:rPr>
          <w:szCs w:val="22"/>
        </w:rPr>
      </w:pPr>
      <w:r w:rsidRPr="00243B7D">
        <w:rPr>
          <w:rFonts w:cs="Times New Roman"/>
          <w:szCs w:val="22"/>
        </w:rPr>
        <w:t>DART</w:t>
      </w:r>
      <w:r>
        <w:rPr>
          <w:szCs w:val="22"/>
        </w:rPr>
        <w:t xml:space="preserve">: </w:t>
      </w:r>
      <w:hyperlink r:id="rId24" w:history="1">
        <w:r w:rsidRPr="00C77851">
          <w:rPr>
            <w:rStyle w:val="Hyperlink"/>
            <w:szCs w:val="22"/>
          </w:rPr>
          <w:t>http://www.doe.mass.edu/dart/</w:t>
        </w:r>
      </w:hyperlink>
      <w:r>
        <w:rPr>
          <w:szCs w:val="22"/>
        </w:rPr>
        <w:t xml:space="preserve">  </w:t>
      </w:r>
    </w:p>
    <w:p w:rsidR="00243B7D" w:rsidRDefault="00243B7D" w:rsidP="007D7AB0">
      <w:pPr>
        <w:spacing w:after="0" w:line="240" w:lineRule="auto"/>
        <w:ind w:left="180" w:hanging="180"/>
        <w:rPr>
          <w:szCs w:val="22"/>
        </w:rPr>
      </w:pPr>
      <w:r w:rsidRPr="00243B7D">
        <w:rPr>
          <w:rFonts w:cs="Times New Roman"/>
          <w:szCs w:val="22"/>
        </w:rPr>
        <w:t>Profiles</w:t>
      </w:r>
      <w:r>
        <w:rPr>
          <w:szCs w:val="22"/>
        </w:rPr>
        <w:t xml:space="preserve">: </w:t>
      </w:r>
      <w:hyperlink r:id="rId25" w:history="1">
        <w:r w:rsidRPr="00C77851">
          <w:rPr>
            <w:rStyle w:val="Hyperlink"/>
            <w:szCs w:val="22"/>
          </w:rPr>
          <w:t>http://profiles.doe.mass.edu/</w:t>
        </w:r>
      </w:hyperlink>
      <w:r>
        <w:rPr>
          <w:szCs w:val="22"/>
        </w:rPr>
        <w:t xml:space="preserve"> </w:t>
      </w:r>
    </w:p>
    <w:p w:rsidR="00243B7D" w:rsidRDefault="00243B7D" w:rsidP="007D7AB0">
      <w:pPr>
        <w:spacing w:after="0" w:line="240" w:lineRule="auto"/>
        <w:ind w:left="180" w:hanging="180"/>
        <w:rPr>
          <w:rFonts w:ascii="Times New Roman" w:hAnsi="Times New Roman" w:cs="Times New Roman"/>
          <w:sz w:val="24"/>
        </w:rPr>
      </w:pPr>
      <w:r w:rsidRPr="00243B7D">
        <w:rPr>
          <w:rFonts w:cs="Times New Roman"/>
          <w:szCs w:val="22"/>
        </w:rPr>
        <w:t>How Do We Know? Initiative</w:t>
      </w:r>
      <w:r>
        <w:rPr>
          <w:szCs w:val="22"/>
        </w:rPr>
        <w:t xml:space="preserve">: </w:t>
      </w:r>
      <w:hyperlink r:id="rId26" w:history="1">
        <w:r w:rsidRPr="00C77851">
          <w:rPr>
            <w:rStyle w:val="Hyperlink"/>
            <w:szCs w:val="22"/>
          </w:rPr>
          <w:t>http://www.doe.mass.edu/research/howdoweknow/</w:t>
        </w:r>
      </w:hyperlink>
      <w:r>
        <w:rPr>
          <w:szCs w:val="22"/>
        </w:rPr>
        <w:t xml:space="preserve"> </w:t>
      </w:r>
    </w:p>
    <w:p w:rsidR="00C756F5" w:rsidRDefault="00C756F5" w:rsidP="00284A53">
      <w:pPr>
        <w:rPr>
          <w:color w:val="000000" w:themeColor="text1"/>
        </w:rPr>
        <w:sectPr w:rsidR="00C756F5" w:rsidSect="00FD3CBD">
          <w:endnotePr>
            <w:numFmt w:val="decimal"/>
          </w:endnotePr>
          <w:pgSz w:w="12240" w:h="15840"/>
          <w:pgMar w:top="720" w:right="720" w:bottom="720" w:left="720" w:header="720" w:footer="720" w:gutter="0"/>
          <w:cols w:num="2" w:space="720"/>
          <w:docGrid w:linePitch="360"/>
        </w:sectPr>
      </w:pPr>
    </w:p>
    <w:p w:rsidR="00624C95" w:rsidRDefault="00624C95" w:rsidP="00F15F1A">
      <w:pPr>
        <w:spacing w:after="0" w:line="240" w:lineRule="auto"/>
        <w:rPr>
          <w:rFonts w:asciiTheme="majorHAnsi" w:eastAsiaTheme="majorEastAsia" w:hAnsiTheme="majorHAnsi" w:cstheme="majorBidi"/>
          <w:b/>
          <w:bCs/>
          <w:color w:val="004386" w:themeColor="accent1"/>
          <w:sz w:val="26"/>
          <w:szCs w:val="26"/>
        </w:rPr>
      </w:pPr>
      <w:r w:rsidRPr="00F15F1A">
        <w:rPr>
          <w:rFonts w:asciiTheme="minorHAnsi" w:hAnsiTheme="minorHAnsi"/>
          <w:szCs w:val="22"/>
        </w:rPr>
        <w:lastRenderedPageBreak/>
        <w:br w:type="page"/>
      </w:r>
    </w:p>
    <w:p w:rsidR="00CE79B1" w:rsidRPr="001E06BB" w:rsidRDefault="00CE79B1" w:rsidP="00FE7EC7">
      <w:pPr>
        <w:pStyle w:val="Heading2"/>
      </w:pPr>
      <w:r w:rsidRPr="001E06BB">
        <w:lastRenderedPageBreak/>
        <w:t>References</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 xml:space="preserve">Angrist, J., </w:t>
      </w:r>
      <w:proofErr w:type="spellStart"/>
      <w:r w:rsidRPr="00243B7D">
        <w:rPr>
          <w:rFonts w:asciiTheme="minorHAnsi" w:eastAsia="Times New Roman" w:hAnsiTheme="minorHAnsi" w:cs="Times New Roman"/>
          <w:sz w:val="20"/>
          <w:szCs w:val="20"/>
        </w:rPr>
        <w:t>Lavy</w:t>
      </w:r>
      <w:proofErr w:type="spellEnd"/>
      <w:r w:rsidRPr="00243B7D">
        <w:rPr>
          <w:rFonts w:asciiTheme="minorHAnsi" w:eastAsia="Times New Roman" w:hAnsiTheme="minorHAnsi" w:cs="Times New Roman"/>
          <w:sz w:val="20"/>
          <w:szCs w:val="20"/>
        </w:rPr>
        <w:t xml:space="preserve">, V., </w:t>
      </w:r>
      <w:proofErr w:type="spellStart"/>
      <w:r w:rsidRPr="00243B7D">
        <w:rPr>
          <w:rFonts w:asciiTheme="minorHAnsi" w:eastAsia="Times New Roman" w:hAnsiTheme="minorHAnsi" w:cs="Times New Roman"/>
          <w:sz w:val="20"/>
          <w:szCs w:val="20"/>
        </w:rPr>
        <w:t>Leder</w:t>
      </w:r>
      <w:proofErr w:type="spellEnd"/>
      <w:r w:rsidRPr="00243B7D">
        <w:rPr>
          <w:rFonts w:asciiTheme="minorHAnsi" w:eastAsia="Times New Roman" w:hAnsiTheme="minorHAnsi" w:cs="Times New Roman"/>
          <w:sz w:val="20"/>
          <w:szCs w:val="20"/>
        </w:rPr>
        <w:t xml:space="preserve">-Luis, J., &amp; </w:t>
      </w:r>
      <w:proofErr w:type="spellStart"/>
      <w:r w:rsidRPr="00243B7D">
        <w:rPr>
          <w:rFonts w:asciiTheme="minorHAnsi" w:eastAsia="Times New Roman" w:hAnsiTheme="minorHAnsi" w:cs="Times New Roman"/>
          <w:sz w:val="20"/>
          <w:szCs w:val="20"/>
        </w:rPr>
        <w:t>Shany</w:t>
      </w:r>
      <w:proofErr w:type="spellEnd"/>
      <w:r w:rsidRPr="00243B7D">
        <w:rPr>
          <w:rFonts w:asciiTheme="minorHAnsi" w:eastAsia="Times New Roman" w:hAnsiTheme="minorHAnsi" w:cs="Times New Roman"/>
          <w:sz w:val="20"/>
          <w:szCs w:val="20"/>
        </w:rPr>
        <w:t xml:space="preserve">, A. (2017). Maimonides Rule </w:t>
      </w:r>
      <w:proofErr w:type="spellStart"/>
      <w:r w:rsidRPr="00243B7D">
        <w:rPr>
          <w:rFonts w:asciiTheme="minorHAnsi" w:eastAsia="Times New Roman" w:hAnsiTheme="minorHAnsi" w:cs="Times New Roman"/>
          <w:sz w:val="20"/>
          <w:szCs w:val="20"/>
        </w:rPr>
        <w:t>Redux</w:t>
      </w:r>
      <w:proofErr w:type="spellEnd"/>
      <w:r w:rsidRPr="00243B7D">
        <w:rPr>
          <w:rFonts w:asciiTheme="minorHAnsi" w:eastAsia="Times New Roman" w:hAnsiTheme="minorHAnsi" w:cs="Times New Roman"/>
          <w:sz w:val="20"/>
          <w:szCs w:val="20"/>
        </w:rPr>
        <w:t xml:space="preserve"> (NBER Working Paper No. 23486). National Bureau of Economic Research.</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Blatchford, P. (2003). The class size debate: Is small better? McGraw-Hill Education (UK).</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 xml:space="preserve">Bosworth, R. (2014). Class size, class composition, and the distribution of student achievement. Education Economics, 22(2), 141–165. </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Chetty</w:t>
      </w:r>
      <w:proofErr w:type="spellEnd"/>
      <w:r w:rsidRPr="00243B7D">
        <w:rPr>
          <w:rFonts w:asciiTheme="minorHAnsi" w:eastAsia="Times New Roman" w:hAnsiTheme="minorHAnsi" w:cs="Times New Roman"/>
          <w:sz w:val="20"/>
          <w:szCs w:val="20"/>
        </w:rPr>
        <w:t xml:space="preserve">, R., Friedman, J. N., </w:t>
      </w:r>
      <w:proofErr w:type="spellStart"/>
      <w:r w:rsidRPr="00243B7D">
        <w:rPr>
          <w:rFonts w:asciiTheme="minorHAnsi" w:eastAsia="Times New Roman" w:hAnsiTheme="minorHAnsi" w:cs="Times New Roman"/>
          <w:sz w:val="20"/>
          <w:szCs w:val="20"/>
        </w:rPr>
        <w:t>Hilger</w:t>
      </w:r>
      <w:proofErr w:type="spellEnd"/>
      <w:r w:rsidRPr="00243B7D">
        <w:rPr>
          <w:rFonts w:asciiTheme="minorHAnsi" w:eastAsia="Times New Roman" w:hAnsiTheme="minorHAnsi" w:cs="Times New Roman"/>
          <w:sz w:val="20"/>
          <w:szCs w:val="20"/>
        </w:rPr>
        <w:t xml:space="preserve">, N., </w:t>
      </w:r>
      <w:proofErr w:type="spellStart"/>
      <w:r w:rsidRPr="00243B7D">
        <w:rPr>
          <w:rFonts w:asciiTheme="minorHAnsi" w:eastAsia="Times New Roman" w:hAnsiTheme="minorHAnsi" w:cs="Times New Roman"/>
          <w:sz w:val="20"/>
          <w:szCs w:val="20"/>
        </w:rPr>
        <w:t>Saez</w:t>
      </w:r>
      <w:proofErr w:type="spellEnd"/>
      <w:r w:rsidRPr="00243B7D">
        <w:rPr>
          <w:rFonts w:asciiTheme="minorHAnsi" w:eastAsia="Times New Roman" w:hAnsiTheme="minorHAnsi" w:cs="Times New Roman"/>
          <w:sz w:val="20"/>
          <w:szCs w:val="20"/>
        </w:rPr>
        <w:t xml:space="preserve">, E., </w:t>
      </w:r>
      <w:proofErr w:type="spellStart"/>
      <w:r w:rsidRPr="00243B7D">
        <w:rPr>
          <w:rFonts w:asciiTheme="minorHAnsi" w:eastAsia="Times New Roman" w:hAnsiTheme="minorHAnsi" w:cs="Times New Roman"/>
          <w:sz w:val="20"/>
          <w:szCs w:val="20"/>
        </w:rPr>
        <w:t>Schanzenbach</w:t>
      </w:r>
      <w:proofErr w:type="spellEnd"/>
      <w:r w:rsidRPr="00243B7D">
        <w:rPr>
          <w:rFonts w:asciiTheme="minorHAnsi" w:eastAsia="Times New Roman" w:hAnsiTheme="minorHAnsi" w:cs="Times New Roman"/>
          <w:sz w:val="20"/>
          <w:szCs w:val="20"/>
        </w:rPr>
        <w:t xml:space="preserve">, D. W., &amp; </w:t>
      </w:r>
      <w:proofErr w:type="spellStart"/>
      <w:r w:rsidRPr="00243B7D">
        <w:rPr>
          <w:rFonts w:asciiTheme="minorHAnsi" w:eastAsia="Times New Roman" w:hAnsiTheme="minorHAnsi" w:cs="Times New Roman"/>
          <w:sz w:val="20"/>
          <w:szCs w:val="20"/>
        </w:rPr>
        <w:t>Yagan</w:t>
      </w:r>
      <w:proofErr w:type="spellEnd"/>
      <w:r w:rsidRPr="00243B7D">
        <w:rPr>
          <w:rFonts w:asciiTheme="minorHAnsi" w:eastAsia="Times New Roman" w:hAnsiTheme="minorHAnsi" w:cs="Times New Roman"/>
          <w:sz w:val="20"/>
          <w:szCs w:val="20"/>
        </w:rPr>
        <w:t>, D. (2011). How Does You Kindergarten Classroom Affect Your Earnings: Evidence from Project STAR. The Quarterly Journal of Economics, 126(4), 1593–1660.</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Chingos</w:t>
      </w:r>
      <w:proofErr w:type="spellEnd"/>
      <w:r w:rsidRPr="00243B7D">
        <w:rPr>
          <w:rFonts w:asciiTheme="minorHAnsi" w:eastAsia="Times New Roman" w:hAnsiTheme="minorHAnsi" w:cs="Times New Roman"/>
          <w:sz w:val="20"/>
          <w:szCs w:val="20"/>
        </w:rPr>
        <w:t>, M. M. (2011). The False Promise of Class-Size Reduction. Center for American Progress.</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Chingos</w:t>
      </w:r>
      <w:proofErr w:type="spellEnd"/>
      <w:r w:rsidRPr="00243B7D">
        <w:rPr>
          <w:rFonts w:asciiTheme="minorHAnsi" w:eastAsia="Times New Roman" w:hAnsiTheme="minorHAnsi" w:cs="Times New Roman"/>
          <w:sz w:val="20"/>
          <w:szCs w:val="20"/>
        </w:rPr>
        <w:t xml:space="preserve">, M. M. (2012). The impact of a universal class-size reduction policy: Evidence from Florida’s statewide mandate. Economics of Education Review, 31(5), 543–562. </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 xml:space="preserve">Cho, H., </w:t>
      </w:r>
      <w:proofErr w:type="spellStart"/>
      <w:r w:rsidRPr="00243B7D">
        <w:rPr>
          <w:rFonts w:asciiTheme="minorHAnsi" w:eastAsia="Times New Roman" w:hAnsiTheme="minorHAnsi" w:cs="Times New Roman"/>
          <w:sz w:val="20"/>
          <w:szCs w:val="20"/>
        </w:rPr>
        <w:t>Glewwe</w:t>
      </w:r>
      <w:proofErr w:type="spellEnd"/>
      <w:r w:rsidRPr="00243B7D">
        <w:rPr>
          <w:rFonts w:asciiTheme="minorHAnsi" w:eastAsia="Times New Roman" w:hAnsiTheme="minorHAnsi" w:cs="Times New Roman"/>
          <w:sz w:val="20"/>
          <w:szCs w:val="20"/>
        </w:rPr>
        <w:t xml:space="preserve">, P., &amp; </w:t>
      </w:r>
      <w:proofErr w:type="spellStart"/>
      <w:r w:rsidRPr="00243B7D">
        <w:rPr>
          <w:rFonts w:asciiTheme="minorHAnsi" w:eastAsia="Times New Roman" w:hAnsiTheme="minorHAnsi" w:cs="Times New Roman"/>
          <w:sz w:val="20"/>
          <w:szCs w:val="20"/>
        </w:rPr>
        <w:t>Whitler</w:t>
      </w:r>
      <w:proofErr w:type="spellEnd"/>
      <w:r w:rsidRPr="00243B7D">
        <w:rPr>
          <w:rFonts w:asciiTheme="minorHAnsi" w:eastAsia="Times New Roman" w:hAnsiTheme="minorHAnsi" w:cs="Times New Roman"/>
          <w:sz w:val="20"/>
          <w:szCs w:val="20"/>
        </w:rPr>
        <w:t xml:space="preserve">, M. (2012). Do reductions in class size raise students’ test scores? Evidence from population variation in Minnesota’s elementary schools. Economics of Education Review, 31(3), 77–95. </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 xml:space="preserve">Cowan, J., </w:t>
      </w:r>
      <w:proofErr w:type="spellStart"/>
      <w:r w:rsidRPr="00243B7D">
        <w:rPr>
          <w:rFonts w:asciiTheme="minorHAnsi" w:eastAsia="Times New Roman" w:hAnsiTheme="minorHAnsi" w:cs="Times New Roman"/>
          <w:sz w:val="20"/>
          <w:szCs w:val="20"/>
        </w:rPr>
        <w:t>Goldhaber</w:t>
      </w:r>
      <w:proofErr w:type="spellEnd"/>
      <w:r w:rsidRPr="00243B7D">
        <w:rPr>
          <w:rFonts w:asciiTheme="minorHAnsi" w:eastAsia="Times New Roman" w:hAnsiTheme="minorHAnsi" w:cs="Times New Roman"/>
          <w:sz w:val="20"/>
          <w:szCs w:val="20"/>
        </w:rPr>
        <w:t xml:space="preserve">, D., and Theobald, R. (2017). Teacher Equity Gaps in Massachusetts. ESE Policy Brief, Massachusetts Department of Elementary and Secondary Education. </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Dee, T. S., &amp; West, M. R. (2011). The non-cognitive returns to class size. Educational Evaluation and Policy Analysis, 33(1), 23–46.</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Dieterle</w:t>
      </w:r>
      <w:proofErr w:type="spellEnd"/>
      <w:r w:rsidRPr="00243B7D">
        <w:rPr>
          <w:rFonts w:asciiTheme="minorHAnsi" w:eastAsia="Times New Roman" w:hAnsiTheme="minorHAnsi" w:cs="Times New Roman"/>
          <w:sz w:val="20"/>
          <w:szCs w:val="20"/>
        </w:rPr>
        <w:t xml:space="preserve">, S. G. (2015). Class-size reduction policies and the quality of entering teachers. </w:t>
      </w:r>
      <w:proofErr w:type="spellStart"/>
      <w:r w:rsidRPr="00243B7D">
        <w:rPr>
          <w:rFonts w:asciiTheme="minorHAnsi" w:eastAsia="Times New Roman" w:hAnsiTheme="minorHAnsi" w:cs="Times New Roman"/>
          <w:sz w:val="20"/>
          <w:szCs w:val="20"/>
        </w:rPr>
        <w:t>Labour</w:t>
      </w:r>
      <w:proofErr w:type="spellEnd"/>
      <w:r w:rsidRPr="00243B7D">
        <w:rPr>
          <w:rFonts w:asciiTheme="minorHAnsi" w:eastAsia="Times New Roman" w:hAnsiTheme="minorHAnsi" w:cs="Times New Roman"/>
          <w:sz w:val="20"/>
          <w:szCs w:val="20"/>
        </w:rPr>
        <w:t xml:space="preserve"> Economics, 36, 35–47. </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Funkhouser</w:t>
      </w:r>
      <w:proofErr w:type="spellEnd"/>
      <w:r w:rsidRPr="00243B7D">
        <w:rPr>
          <w:rFonts w:asciiTheme="minorHAnsi" w:eastAsia="Times New Roman" w:hAnsiTheme="minorHAnsi" w:cs="Times New Roman"/>
          <w:sz w:val="20"/>
          <w:szCs w:val="20"/>
        </w:rPr>
        <w:t>, E. (2009). The effect of kindergarten classroom size reduction on second grade student achievement: Evidence from California. Economics of Education Review, 28(3), 403–414.</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Gilraine</w:t>
      </w:r>
      <w:proofErr w:type="spellEnd"/>
      <w:r w:rsidRPr="00243B7D">
        <w:rPr>
          <w:rFonts w:asciiTheme="minorHAnsi" w:eastAsia="Times New Roman" w:hAnsiTheme="minorHAnsi" w:cs="Times New Roman"/>
          <w:sz w:val="20"/>
          <w:szCs w:val="20"/>
        </w:rPr>
        <w:t>, M. (2017). Multiple treatments from a single discontinuity: An application to class size. University of Toronto.</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Goldstein, H., &amp; Blatchford, P. (1998). Class size and educational achievement: a review of methodology with particular reference to study design. British Educational Research Journal, 24(3), 255-268.</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Grissmer</w:t>
      </w:r>
      <w:proofErr w:type="spellEnd"/>
      <w:r w:rsidRPr="00243B7D">
        <w:rPr>
          <w:rFonts w:asciiTheme="minorHAnsi" w:eastAsia="Times New Roman" w:hAnsiTheme="minorHAnsi" w:cs="Times New Roman"/>
          <w:sz w:val="20"/>
          <w:szCs w:val="20"/>
        </w:rPr>
        <w:t>, D. (1999). Conclusion: Class size effects: Assessing the evidence, its policy implications, and future research agenda. Educational Evaluation and Policy Analysis, 21(2), 231-248.</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Harris, D. (2009). Toward policy-relevant benchmarks for interpreting effect sizes: Combining effects with costs. Educational Evaluation and Policy Analysis, 31(1).</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 xml:space="preserve">Hedges, L. V., </w:t>
      </w:r>
      <w:proofErr w:type="spellStart"/>
      <w:r w:rsidRPr="00243B7D">
        <w:rPr>
          <w:rFonts w:asciiTheme="minorHAnsi" w:eastAsia="Times New Roman" w:hAnsiTheme="minorHAnsi" w:cs="Times New Roman"/>
          <w:sz w:val="20"/>
          <w:szCs w:val="20"/>
        </w:rPr>
        <w:t>Laine</w:t>
      </w:r>
      <w:proofErr w:type="spellEnd"/>
      <w:r w:rsidRPr="00243B7D">
        <w:rPr>
          <w:rFonts w:asciiTheme="minorHAnsi" w:eastAsia="Times New Roman" w:hAnsiTheme="minorHAnsi" w:cs="Times New Roman"/>
          <w:sz w:val="20"/>
          <w:szCs w:val="20"/>
        </w:rPr>
        <w:t>, R. D., &amp; Greenwald, R. (1994). An exchange: Part I: Does money matter? A meta-analysis of studies of the effects of differential school inputs on student outcomes. Educational Researcher, 23(3).</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Hoxby</w:t>
      </w:r>
      <w:proofErr w:type="spellEnd"/>
      <w:r w:rsidRPr="00243B7D">
        <w:rPr>
          <w:rFonts w:asciiTheme="minorHAnsi" w:eastAsia="Times New Roman" w:hAnsiTheme="minorHAnsi" w:cs="Times New Roman"/>
          <w:sz w:val="20"/>
          <w:szCs w:val="20"/>
        </w:rPr>
        <w:t>, C. M. (2000). The effects of class size on student achievement: New evidence from population variation. The Quarterly Journal of Economics, 115(4), 1239–1285.</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Jepsen</w:t>
      </w:r>
      <w:proofErr w:type="spellEnd"/>
      <w:r w:rsidRPr="00243B7D">
        <w:rPr>
          <w:rFonts w:asciiTheme="minorHAnsi" w:eastAsia="Times New Roman" w:hAnsiTheme="minorHAnsi" w:cs="Times New Roman"/>
          <w:sz w:val="20"/>
          <w:szCs w:val="20"/>
        </w:rPr>
        <w:t xml:space="preserve">, C., &amp; </w:t>
      </w:r>
      <w:proofErr w:type="spellStart"/>
      <w:r w:rsidRPr="00243B7D">
        <w:rPr>
          <w:rFonts w:asciiTheme="minorHAnsi" w:eastAsia="Times New Roman" w:hAnsiTheme="minorHAnsi" w:cs="Times New Roman"/>
          <w:sz w:val="20"/>
          <w:szCs w:val="20"/>
        </w:rPr>
        <w:t>Rivkin</w:t>
      </w:r>
      <w:proofErr w:type="spellEnd"/>
      <w:r w:rsidRPr="00243B7D">
        <w:rPr>
          <w:rFonts w:asciiTheme="minorHAnsi" w:eastAsia="Times New Roman" w:hAnsiTheme="minorHAnsi" w:cs="Times New Roman"/>
          <w:sz w:val="20"/>
          <w:szCs w:val="20"/>
        </w:rPr>
        <w:t>, S. (2009). Class size reduction and student achievement: The potential tradeoff between teacher quality and class size. The Journal of Human Resources, 44(1), 223–250.</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Konstantopoulos</w:t>
      </w:r>
      <w:proofErr w:type="spellEnd"/>
      <w:r w:rsidRPr="00243B7D">
        <w:rPr>
          <w:rFonts w:asciiTheme="minorHAnsi" w:eastAsia="Times New Roman" w:hAnsiTheme="minorHAnsi" w:cs="Times New Roman"/>
          <w:sz w:val="20"/>
          <w:szCs w:val="20"/>
        </w:rPr>
        <w:t>, S., &amp; Chung, V. (2009). What are the long‐term effects of small classes on the achievement gap? Evidence from the Lasting Benefits Study. American Journal of Education, 116(1), 125–154.</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Krueger, A. (1999). Experimental estimates of education production functions. The Quarterly Journal of Economics, 114(2), 497.</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Krueger, A. (2003). Economic considerations and class size. The Economic Journal, 113(485), 34–63.</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Krueger, A. B., &amp; Whitmore, D. M. (2001). The Effect of Attending a Small Class in the Early Grades on College-Test Taking and Middle School Test Results: Evidence from Project STAR. The Economic Journal, 111(468), 1–28.</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Milesi</w:t>
      </w:r>
      <w:proofErr w:type="spellEnd"/>
      <w:r w:rsidRPr="00243B7D">
        <w:rPr>
          <w:rFonts w:asciiTheme="minorHAnsi" w:eastAsia="Times New Roman" w:hAnsiTheme="minorHAnsi" w:cs="Times New Roman"/>
          <w:sz w:val="20"/>
          <w:szCs w:val="20"/>
        </w:rPr>
        <w:t xml:space="preserve">, C., &amp; </w:t>
      </w:r>
      <w:proofErr w:type="spellStart"/>
      <w:r w:rsidRPr="00243B7D">
        <w:rPr>
          <w:rFonts w:asciiTheme="minorHAnsi" w:eastAsia="Times New Roman" w:hAnsiTheme="minorHAnsi" w:cs="Times New Roman"/>
          <w:sz w:val="20"/>
          <w:szCs w:val="20"/>
        </w:rPr>
        <w:t>Gamoran</w:t>
      </w:r>
      <w:proofErr w:type="spellEnd"/>
      <w:r w:rsidRPr="00243B7D">
        <w:rPr>
          <w:rFonts w:asciiTheme="minorHAnsi" w:eastAsia="Times New Roman" w:hAnsiTheme="minorHAnsi" w:cs="Times New Roman"/>
          <w:sz w:val="20"/>
          <w:szCs w:val="20"/>
        </w:rPr>
        <w:t>, A. (2006). Effects of Class Size and Instruction on Kindergarten Achievement. Educational Evaluation and Policy Analysis, 28(4), 287–313.</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 xml:space="preserve">Molnar, A., Smith, P., </w:t>
      </w:r>
      <w:proofErr w:type="spellStart"/>
      <w:r w:rsidRPr="00243B7D">
        <w:rPr>
          <w:rFonts w:asciiTheme="minorHAnsi" w:eastAsia="Times New Roman" w:hAnsiTheme="minorHAnsi" w:cs="Times New Roman"/>
          <w:sz w:val="20"/>
          <w:szCs w:val="20"/>
        </w:rPr>
        <w:t>Zahorik</w:t>
      </w:r>
      <w:proofErr w:type="spellEnd"/>
      <w:r w:rsidRPr="00243B7D">
        <w:rPr>
          <w:rFonts w:asciiTheme="minorHAnsi" w:eastAsia="Times New Roman" w:hAnsiTheme="minorHAnsi" w:cs="Times New Roman"/>
          <w:sz w:val="20"/>
          <w:szCs w:val="20"/>
        </w:rPr>
        <w:t xml:space="preserve">, J., Palmer, A., </w:t>
      </w:r>
      <w:proofErr w:type="spellStart"/>
      <w:r w:rsidRPr="00243B7D">
        <w:rPr>
          <w:rFonts w:asciiTheme="minorHAnsi" w:eastAsia="Times New Roman" w:hAnsiTheme="minorHAnsi" w:cs="Times New Roman"/>
          <w:sz w:val="20"/>
          <w:szCs w:val="20"/>
        </w:rPr>
        <w:t>Halbach</w:t>
      </w:r>
      <w:proofErr w:type="spellEnd"/>
      <w:r w:rsidRPr="00243B7D">
        <w:rPr>
          <w:rFonts w:asciiTheme="minorHAnsi" w:eastAsia="Times New Roman" w:hAnsiTheme="minorHAnsi" w:cs="Times New Roman"/>
          <w:sz w:val="20"/>
          <w:szCs w:val="20"/>
        </w:rPr>
        <w:t xml:space="preserve">, A., &amp; </w:t>
      </w:r>
      <w:proofErr w:type="spellStart"/>
      <w:r w:rsidRPr="00243B7D">
        <w:rPr>
          <w:rFonts w:asciiTheme="minorHAnsi" w:eastAsia="Times New Roman" w:hAnsiTheme="minorHAnsi" w:cs="Times New Roman"/>
          <w:sz w:val="20"/>
          <w:szCs w:val="20"/>
        </w:rPr>
        <w:t>Ehrle</w:t>
      </w:r>
      <w:proofErr w:type="spellEnd"/>
      <w:r w:rsidRPr="00243B7D">
        <w:rPr>
          <w:rFonts w:asciiTheme="minorHAnsi" w:eastAsia="Times New Roman" w:hAnsiTheme="minorHAnsi" w:cs="Times New Roman"/>
          <w:sz w:val="20"/>
          <w:szCs w:val="20"/>
        </w:rPr>
        <w:t>, K. (1999). Evaluating the SAGE Program: A Pilot Program in Targeted Pupil-Teacher Reduction in Wisconsin. Educational Evaluation and Policy Analysis, 21(2), 165–177.</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Normore</w:t>
      </w:r>
      <w:proofErr w:type="spellEnd"/>
      <w:r w:rsidRPr="00243B7D">
        <w:rPr>
          <w:rFonts w:asciiTheme="minorHAnsi" w:eastAsia="Times New Roman" w:hAnsiTheme="minorHAnsi" w:cs="Times New Roman"/>
          <w:sz w:val="20"/>
          <w:szCs w:val="20"/>
        </w:rPr>
        <w:t xml:space="preserve">, A. H., &amp; </w:t>
      </w:r>
      <w:proofErr w:type="spellStart"/>
      <w:r w:rsidRPr="00243B7D">
        <w:rPr>
          <w:rFonts w:asciiTheme="minorHAnsi" w:eastAsia="Times New Roman" w:hAnsiTheme="minorHAnsi" w:cs="Times New Roman"/>
          <w:sz w:val="20"/>
          <w:szCs w:val="20"/>
        </w:rPr>
        <w:t>Ilon</w:t>
      </w:r>
      <w:proofErr w:type="spellEnd"/>
      <w:r w:rsidRPr="00243B7D">
        <w:rPr>
          <w:rFonts w:asciiTheme="minorHAnsi" w:eastAsia="Times New Roman" w:hAnsiTheme="minorHAnsi" w:cs="Times New Roman"/>
          <w:sz w:val="20"/>
          <w:szCs w:val="20"/>
        </w:rPr>
        <w:t xml:space="preserve">, L. (2016). Cost-Effective School Inputs. Educational Policy. </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lastRenderedPageBreak/>
        <w:t xml:space="preserve">Nye, B., Hedges, L. V., &amp; </w:t>
      </w:r>
      <w:proofErr w:type="spellStart"/>
      <w:r w:rsidRPr="00243B7D">
        <w:rPr>
          <w:rFonts w:asciiTheme="minorHAnsi" w:eastAsia="Times New Roman" w:hAnsiTheme="minorHAnsi" w:cs="Times New Roman"/>
          <w:sz w:val="20"/>
          <w:szCs w:val="20"/>
        </w:rPr>
        <w:t>Konstantopoulos</w:t>
      </w:r>
      <w:proofErr w:type="spellEnd"/>
      <w:r w:rsidRPr="00243B7D">
        <w:rPr>
          <w:rFonts w:asciiTheme="minorHAnsi" w:eastAsia="Times New Roman" w:hAnsiTheme="minorHAnsi" w:cs="Times New Roman"/>
          <w:sz w:val="20"/>
          <w:szCs w:val="20"/>
        </w:rPr>
        <w:t>, S. (1999). The Long-Term Effects of Small Classes: A Five-Year Follow-Up of the Tennessee Class Size Experiment. Educational Evaluation and Policy Analysis, 21(2), 127–142.</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 xml:space="preserve">Nye, B., Hedges, L. V., &amp; </w:t>
      </w:r>
      <w:proofErr w:type="spellStart"/>
      <w:r w:rsidRPr="00243B7D">
        <w:rPr>
          <w:rFonts w:asciiTheme="minorHAnsi" w:eastAsia="Times New Roman" w:hAnsiTheme="minorHAnsi" w:cs="Times New Roman"/>
          <w:sz w:val="20"/>
          <w:szCs w:val="20"/>
        </w:rPr>
        <w:t>Konstantopoulos</w:t>
      </w:r>
      <w:proofErr w:type="spellEnd"/>
      <w:r w:rsidRPr="00243B7D">
        <w:rPr>
          <w:rFonts w:asciiTheme="minorHAnsi" w:eastAsia="Times New Roman" w:hAnsiTheme="minorHAnsi" w:cs="Times New Roman"/>
          <w:sz w:val="20"/>
          <w:szCs w:val="20"/>
        </w:rPr>
        <w:t xml:space="preserve">, S. (2000). The Effects of Small Classes on Academic Achievement: The Results of the Tennessee Class Size Experiment. American Educational Research Journal, 37(1), 123–151. </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Rivkin</w:t>
      </w:r>
      <w:proofErr w:type="spellEnd"/>
      <w:r w:rsidRPr="00243B7D">
        <w:rPr>
          <w:rFonts w:asciiTheme="minorHAnsi" w:eastAsia="Times New Roman" w:hAnsiTheme="minorHAnsi" w:cs="Times New Roman"/>
          <w:sz w:val="20"/>
          <w:szCs w:val="20"/>
        </w:rPr>
        <w:t xml:space="preserve">, S., </w:t>
      </w:r>
      <w:proofErr w:type="spellStart"/>
      <w:r w:rsidRPr="00243B7D">
        <w:rPr>
          <w:rFonts w:asciiTheme="minorHAnsi" w:eastAsia="Times New Roman" w:hAnsiTheme="minorHAnsi" w:cs="Times New Roman"/>
          <w:sz w:val="20"/>
          <w:szCs w:val="20"/>
        </w:rPr>
        <w:t>Hanushek</w:t>
      </w:r>
      <w:proofErr w:type="spellEnd"/>
      <w:r w:rsidRPr="00243B7D">
        <w:rPr>
          <w:rFonts w:asciiTheme="minorHAnsi" w:eastAsia="Times New Roman" w:hAnsiTheme="minorHAnsi" w:cs="Times New Roman"/>
          <w:sz w:val="20"/>
          <w:szCs w:val="20"/>
        </w:rPr>
        <w:t xml:space="preserve">, E., &amp; </w:t>
      </w:r>
      <w:proofErr w:type="spellStart"/>
      <w:r w:rsidRPr="00243B7D">
        <w:rPr>
          <w:rFonts w:asciiTheme="minorHAnsi" w:eastAsia="Times New Roman" w:hAnsiTheme="minorHAnsi" w:cs="Times New Roman"/>
          <w:sz w:val="20"/>
          <w:szCs w:val="20"/>
        </w:rPr>
        <w:t>Kain</w:t>
      </w:r>
      <w:proofErr w:type="spellEnd"/>
      <w:r w:rsidRPr="00243B7D">
        <w:rPr>
          <w:rFonts w:asciiTheme="minorHAnsi" w:eastAsia="Times New Roman" w:hAnsiTheme="minorHAnsi" w:cs="Times New Roman"/>
          <w:sz w:val="20"/>
          <w:szCs w:val="20"/>
        </w:rPr>
        <w:t xml:space="preserve">, J. (2005). Teachers, Schools, and Academic Achievement. </w:t>
      </w:r>
      <w:proofErr w:type="spellStart"/>
      <w:r w:rsidRPr="00243B7D">
        <w:rPr>
          <w:rFonts w:asciiTheme="minorHAnsi" w:eastAsia="Times New Roman" w:hAnsiTheme="minorHAnsi" w:cs="Times New Roman"/>
          <w:sz w:val="20"/>
          <w:szCs w:val="20"/>
        </w:rPr>
        <w:t>Econometrica</w:t>
      </w:r>
      <w:proofErr w:type="spellEnd"/>
      <w:r w:rsidRPr="00243B7D">
        <w:rPr>
          <w:rFonts w:asciiTheme="minorHAnsi" w:eastAsia="Times New Roman" w:hAnsiTheme="minorHAnsi" w:cs="Times New Roman"/>
          <w:sz w:val="20"/>
          <w:szCs w:val="20"/>
        </w:rPr>
        <w:t>, 73(2), 417–458.</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Roza</w:t>
      </w:r>
      <w:proofErr w:type="spellEnd"/>
      <w:r w:rsidRPr="00243B7D">
        <w:rPr>
          <w:rFonts w:asciiTheme="minorHAnsi" w:eastAsia="Times New Roman" w:hAnsiTheme="minorHAnsi" w:cs="Times New Roman"/>
          <w:sz w:val="20"/>
          <w:szCs w:val="20"/>
        </w:rPr>
        <w:t xml:space="preserve">, M., &amp; </w:t>
      </w:r>
      <w:proofErr w:type="spellStart"/>
      <w:r w:rsidRPr="00243B7D">
        <w:rPr>
          <w:rFonts w:asciiTheme="minorHAnsi" w:eastAsia="Times New Roman" w:hAnsiTheme="minorHAnsi" w:cs="Times New Roman"/>
          <w:sz w:val="20"/>
          <w:szCs w:val="20"/>
        </w:rPr>
        <w:t>Ouijdani</w:t>
      </w:r>
      <w:proofErr w:type="spellEnd"/>
      <w:r w:rsidRPr="00243B7D">
        <w:rPr>
          <w:rFonts w:asciiTheme="minorHAnsi" w:eastAsia="Times New Roman" w:hAnsiTheme="minorHAnsi" w:cs="Times New Roman"/>
          <w:sz w:val="20"/>
          <w:szCs w:val="20"/>
        </w:rPr>
        <w:t>, M. (2012). The Opportunity Cost of Smaller Classes: A State-By-State Spending Analysis. Center on Reinventing Public Education, University of Washington.</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Schrag</w:t>
      </w:r>
      <w:proofErr w:type="spellEnd"/>
      <w:r w:rsidRPr="00243B7D">
        <w:rPr>
          <w:rFonts w:asciiTheme="minorHAnsi" w:eastAsia="Times New Roman" w:hAnsiTheme="minorHAnsi" w:cs="Times New Roman"/>
          <w:sz w:val="20"/>
          <w:szCs w:val="20"/>
        </w:rPr>
        <w:t>, P. (2006). Policy from the Hip: Class-Size Reduction in California. Brookings Papers on Education Policy, (9), 229–243.</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Sharp, M. A. (2002). An analysis of pupil-teacher ratio and class size. </w:t>
      </w:r>
      <w:proofErr w:type="spellStart"/>
      <w:r w:rsidRPr="00243B7D">
        <w:rPr>
          <w:rFonts w:asciiTheme="minorHAnsi" w:eastAsia="Times New Roman" w:hAnsiTheme="minorHAnsi" w:cs="Times New Roman"/>
          <w:sz w:val="20"/>
          <w:szCs w:val="20"/>
        </w:rPr>
        <w:t>EdD</w:t>
      </w:r>
      <w:proofErr w:type="spellEnd"/>
      <w:r w:rsidRPr="00243B7D">
        <w:rPr>
          <w:rFonts w:asciiTheme="minorHAnsi" w:eastAsia="Times New Roman" w:hAnsiTheme="minorHAnsi" w:cs="Times New Roman"/>
          <w:sz w:val="20"/>
          <w:szCs w:val="20"/>
        </w:rPr>
        <w:t xml:space="preserve"> Dissertation. Ypsilanti, MI. Eastern Michigan </w:t>
      </w:r>
      <w:proofErr w:type="spellStart"/>
      <w:r w:rsidRPr="00243B7D">
        <w:rPr>
          <w:rFonts w:asciiTheme="minorHAnsi" w:eastAsia="Times New Roman" w:hAnsiTheme="minorHAnsi" w:cs="Times New Roman"/>
          <w:sz w:val="20"/>
          <w:szCs w:val="20"/>
        </w:rPr>
        <w:t>Univeristy</w:t>
      </w:r>
      <w:proofErr w:type="spellEnd"/>
      <w:r w:rsidRPr="00243B7D">
        <w:rPr>
          <w:rFonts w:asciiTheme="minorHAnsi" w:eastAsia="Times New Roman" w:hAnsiTheme="minorHAnsi" w:cs="Times New Roman"/>
          <w:sz w:val="20"/>
          <w:szCs w:val="20"/>
        </w:rPr>
        <w:t>.</w:t>
      </w:r>
    </w:p>
    <w:p w:rsidR="00243B7D" w:rsidRPr="00243B7D" w:rsidRDefault="00243B7D" w:rsidP="00243B7D">
      <w:pPr>
        <w:spacing w:line="240" w:lineRule="auto"/>
        <w:rPr>
          <w:rFonts w:asciiTheme="minorHAnsi" w:eastAsia="Times New Roman" w:hAnsiTheme="minorHAnsi" w:cs="Times New Roman"/>
          <w:sz w:val="20"/>
          <w:szCs w:val="20"/>
        </w:rPr>
      </w:pPr>
      <w:proofErr w:type="spellStart"/>
      <w:r w:rsidRPr="00243B7D">
        <w:rPr>
          <w:rFonts w:asciiTheme="minorHAnsi" w:eastAsia="Times New Roman" w:hAnsiTheme="minorHAnsi" w:cs="Times New Roman"/>
          <w:sz w:val="20"/>
          <w:szCs w:val="20"/>
        </w:rPr>
        <w:t>Staiger</w:t>
      </w:r>
      <w:proofErr w:type="spellEnd"/>
      <w:r w:rsidRPr="00243B7D">
        <w:rPr>
          <w:rFonts w:asciiTheme="minorHAnsi" w:eastAsia="Times New Roman" w:hAnsiTheme="minorHAnsi" w:cs="Times New Roman"/>
          <w:sz w:val="20"/>
          <w:szCs w:val="20"/>
        </w:rPr>
        <w:t xml:space="preserve">, D. O., &amp; </w:t>
      </w:r>
      <w:proofErr w:type="spellStart"/>
      <w:r w:rsidRPr="00243B7D">
        <w:rPr>
          <w:rFonts w:asciiTheme="minorHAnsi" w:eastAsia="Times New Roman" w:hAnsiTheme="minorHAnsi" w:cs="Times New Roman"/>
          <w:sz w:val="20"/>
          <w:szCs w:val="20"/>
        </w:rPr>
        <w:t>Rockoff</w:t>
      </w:r>
      <w:proofErr w:type="spellEnd"/>
      <w:r w:rsidRPr="00243B7D">
        <w:rPr>
          <w:rFonts w:asciiTheme="minorHAnsi" w:eastAsia="Times New Roman" w:hAnsiTheme="minorHAnsi" w:cs="Times New Roman"/>
          <w:sz w:val="20"/>
          <w:szCs w:val="20"/>
        </w:rPr>
        <w:t>, J. E. (2010). Searching for effective teachers with imperfect information. The Journal of Economic Perspectives, 24(3), 97-117.</w:t>
      </w:r>
    </w:p>
    <w:p w:rsidR="00243B7D"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 xml:space="preserve">Whitehurst, G., &amp; </w:t>
      </w:r>
      <w:proofErr w:type="spellStart"/>
      <w:r w:rsidRPr="00243B7D">
        <w:rPr>
          <w:rFonts w:asciiTheme="minorHAnsi" w:eastAsia="Times New Roman" w:hAnsiTheme="minorHAnsi" w:cs="Times New Roman"/>
          <w:sz w:val="20"/>
          <w:szCs w:val="20"/>
        </w:rPr>
        <w:t>Chingos</w:t>
      </w:r>
      <w:proofErr w:type="spellEnd"/>
      <w:r w:rsidRPr="00243B7D">
        <w:rPr>
          <w:rFonts w:asciiTheme="minorHAnsi" w:eastAsia="Times New Roman" w:hAnsiTheme="minorHAnsi" w:cs="Times New Roman"/>
          <w:sz w:val="20"/>
          <w:szCs w:val="20"/>
        </w:rPr>
        <w:t xml:space="preserve">, M. M. (2011). Class Size: What Research Says and What </w:t>
      </w:r>
      <w:proofErr w:type="gramStart"/>
      <w:r w:rsidRPr="00243B7D">
        <w:rPr>
          <w:rFonts w:asciiTheme="minorHAnsi" w:eastAsia="Times New Roman" w:hAnsiTheme="minorHAnsi" w:cs="Times New Roman"/>
          <w:sz w:val="20"/>
          <w:szCs w:val="20"/>
        </w:rPr>
        <w:t>it</w:t>
      </w:r>
      <w:proofErr w:type="gramEnd"/>
      <w:r w:rsidRPr="00243B7D">
        <w:rPr>
          <w:rFonts w:asciiTheme="minorHAnsi" w:eastAsia="Times New Roman" w:hAnsiTheme="minorHAnsi" w:cs="Times New Roman"/>
          <w:sz w:val="20"/>
          <w:szCs w:val="20"/>
        </w:rPr>
        <w:t xml:space="preserve"> Means for State Policy (pp. 1–14). Brown Center on Education Policy at Brookings.</w:t>
      </w:r>
    </w:p>
    <w:p w:rsidR="00A16C24" w:rsidRPr="00243B7D" w:rsidRDefault="00243B7D" w:rsidP="00243B7D">
      <w:pPr>
        <w:spacing w:line="240" w:lineRule="auto"/>
        <w:rPr>
          <w:rFonts w:asciiTheme="minorHAnsi" w:eastAsia="Times New Roman" w:hAnsiTheme="minorHAnsi" w:cs="Times New Roman"/>
          <w:sz w:val="20"/>
          <w:szCs w:val="20"/>
        </w:rPr>
      </w:pPr>
      <w:r w:rsidRPr="00243B7D">
        <w:rPr>
          <w:rFonts w:asciiTheme="minorHAnsi" w:eastAsia="Times New Roman" w:hAnsiTheme="minorHAnsi" w:cs="Times New Roman"/>
          <w:sz w:val="20"/>
          <w:szCs w:val="20"/>
        </w:rPr>
        <w:t>Woods, D. (2015). The Class Size Debate: What the Evidence Means for Education Policy. B</w:t>
      </w:r>
      <w:bookmarkStart w:id="0" w:name="_GoBack"/>
      <w:bookmarkEnd w:id="0"/>
      <w:r w:rsidRPr="00243B7D">
        <w:rPr>
          <w:rFonts w:asciiTheme="minorHAnsi" w:eastAsia="Times New Roman" w:hAnsiTheme="minorHAnsi" w:cs="Times New Roman"/>
          <w:sz w:val="20"/>
          <w:szCs w:val="20"/>
        </w:rPr>
        <w:t>erkeley Public Policy Journal</w:t>
      </w:r>
    </w:p>
    <w:sectPr w:rsidR="00A16C24" w:rsidRPr="00243B7D" w:rsidSect="00D91D8F">
      <w:endnotePr>
        <w:numFmt w:val="decimal"/>
      </w:endnotePr>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2A" w:rsidRDefault="00120D2A" w:rsidP="00FE7EC7">
      <w:r>
        <w:separator/>
      </w:r>
    </w:p>
  </w:endnote>
  <w:endnote w:type="continuationSeparator" w:id="0">
    <w:p w:rsidR="00120D2A" w:rsidRDefault="00120D2A" w:rsidP="00FE7EC7">
      <w:r>
        <w:continuationSeparator/>
      </w:r>
    </w:p>
  </w:endnote>
  <w:endnote w:id="1">
    <w:p w:rsidR="00351436" w:rsidRDefault="00351436" w:rsidP="00207F67">
      <w:pPr>
        <w:pStyle w:val="EndnoteText"/>
        <w:spacing w:line="240" w:lineRule="auto"/>
      </w:pPr>
      <w:r>
        <w:rPr>
          <w:rStyle w:val="EndnoteReference"/>
        </w:rPr>
        <w:endnoteRef/>
      </w:r>
      <w:r w:rsidRPr="00F15F1A">
        <w:rPr>
          <w:rFonts w:asciiTheme="minorHAnsi" w:hAnsiTheme="minorHAnsi" w:cs="Times New Roman"/>
          <w:sz w:val="20"/>
          <w:szCs w:val="20"/>
        </w:rPr>
        <w:t xml:space="preserve">Specifically, we report on class size data from the October 1, 2016 data collection, using data only from classes with less than 75 percent students with disabilities and with class sizes in the middle 90 percent of the range of sizes. More information on the methodology is available in the online </w:t>
      </w:r>
      <w:hyperlink r:id="rId1" w:history="1">
        <w:r w:rsidRPr="00B63472">
          <w:rPr>
            <w:rStyle w:val="Hyperlink"/>
            <w:rFonts w:asciiTheme="minorHAnsi" w:hAnsiTheme="minorHAnsi" w:cs="Times New Roman"/>
            <w:sz w:val="20"/>
            <w:szCs w:val="20"/>
          </w:rPr>
          <w:t>appendix</w:t>
        </w:r>
      </w:hyperlink>
      <w:r w:rsidRPr="00077690">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36" w:rsidRPr="000B335A" w:rsidRDefault="00351436" w:rsidP="00FE7EC7">
    <w:pPr>
      <w:pStyle w:val="Footer"/>
    </w:pPr>
    <w:r>
      <w:t xml:space="preserve">       </w:t>
    </w:r>
  </w:p>
  <w:p w:rsidR="00351436" w:rsidRPr="000B335A" w:rsidRDefault="00351436" w:rsidP="00FE7EC7">
    <w:pPr>
      <w:pStyle w:val="Footer"/>
    </w:pPr>
    <w:sdt>
      <w:sdtPr>
        <w:id w:val="13775847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36" w:rsidRPr="00B1609E" w:rsidRDefault="00351436" w:rsidP="00B1609E">
    <w:pPr>
      <w:pStyle w:val="Footer"/>
      <w:rPr>
        <w:rFonts w:asciiTheme="majorHAnsi" w:hAnsiTheme="majorHAnsi"/>
        <w:b/>
        <w:color w:val="FFFFFF" w:themeColor="background1"/>
      </w:rPr>
    </w:pPr>
    <w:r>
      <w:rPr>
        <w:rFonts w:asciiTheme="majorHAnsi" w:hAnsiTheme="majorHAnsi"/>
        <w:b/>
        <w:noProof/>
        <w:color w:val="FFFFFF" w:themeColor="background1"/>
        <w:lang w:eastAsia="zh-CN"/>
      </w:rPr>
      <mc:AlternateContent>
        <mc:Choice Requires="wps">
          <w:drawing>
            <wp:anchor distT="0" distB="0" distL="114300" distR="114300" simplePos="0" relativeHeight="251657728" behindDoc="1" locked="0" layoutInCell="1" allowOverlap="1" wp14:anchorId="04C48FAE" wp14:editId="03C8AB74">
              <wp:simplePos x="0" y="0"/>
              <wp:positionH relativeFrom="column">
                <wp:posOffset>70485</wp:posOffset>
              </wp:positionH>
              <wp:positionV relativeFrom="paragraph">
                <wp:posOffset>114935</wp:posOffset>
              </wp:positionV>
              <wp:extent cx="7258050" cy="300355"/>
              <wp:effectExtent l="38100" t="57150" r="19050" b="23495"/>
              <wp:wrapNone/>
              <wp:docPr id="11" name="Pentago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258050" cy="300355"/>
                      </a:xfrm>
                      <a:prstGeom prst="homePlate">
                        <a:avLst/>
                      </a:prstGeom>
                      <a:ln>
                        <a:noFill/>
                      </a:ln>
                      <a:scene3d>
                        <a:camera prst="orthographicFront">
                          <a:rot lat="0" lon="3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351436" w:rsidRDefault="00351436" w:rsidP="00B22BBB">
                          <w:pPr>
                            <w:ind w:left="3150" w:firstLine="720"/>
                          </w:pPr>
                          <w:r>
                            <w:rPr>
                              <w:rFonts w:asciiTheme="majorHAnsi" w:hAnsiTheme="majorHAnsi"/>
                              <w:b/>
                              <w:color w:val="FFFFFF" w:themeColor="background1"/>
                            </w:rPr>
                            <w:t>ESE</w:t>
                          </w:r>
                          <w:r w:rsidRPr="00B1609E">
                            <w:rPr>
                              <w:rFonts w:asciiTheme="majorHAnsi" w:hAnsiTheme="majorHAnsi"/>
                              <w:b/>
                              <w:color w:val="FFFFFF" w:themeColor="background1"/>
                            </w:rPr>
                            <w:t xml:space="preserve"> Policy Brief: </w:t>
                          </w:r>
                          <w:r>
                            <w:rPr>
                              <w:rFonts w:asciiTheme="majorHAnsi" w:hAnsiTheme="majorHAnsi"/>
                              <w:b/>
                              <w:color w:val="FFFFFF" w:themeColor="background1"/>
                            </w:rPr>
                            <w:t xml:space="preserve">Class Size and Resource Allocation        </w:t>
                          </w:r>
                          <w:r w:rsidRPr="00B1609E">
                            <w:rPr>
                              <w:rFonts w:asciiTheme="majorHAnsi" w:hAnsiTheme="majorHAnsi"/>
                              <w:b/>
                              <w:color w:val="FFFFFF" w:themeColor="background1"/>
                            </w:rPr>
                            <w:fldChar w:fldCharType="begin"/>
                          </w:r>
                          <w:r w:rsidRPr="00B1609E">
                            <w:rPr>
                              <w:rFonts w:asciiTheme="majorHAnsi" w:hAnsiTheme="majorHAnsi"/>
                              <w:b/>
                              <w:color w:val="FFFFFF" w:themeColor="background1"/>
                            </w:rPr>
                            <w:instrText xml:space="preserve"> PAGE   \* MERGEFORMAT </w:instrText>
                          </w:r>
                          <w:r w:rsidRPr="00B1609E">
                            <w:rPr>
                              <w:rFonts w:asciiTheme="majorHAnsi" w:hAnsiTheme="majorHAnsi"/>
                              <w:b/>
                              <w:color w:val="FFFFFF" w:themeColor="background1"/>
                            </w:rPr>
                            <w:fldChar w:fldCharType="separate"/>
                          </w:r>
                          <w:r w:rsidR="00B63472">
                            <w:rPr>
                              <w:rFonts w:asciiTheme="majorHAnsi" w:hAnsiTheme="majorHAnsi"/>
                              <w:b/>
                              <w:noProof/>
                              <w:color w:val="FFFFFF" w:themeColor="background1"/>
                            </w:rPr>
                            <w:t>11</w:t>
                          </w:r>
                          <w:r w:rsidRPr="00B1609E">
                            <w:rPr>
                              <w:rFonts w:asciiTheme="majorHAnsi" w:hAnsiTheme="majorHAnsi"/>
                              <w:b/>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C48FA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 o:spid="_x0000_s1029" type="#_x0000_t15" style="position:absolute;margin-left:5.55pt;margin-top:9.05pt;width:571.5pt;height:23.6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" adj="21153" fillcolor="#004386 [3204]" stroked="f" strokeweight="2pt">
              <v:path arrowok="t"/>
              <v:textbox>
                <w:txbxContent>
                  <w:p w:rsidR="00351436" w:rsidRDefault="00351436" w:rsidP="00B22BBB">
                    <w:pPr>
                      <w:ind w:left="3150" w:firstLine="720"/>
                    </w:pPr>
                    <w:r>
                      <w:rPr>
                        <w:rFonts w:asciiTheme="majorHAnsi" w:hAnsiTheme="majorHAnsi"/>
                        <w:b/>
                        <w:color w:val="FFFFFF" w:themeColor="background1"/>
                      </w:rPr>
                      <w:t>ESE</w:t>
                    </w:r>
                    <w:r w:rsidRPr="00B1609E">
                      <w:rPr>
                        <w:rFonts w:asciiTheme="majorHAnsi" w:hAnsiTheme="majorHAnsi"/>
                        <w:b/>
                        <w:color w:val="FFFFFF" w:themeColor="background1"/>
                      </w:rPr>
                      <w:t xml:space="preserve"> Policy Brief: </w:t>
                    </w:r>
                    <w:r>
                      <w:rPr>
                        <w:rFonts w:asciiTheme="majorHAnsi" w:hAnsiTheme="majorHAnsi"/>
                        <w:b/>
                        <w:color w:val="FFFFFF" w:themeColor="background1"/>
                      </w:rPr>
                      <w:t xml:space="preserve">Class Size and Resource Allocation        </w:t>
                    </w:r>
                    <w:r w:rsidRPr="00B1609E">
                      <w:rPr>
                        <w:rFonts w:asciiTheme="majorHAnsi" w:hAnsiTheme="majorHAnsi"/>
                        <w:b/>
                        <w:color w:val="FFFFFF" w:themeColor="background1"/>
                      </w:rPr>
                      <w:fldChar w:fldCharType="begin"/>
                    </w:r>
                    <w:r w:rsidRPr="00B1609E">
                      <w:rPr>
                        <w:rFonts w:asciiTheme="majorHAnsi" w:hAnsiTheme="majorHAnsi"/>
                        <w:b/>
                        <w:color w:val="FFFFFF" w:themeColor="background1"/>
                      </w:rPr>
                      <w:instrText xml:space="preserve"> PAGE   \* MERGEFORMAT </w:instrText>
                    </w:r>
                    <w:r w:rsidRPr="00B1609E">
                      <w:rPr>
                        <w:rFonts w:asciiTheme="majorHAnsi" w:hAnsiTheme="majorHAnsi"/>
                        <w:b/>
                        <w:color w:val="FFFFFF" w:themeColor="background1"/>
                      </w:rPr>
                      <w:fldChar w:fldCharType="separate"/>
                    </w:r>
                    <w:r w:rsidR="00B63472">
                      <w:rPr>
                        <w:rFonts w:asciiTheme="majorHAnsi" w:hAnsiTheme="majorHAnsi"/>
                        <w:b/>
                        <w:noProof/>
                        <w:color w:val="FFFFFF" w:themeColor="background1"/>
                      </w:rPr>
                      <w:t>11</w:t>
                    </w:r>
                    <w:r w:rsidRPr="00B1609E">
                      <w:rPr>
                        <w:rFonts w:asciiTheme="majorHAnsi" w:hAnsiTheme="majorHAnsi"/>
                        <w:b/>
                        <w:noProof/>
                        <w:color w:val="FFFFFF" w:themeColor="background1"/>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36" w:rsidRPr="00FE7EC7" w:rsidRDefault="00351436" w:rsidP="00FE7EC7">
    <w:pPr>
      <w:pStyle w:val="Footer"/>
      <w:jc w:val="right"/>
      <w:rPr>
        <w:rFonts w:asciiTheme="minorHAnsi" w:hAnsiTheme="minorHAnsi"/>
        <w:color w:val="004386" w:themeColor="accent1"/>
      </w:rPr>
    </w:pPr>
    <w:r>
      <w:rPr>
        <w:noProof/>
        <w:lang w:eastAsia="zh-CN"/>
      </w:rPr>
      <w:drawing>
        <wp:anchor distT="0" distB="0" distL="114300" distR="114300" simplePos="0" relativeHeight="251658752" behindDoc="1" locked="0" layoutInCell="1" allowOverlap="1" wp14:anchorId="44663F2E" wp14:editId="2192B0D6">
          <wp:simplePos x="0" y="0"/>
          <wp:positionH relativeFrom="column">
            <wp:posOffset>4560570</wp:posOffset>
          </wp:positionH>
          <wp:positionV relativeFrom="paragraph">
            <wp:posOffset>-945969</wp:posOffset>
          </wp:positionV>
          <wp:extent cx="2303597" cy="914400"/>
          <wp:effectExtent l="0" t="0" r="1905" b="0"/>
          <wp:wrapNone/>
          <wp:docPr id="2" name="Picture 1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
                    <a:extLst>
                      <a:ext uri="{28A0092B-C50C-407E-A947-70E740481C1C}">
                        <a14:useLocalDpi xmlns:a14="http://schemas.microsoft.com/office/drawing/2010/main" val="0"/>
                      </a:ext>
                    </a:extLst>
                  </a:blip>
                  <a:stretch>
                    <a:fillRect/>
                  </a:stretch>
                </pic:blipFill>
                <pic:spPr>
                  <a:xfrm>
                    <a:off x="0" y="0"/>
                    <a:ext cx="2303597" cy="914400"/>
                  </a:xfrm>
                  <a:prstGeom prst="rect">
                    <a:avLst/>
                  </a:prstGeom>
                </pic:spPr>
              </pic:pic>
            </a:graphicData>
          </a:graphic>
          <wp14:sizeRelH relativeFrom="page">
            <wp14:pctWidth>0</wp14:pctWidth>
          </wp14:sizeRelH>
          <wp14:sizeRelV relativeFrom="page">
            <wp14:pctHeight>0</wp14:pctHeight>
          </wp14:sizeRelV>
        </wp:anchor>
      </w:drawing>
    </w:r>
    <w:r w:rsidRPr="00FE7EC7">
      <w:rPr>
        <w:rFonts w:asciiTheme="minorHAnsi" w:hAnsiTheme="minorHAnsi"/>
        <w:color w:val="004386" w:themeColor="accent1"/>
      </w:rPr>
      <w:t>www.doe.mass.edu</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36" w:rsidRPr="000B335A" w:rsidRDefault="00351436" w:rsidP="00FE7EC7">
    <w:pPr>
      <w:pStyle w:val="Footer"/>
    </w:pPr>
    <w:r>
      <w:t xml:space="preserve">       </w:t>
    </w:r>
  </w:p>
  <w:p w:rsidR="00351436" w:rsidRPr="000B335A" w:rsidRDefault="00351436" w:rsidP="00FE7EC7">
    <w:pPr>
      <w:pStyle w:val="Footer"/>
    </w:pPr>
    <w:sdt>
      <w:sdtPr>
        <w:id w:val="262171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36" w:rsidRPr="00FE7EC7" w:rsidRDefault="00351436" w:rsidP="00FE7EC7">
    <w:pPr>
      <w:pStyle w:val="Footer"/>
      <w:jc w:val="right"/>
      <w:rPr>
        <w:rFonts w:asciiTheme="minorHAnsi" w:hAnsiTheme="minorHAnsi"/>
        <w:color w:val="004386" w:themeColor="accent1"/>
      </w:rPr>
    </w:pPr>
    <w:r>
      <w:br/>
    </w:r>
    <w:r w:rsidRPr="00FE7EC7">
      <w:rPr>
        <w:rFonts w:asciiTheme="minorHAnsi" w:hAnsiTheme="minorHAnsi"/>
        <w:color w:val="004386" w:themeColor="accent1"/>
      </w:rPr>
      <w:t>www.doe.mass.edu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2A" w:rsidRDefault="00120D2A" w:rsidP="00FE7EC7">
      <w:r>
        <w:separator/>
      </w:r>
    </w:p>
  </w:footnote>
  <w:footnote w:type="continuationSeparator" w:id="0">
    <w:p w:rsidR="00120D2A" w:rsidRDefault="00120D2A" w:rsidP="00FE7E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EEC"/>
    <w:multiLevelType w:val="hybridMultilevel"/>
    <w:tmpl w:val="7BF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92853"/>
    <w:multiLevelType w:val="hybridMultilevel"/>
    <w:tmpl w:val="496E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0DF"/>
    <w:multiLevelType w:val="hybridMultilevel"/>
    <w:tmpl w:val="182CAC98"/>
    <w:lvl w:ilvl="0" w:tplc="B4B4F9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61ABB"/>
    <w:multiLevelType w:val="hybridMultilevel"/>
    <w:tmpl w:val="7282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3E21"/>
    <w:multiLevelType w:val="hybridMultilevel"/>
    <w:tmpl w:val="8A4AC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91FE1"/>
    <w:multiLevelType w:val="hybridMultilevel"/>
    <w:tmpl w:val="CD4C6792"/>
    <w:lvl w:ilvl="0" w:tplc="D4460490">
      <w:start w:val="1"/>
      <w:numFmt w:val="bullet"/>
      <w:lvlText w:val=""/>
      <w:lvlJc w:val="left"/>
      <w:pPr>
        <w:ind w:left="1080" w:hanging="360"/>
      </w:pPr>
      <w:rPr>
        <w:rFonts w:ascii="Wingdings" w:hAnsi="Wingdings" w:hint="default"/>
        <w:b/>
        <w:color w:val="E28521" w:themeColor="accent5"/>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DB254F"/>
    <w:multiLevelType w:val="hybridMultilevel"/>
    <w:tmpl w:val="B9DCB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91D06"/>
    <w:multiLevelType w:val="hybridMultilevel"/>
    <w:tmpl w:val="20142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82DAA"/>
    <w:multiLevelType w:val="hybridMultilevel"/>
    <w:tmpl w:val="00E82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952BB"/>
    <w:multiLevelType w:val="hybridMultilevel"/>
    <w:tmpl w:val="B9DCB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65652"/>
    <w:multiLevelType w:val="hybridMultilevel"/>
    <w:tmpl w:val="B53EA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305C55"/>
    <w:multiLevelType w:val="hybridMultilevel"/>
    <w:tmpl w:val="4F6A2714"/>
    <w:lvl w:ilvl="0" w:tplc="E2A68E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904F7"/>
    <w:multiLevelType w:val="hybridMultilevel"/>
    <w:tmpl w:val="B9DCB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C5075"/>
    <w:multiLevelType w:val="hybridMultilevel"/>
    <w:tmpl w:val="98629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130224"/>
    <w:multiLevelType w:val="hybridMultilevel"/>
    <w:tmpl w:val="9162D4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740A9"/>
    <w:multiLevelType w:val="hybridMultilevel"/>
    <w:tmpl w:val="82ECFBC8"/>
    <w:lvl w:ilvl="0" w:tplc="D4460490">
      <w:start w:val="1"/>
      <w:numFmt w:val="bullet"/>
      <w:lvlText w:val=""/>
      <w:lvlJc w:val="left"/>
      <w:pPr>
        <w:ind w:left="720" w:hanging="360"/>
      </w:pPr>
      <w:rPr>
        <w:rFonts w:ascii="Wingdings" w:hAnsi="Wingdings" w:hint="default"/>
        <w:b/>
        <w:color w:val="E28521" w:themeColor="accent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B2062"/>
    <w:multiLevelType w:val="hybridMultilevel"/>
    <w:tmpl w:val="9D80CB82"/>
    <w:lvl w:ilvl="0" w:tplc="D4460490">
      <w:start w:val="1"/>
      <w:numFmt w:val="bullet"/>
      <w:lvlText w:val=""/>
      <w:lvlJc w:val="left"/>
      <w:pPr>
        <w:ind w:left="720" w:hanging="360"/>
      </w:pPr>
      <w:rPr>
        <w:rFonts w:ascii="Wingdings" w:hAnsi="Wingdings" w:hint="default"/>
        <w:b/>
        <w:color w:val="E28521" w:themeColor="accent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4098E"/>
    <w:multiLevelType w:val="hybridMultilevel"/>
    <w:tmpl w:val="71AAED88"/>
    <w:lvl w:ilvl="0" w:tplc="04090001">
      <w:start w:val="1"/>
      <w:numFmt w:val="bullet"/>
      <w:lvlText w:val=""/>
      <w:lvlJc w:val="left"/>
      <w:pPr>
        <w:ind w:left="720" w:hanging="360"/>
      </w:pPr>
      <w:rPr>
        <w:rFonts w:ascii="Symbol" w:hAnsi="Symbol" w:hint="default"/>
      </w:rPr>
    </w:lvl>
    <w:lvl w:ilvl="1" w:tplc="D4460490">
      <w:start w:val="1"/>
      <w:numFmt w:val="bullet"/>
      <w:lvlText w:val=""/>
      <w:lvlJc w:val="left"/>
      <w:pPr>
        <w:ind w:left="1440" w:hanging="360"/>
      </w:pPr>
      <w:rPr>
        <w:rFonts w:ascii="Wingdings" w:hAnsi="Wingdings" w:hint="default"/>
        <w:b/>
        <w:color w:val="E28521" w:themeColor="accent5"/>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A2C7A"/>
    <w:multiLevelType w:val="hybridMultilevel"/>
    <w:tmpl w:val="F462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B73EE"/>
    <w:multiLevelType w:val="hybridMultilevel"/>
    <w:tmpl w:val="9AE8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320CA"/>
    <w:multiLevelType w:val="hybridMultilevel"/>
    <w:tmpl w:val="DA26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F0BE5"/>
    <w:multiLevelType w:val="hybridMultilevel"/>
    <w:tmpl w:val="B87E2E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EC244F"/>
    <w:multiLevelType w:val="hybridMultilevel"/>
    <w:tmpl w:val="4B4E6A36"/>
    <w:lvl w:ilvl="0" w:tplc="D4460490">
      <w:start w:val="1"/>
      <w:numFmt w:val="bullet"/>
      <w:lvlText w:val=""/>
      <w:lvlJc w:val="left"/>
      <w:pPr>
        <w:ind w:left="720" w:hanging="360"/>
      </w:pPr>
      <w:rPr>
        <w:rFonts w:ascii="Wingdings" w:hAnsi="Wingdings" w:hint="default"/>
        <w:b/>
        <w:color w:val="E28521" w:themeColor="accent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E636B"/>
    <w:multiLevelType w:val="hybridMultilevel"/>
    <w:tmpl w:val="A746A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A712F"/>
    <w:multiLevelType w:val="hybridMultilevel"/>
    <w:tmpl w:val="BFC6A998"/>
    <w:lvl w:ilvl="0" w:tplc="D4460490">
      <w:start w:val="1"/>
      <w:numFmt w:val="bullet"/>
      <w:lvlText w:val=""/>
      <w:lvlJc w:val="left"/>
      <w:pPr>
        <w:ind w:left="1080" w:hanging="360"/>
      </w:pPr>
      <w:rPr>
        <w:rFonts w:ascii="Wingdings" w:hAnsi="Wingdings" w:hint="default"/>
        <w:b/>
        <w:color w:val="E28521" w:themeColor="accent5"/>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4D405F"/>
    <w:multiLevelType w:val="hybridMultilevel"/>
    <w:tmpl w:val="C14C1F6A"/>
    <w:lvl w:ilvl="0" w:tplc="A1269F26">
      <w:start w:val="1"/>
      <w:numFmt w:val="decimal"/>
      <w:lvlText w:val="%1."/>
      <w:lvlJc w:val="left"/>
      <w:pPr>
        <w:ind w:left="720" w:hanging="360"/>
      </w:pPr>
      <w:rPr>
        <w:rFonts w:hint="default"/>
        <w:b/>
        <w:color w:val="004386" w:themeColor="accent1"/>
      </w:rPr>
    </w:lvl>
    <w:lvl w:ilvl="1" w:tplc="D4460490">
      <w:start w:val="1"/>
      <w:numFmt w:val="bullet"/>
      <w:lvlText w:val=""/>
      <w:lvlJc w:val="left"/>
      <w:pPr>
        <w:ind w:left="1440" w:hanging="360"/>
      </w:pPr>
      <w:rPr>
        <w:rFonts w:ascii="Wingdings" w:hAnsi="Wingdings" w:hint="default"/>
        <w:b/>
        <w:color w:val="E28521" w:themeColor="accent5"/>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06F16"/>
    <w:multiLevelType w:val="hybridMultilevel"/>
    <w:tmpl w:val="F5EE6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D90DEE"/>
    <w:multiLevelType w:val="hybridMultilevel"/>
    <w:tmpl w:val="1868D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2037D"/>
    <w:multiLevelType w:val="hybridMultilevel"/>
    <w:tmpl w:val="C0D8D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CE7B5D"/>
    <w:multiLevelType w:val="hybridMultilevel"/>
    <w:tmpl w:val="E14CDB2A"/>
    <w:lvl w:ilvl="0" w:tplc="D4460490">
      <w:start w:val="1"/>
      <w:numFmt w:val="bullet"/>
      <w:lvlText w:val=""/>
      <w:lvlJc w:val="left"/>
      <w:pPr>
        <w:ind w:left="1080" w:hanging="360"/>
      </w:pPr>
      <w:rPr>
        <w:rFonts w:ascii="Wingdings" w:hAnsi="Wingdings" w:hint="default"/>
        <w:b/>
        <w:color w:val="E28521" w:themeColor="accent5"/>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817C5F"/>
    <w:multiLevelType w:val="hybridMultilevel"/>
    <w:tmpl w:val="552C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86CAC"/>
    <w:multiLevelType w:val="hybridMultilevel"/>
    <w:tmpl w:val="8A76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26B41"/>
    <w:multiLevelType w:val="hybridMultilevel"/>
    <w:tmpl w:val="F6CA3E06"/>
    <w:lvl w:ilvl="0" w:tplc="D4460490">
      <w:start w:val="1"/>
      <w:numFmt w:val="bullet"/>
      <w:lvlText w:val=""/>
      <w:lvlJc w:val="left"/>
      <w:pPr>
        <w:ind w:left="720" w:hanging="360"/>
      </w:pPr>
      <w:rPr>
        <w:rFonts w:ascii="Wingdings" w:hAnsi="Wingdings" w:hint="default"/>
        <w:b/>
        <w:color w:val="E28521" w:themeColor="accent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A05BFB"/>
    <w:multiLevelType w:val="hybridMultilevel"/>
    <w:tmpl w:val="B9DCB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20821"/>
    <w:multiLevelType w:val="hybridMultilevel"/>
    <w:tmpl w:val="2D463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D449ED"/>
    <w:multiLevelType w:val="hybridMultilevel"/>
    <w:tmpl w:val="528C3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94D75"/>
    <w:multiLevelType w:val="hybridMultilevel"/>
    <w:tmpl w:val="85D25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736066"/>
    <w:multiLevelType w:val="hybridMultilevel"/>
    <w:tmpl w:val="F142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28347A"/>
    <w:multiLevelType w:val="hybridMultilevel"/>
    <w:tmpl w:val="8CD66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7701A"/>
    <w:multiLevelType w:val="hybridMultilevel"/>
    <w:tmpl w:val="4292563A"/>
    <w:lvl w:ilvl="0" w:tplc="2F1E0760">
      <w:start w:val="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8550E"/>
    <w:multiLevelType w:val="multilevel"/>
    <w:tmpl w:val="A3FEB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ascii="Times New Roman" w:eastAsiaTheme="minorHAnsi"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F400900"/>
    <w:multiLevelType w:val="hybridMultilevel"/>
    <w:tmpl w:val="711CBB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
  </w:num>
  <w:num w:numId="3">
    <w:abstractNumId w:val="37"/>
  </w:num>
  <w:num w:numId="4">
    <w:abstractNumId w:val="11"/>
  </w:num>
  <w:num w:numId="5">
    <w:abstractNumId w:val="8"/>
  </w:num>
  <w:num w:numId="6">
    <w:abstractNumId w:val="25"/>
  </w:num>
  <w:num w:numId="7">
    <w:abstractNumId w:val="30"/>
  </w:num>
  <w:num w:numId="8">
    <w:abstractNumId w:val="10"/>
  </w:num>
  <w:num w:numId="9">
    <w:abstractNumId w:val="5"/>
  </w:num>
  <w:num w:numId="10">
    <w:abstractNumId w:val="15"/>
  </w:num>
  <w:num w:numId="11">
    <w:abstractNumId w:val="16"/>
  </w:num>
  <w:num w:numId="12">
    <w:abstractNumId w:val="13"/>
  </w:num>
  <w:num w:numId="13">
    <w:abstractNumId w:val="17"/>
  </w:num>
  <w:num w:numId="14">
    <w:abstractNumId w:val="24"/>
  </w:num>
  <w:num w:numId="15">
    <w:abstractNumId w:val="32"/>
  </w:num>
  <w:num w:numId="16">
    <w:abstractNumId w:val="22"/>
  </w:num>
  <w:num w:numId="17">
    <w:abstractNumId w:val="29"/>
  </w:num>
  <w:num w:numId="18">
    <w:abstractNumId w:val="39"/>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
  </w:num>
  <w:num w:numId="22">
    <w:abstractNumId w:val="19"/>
  </w:num>
  <w:num w:numId="23">
    <w:abstractNumId w:val="23"/>
  </w:num>
  <w:num w:numId="24">
    <w:abstractNumId w:val="38"/>
  </w:num>
  <w:num w:numId="25">
    <w:abstractNumId w:val="36"/>
  </w:num>
  <w:num w:numId="26">
    <w:abstractNumId w:val="27"/>
  </w:num>
  <w:num w:numId="27">
    <w:abstractNumId w:val="14"/>
  </w:num>
  <w:num w:numId="28">
    <w:abstractNumId w:val="21"/>
  </w:num>
  <w:num w:numId="29">
    <w:abstractNumId w:val="20"/>
  </w:num>
  <w:num w:numId="30">
    <w:abstractNumId w:val="7"/>
  </w:num>
  <w:num w:numId="31">
    <w:abstractNumId w:val="0"/>
  </w:num>
  <w:num w:numId="32">
    <w:abstractNumId w:val="35"/>
  </w:num>
  <w:num w:numId="33">
    <w:abstractNumId w:val="2"/>
  </w:num>
  <w:num w:numId="34">
    <w:abstractNumId w:val="28"/>
  </w:num>
  <w:num w:numId="3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4"/>
  </w:num>
  <w:num w:numId="38">
    <w:abstractNumId w:val="12"/>
  </w:num>
  <w:num w:numId="39">
    <w:abstractNumId w:val="33"/>
  </w:num>
  <w:num w:numId="40">
    <w:abstractNumId w:val="9"/>
  </w:num>
  <w:num w:numId="41">
    <w:abstractNumId w:val="6"/>
  </w:num>
  <w:num w:numId="42">
    <w:abstractNumId w:val="4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FA"/>
    <w:rsid w:val="0000116A"/>
    <w:rsid w:val="00001396"/>
    <w:rsid w:val="00001CA8"/>
    <w:rsid w:val="00002567"/>
    <w:rsid w:val="00003145"/>
    <w:rsid w:val="0000314A"/>
    <w:rsid w:val="00003220"/>
    <w:rsid w:val="00004C7B"/>
    <w:rsid w:val="00004F15"/>
    <w:rsid w:val="00007500"/>
    <w:rsid w:val="000075F8"/>
    <w:rsid w:val="00010A45"/>
    <w:rsid w:val="00011006"/>
    <w:rsid w:val="0001199B"/>
    <w:rsid w:val="0001258B"/>
    <w:rsid w:val="00012764"/>
    <w:rsid w:val="00013709"/>
    <w:rsid w:val="000141EE"/>
    <w:rsid w:val="00014994"/>
    <w:rsid w:val="00017337"/>
    <w:rsid w:val="000175F2"/>
    <w:rsid w:val="00022810"/>
    <w:rsid w:val="000242DD"/>
    <w:rsid w:val="00024EBE"/>
    <w:rsid w:val="0002529E"/>
    <w:rsid w:val="0002643F"/>
    <w:rsid w:val="000316D4"/>
    <w:rsid w:val="00031C2D"/>
    <w:rsid w:val="00033058"/>
    <w:rsid w:val="00033419"/>
    <w:rsid w:val="0003474F"/>
    <w:rsid w:val="000377E9"/>
    <w:rsid w:val="00037F33"/>
    <w:rsid w:val="00040826"/>
    <w:rsid w:val="000412EA"/>
    <w:rsid w:val="00041912"/>
    <w:rsid w:val="00041C67"/>
    <w:rsid w:val="00043315"/>
    <w:rsid w:val="0004378E"/>
    <w:rsid w:val="00043BD7"/>
    <w:rsid w:val="00044E49"/>
    <w:rsid w:val="000454BF"/>
    <w:rsid w:val="000456F3"/>
    <w:rsid w:val="00045760"/>
    <w:rsid w:val="00045FE8"/>
    <w:rsid w:val="00046AC5"/>
    <w:rsid w:val="00047E74"/>
    <w:rsid w:val="00051998"/>
    <w:rsid w:val="0005230A"/>
    <w:rsid w:val="00052651"/>
    <w:rsid w:val="00052F8E"/>
    <w:rsid w:val="000530E1"/>
    <w:rsid w:val="00054C61"/>
    <w:rsid w:val="00055F05"/>
    <w:rsid w:val="000606FA"/>
    <w:rsid w:val="00061914"/>
    <w:rsid w:val="0006308E"/>
    <w:rsid w:val="00063230"/>
    <w:rsid w:val="000635BD"/>
    <w:rsid w:val="00063C70"/>
    <w:rsid w:val="00063EE4"/>
    <w:rsid w:val="00064965"/>
    <w:rsid w:val="000653AA"/>
    <w:rsid w:val="00065C15"/>
    <w:rsid w:val="00066676"/>
    <w:rsid w:val="000674C2"/>
    <w:rsid w:val="00067660"/>
    <w:rsid w:val="00067B73"/>
    <w:rsid w:val="00070342"/>
    <w:rsid w:val="00071236"/>
    <w:rsid w:val="00071C38"/>
    <w:rsid w:val="000732EE"/>
    <w:rsid w:val="0007389F"/>
    <w:rsid w:val="00073C5F"/>
    <w:rsid w:val="00073E0B"/>
    <w:rsid w:val="00075070"/>
    <w:rsid w:val="00076E51"/>
    <w:rsid w:val="00077FA3"/>
    <w:rsid w:val="00080CE3"/>
    <w:rsid w:val="000825EF"/>
    <w:rsid w:val="00085244"/>
    <w:rsid w:val="00087A3C"/>
    <w:rsid w:val="0009040C"/>
    <w:rsid w:val="0009074D"/>
    <w:rsid w:val="00090FB9"/>
    <w:rsid w:val="00091971"/>
    <w:rsid w:val="00095795"/>
    <w:rsid w:val="0009705D"/>
    <w:rsid w:val="00097BF5"/>
    <w:rsid w:val="000A0624"/>
    <w:rsid w:val="000A1B8E"/>
    <w:rsid w:val="000A232C"/>
    <w:rsid w:val="000A2986"/>
    <w:rsid w:val="000A3698"/>
    <w:rsid w:val="000A4FC8"/>
    <w:rsid w:val="000A520A"/>
    <w:rsid w:val="000A77E2"/>
    <w:rsid w:val="000B1648"/>
    <w:rsid w:val="000B1991"/>
    <w:rsid w:val="000B1BCC"/>
    <w:rsid w:val="000B2907"/>
    <w:rsid w:val="000B335A"/>
    <w:rsid w:val="000B3623"/>
    <w:rsid w:val="000B38F8"/>
    <w:rsid w:val="000B3BA0"/>
    <w:rsid w:val="000B48D2"/>
    <w:rsid w:val="000B5074"/>
    <w:rsid w:val="000B5589"/>
    <w:rsid w:val="000C03EC"/>
    <w:rsid w:val="000C13EB"/>
    <w:rsid w:val="000C20EF"/>
    <w:rsid w:val="000C447F"/>
    <w:rsid w:val="000C51C3"/>
    <w:rsid w:val="000C52A8"/>
    <w:rsid w:val="000C66F5"/>
    <w:rsid w:val="000C708E"/>
    <w:rsid w:val="000C725E"/>
    <w:rsid w:val="000C7BE8"/>
    <w:rsid w:val="000D0817"/>
    <w:rsid w:val="000D12CD"/>
    <w:rsid w:val="000D206C"/>
    <w:rsid w:val="000D24DF"/>
    <w:rsid w:val="000D2B69"/>
    <w:rsid w:val="000D3425"/>
    <w:rsid w:val="000D40AA"/>
    <w:rsid w:val="000D4539"/>
    <w:rsid w:val="000D504D"/>
    <w:rsid w:val="000D5744"/>
    <w:rsid w:val="000D5F36"/>
    <w:rsid w:val="000D790B"/>
    <w:rsid w:val="000E09A8"/>
    <w:rsid w:val="000E0EB4"/>
    <w:rsid w:val="000E1479"/>
    <w:rsid w:val="000E1D63"/>
    <w:rsid w:val="000E22F4"/>
    <w:rsid w:val="000E31F1"/>
    <w:rsid w:val="000E436D"/>
    <w:rsid w:val="000E5E1B"/>
    <w:rsid w:val="000E6090"/>
    <w:rsid w:val="000F18FA"/>
    <w:rsid w:val="000F30D2"/>
    <w:rsid w:val="000F322A"/>
    <w:rsid w:val="000F3F03"/>
    <w:rsid w:val="000F4548"/>
    <w:rsid w:val="000F45E2"/>
    <w:rsid w:val="000F54A9"/>
    <w:rsid w:val="000F6A26"/>
    <w:rsid w:val="000F6F37"/>
    <w:rsid w:val="000F783E"/>
    <w:rsid w:val="001005DF"/>
    <w:rsid w:val="001026EC"/>
    <w:rsid w:val="001026EE"/>
    <w:rsid w:val="00102743"/>
    <w:rsid w:val="001028B0"/>
    <w:rsid w:val="00104A32"/>
    <w:rsid w:val="001066B9"/>
    <w:rsid w:val="00106E4F"/>
    <w:rsid w:val="00110B7A"/>
    <w:rsid w:val="00111CBC"/>
    <w:rsid w:val="00112201"/>
    <w:rsid w:val="00112AD7"/>
    <w:rsid w:val="00113EFE"/>
    <w:rsid w:val="001147F1"/>
    <w:rsid w:val="00114A17"/>
    <w:rsid w:val="00114D4E"/>
    <w:rsid w:val="00117828"/>
    <w:rsid w:val="00117AB1"/>
    <w:rsid w:val="00120D2A"/>
    <w:rsid w:val="0012138C"/>
    <w:rsid w:val="00121A0A"/>
    <w:rsid w:val="00121D63"/>
    <w:rsid w:val="00122372"/>
    <w:rsid w:val="001223DB"/>
    <w:rsid w:val="00122633"/>
    <w:rsid w:val="0012283E"/>
    <w:rsid w:val="00123995"/>
    <w:rsid w:val="001267BC"/>
    <w:rsid w:val="00127E84"/>
    <w:rsid w:val="00127EA0"/>
    <w:rsid w:val="001301B1"/>
    <w:rsid w:val="0013051E"/>
    <w:rsid w:val="00130F43"/>
    <w:rsid w:val="00131305"/>
    <w:rsid w:val="0013174E"/>
    <w:rsid w:val="00131D3A"/>
    <w:rsid w:val="0013467D"/>
    <w:rsid w:val="00134AE2"/>
    <w:rsid w:val="00134E6E"/>
    <w:rsid w:val="001356C0"/>
    <w:rsid w:val="001359E3"/>
    <w:rsid w:val="001363E4"/>
    <w:rsid w:val="001408B1"/>
    <w:rsid w:val="00140BEF"/>
    <w:rsid w:val="0014175B"/>
    <w:rsid w:val="00141B1D"/>
    <w:rsid w:val="00142953"/>
    <w:rsid w:val="001439B7"/>
    <w:rsid w:val="00143A44"/>
    <w:rsid w:val="00144CB2"/>
    <w:rsid w:val="001464D3"/>
    <w:rsid w:val="00147C75"/>
    <w:rsid w:val="00150C02"/>
    <w:rsid w:val="00150C6E"/>
    <w:rsid w:val="0015539E"/>
    <w:rsid w:val="00155542"/>
    <w:rsid w:val="001559A8"/>
    <w:rsid w:val="00157C21"/>
    <w:rsid w:val="00161988"/>
    <w:rsid w:val="00161F09"/>
    <w:rsid w:val="0016238E"/>
    <w:rsid w:val="0016336A"/>
    <w:rsid w:val="00163941"/>
    <w:rsid w:val="001639AC"/>
    <w:rsid w:val="00167D12"/>
    <w:rsid w:val="00170062"/>
    <w:rsid w:val="00170BB7"/>
    <w:rsid w:val="00170FBD"/>
    <w:rsid w:val="001710D3"/>
    <w:rsid w:val="00171105"/>
    <w:rsid w:val="00172A2F"/>
    <w:rsid w:val="001731F3"/>
    <w:rsid w:val="00174F14"/>
    <w:rsid w:val="00175062"/>
    <w:rsid w:val="00176CC3"/>
    <w:rsid w:val="00177251"/>
    <w:rsid w:val="00181AB9"/>
    <w:rsid w:val="001829A6"/>
    <w:rsid w:val="001829B5"/>
    <w:rsid w:val="00183110"/>
    <w:rsid w:val="00183366"/>
    <w:rsid w:val="00184628"/>
    <w:rsid w:val="001854A2"/>
    <w:rsid w:val="00185619"/>
    <w:rsid w:val="0018691B"/>
    <w:rsid w:val="00186E1A"/>
    <w:rsid w:val="00191BF4"/>
    <w:rsid w:val="00192BF2"/>
    <w:rsid w:val="001931C8"/>
    <w:rsid w:val="00193945"/>
    <w:rsid w:val="00194598"/>
    <w:rsid w:val="001950D5"/>
    <w:rsid w:val="00195387"/>
    <w:rsid w:val="00197FC0"/>
    <w:rsid w:val="001A0755"/>
    <w:rsid w:val="001A2D64"/>
    <w:rsid w:val="001A3DA1"/>
    <w:rsid w:val="001A4841"/>
    <w:rsid w:val="001A53DE"/>
    <w:rsid w:val="001A60B9"/>
    <w:rsid w:val="001A6724"/>
    <w:rsid w:val="001A7084"/>
    <w:rsid w:val="001B276F"/>
    <w:rsid w:val="001B4B6D"/>
    <w:rsid w:val="001B66E1"/>
    <w:rsid w:val="001B71BC"/>
    <w:rsid w:val="001B7AC9"/>
    <w:rsid w:val="001C1BE2"/>
    <w:rsid w:val="001C3364"/>
    <w:rsid w:val="001C364A"/>
    <w:rsid w:val="001C40E2"/>
    <w:rsid w:val="001C4F88"/>
    <w:rsid w:val="001C5066"/>
    <w:rsid w:val="001C5172"/>
    <w:rsid w:val="001C5719"/>
    <w:rsid w:val="001C5B4E"/>
    <w:rsid w:val="001C5FD4"/>
    <w:rsid w:val="001C64C9"/>
    <w:rsid w:val="001C65DD"/>
    <w:rsid w:val="001C6B27"/>
    <w:rsid w:val="001C6BCD"/>
    <w:rsid w:val="001C6EC6"/>
    <w:rsid w:val="001D035B"/>
    <w:rsid w:val="001D18DE"/>
    <w:rsid w:val="001D29F8"/>
    <w:rsid w:val="001D3815"/>
    <w:rsid w:val="001D3A72"/>
    <w:rsid w:val="001D3C21"/>
    <w:rsid w:val="001D3D94"/>
    <w:rsid w:val="001D46FD"/>
    <w:rsid w:val="001D5963"/>
    <w:rsid w:val="001D5B10"/>
    <w:rsid w:val="001D67F7"/>
    <w:rsid w:val="001D7480"/>
    <w:rsid w:val="001D762F"/>
    <w:rsid w:val="001D7B09"/>
    <w:rsid w:val="001E0247"/>
    <w:rsid w:val="001E06BB"/>
    <w:rsid w:val="001E141D"/>
    <w:rsid w:val="001E5539"/>
    <w:rsid w:val="001E59A5"/>
    <w:rsid w:val="001E7050"/>
    <w:rsid w:val="001E7514"/>
    <w:rsid w:val="001E767C"/>
    <w:rsid w:val="001F02FA"/>
    <w:rsid w:val="001F167F"/>
    <w:rsid w:val="001F1BC1"/>
    <w:rsid w:val="001F1FE2"/>
    <w:rsid w:val="001F25AC"/>
    <w:rsid w:val="001F2B9D"/>
    <w:rsid w:val="001F2C64"/>
    <w:rsid w:val="001F2C7A"/>
    <w:rsid w:val="001F34E5"/>
    <w:rsid w:val="001F6F93"/>
    <w:rsid w:val="001F7322"/>
    <w:rsid w:val="001F7348"/>
    <w:rsid w:val="00200BE8"/>
    <w:rsid w:val="00202F4C"/>
    <w:rsid w:val="00204708"/>
    <w:rsid w:val="00204ABC"/>
    <w:rsid w:val="002055EA"/>
    <w:rsid w:val="002079B1"/>
    <w:rsid w:val="00207BC0"/>
    <w:rsid w:val="00207F12"/>
    <w:rsid w:val="00207F67"/>
    <w:rsid w:val="002116AD"/>
    <w:rsid w:val="002121B5"/>
    <w:rsid w:val="00212245"/>
    <w:rsid w:val="002123B5"/>
    <w:rsid w:val="00212694"/>
    <w:rsid w:val="00214589"/>
    <w:rsid w:val="0021476B"/>
    <w:rsid w:val="00214C10"/>
    <w:rsid w:val="00215B9F"/>
    <w:rsid w:val="002202FC"/>
    <w:rsid w:val="00220F56"/>
    <w:rsid w:val="0022251E"/>
    <w:rsid w:val="0022258D"/>
    <w:rsid w:val="002232DF"/>
    <w:rsid w:val="00223360"/>
    <w:rsid w:val="0022421F"/>
    <w:rsid w:val="00224E7F"/>
    <w:rsid w:val="0022504D"/>
    <w:rsid w:val="00226010"/>
    <w:rsid w:val="0022606A"/>
    <w:rsid w:val="002268C9"/>
    <w:rsid w:val="00227928"/>
    <w:rsid w:val="002306B0"/>
    <w:rsid w:val="00231765"/>
    <w:rsid w:val="00232543"/>
    <w:rsid w:val="00235640"/>
    <w:rsid w:val="00236F34"/>
    <w:rsid w:val="00240138"/>
    <w:rsid w:val="002401C4"/>
    <w:rsid w:val="00243B7D"/>
    <w:rsid w:val="00245BF7"/>
    <w:rsid w:val="00245D9B"/>
    <w:rsid w:val="00246785"/>
    <w:rsid w:val="00246D12"/>
    <w:rsid w:val="00250793"/>
    <w:rsid w:val="00251671"/>
    <w:rsid w:val="0025240C"/>
    <w:rsid w:val="002536E2"/>
    <w:rsid w:val="00254182"/>
    <w:rsid w:val="002546D1"/>
    <w:rsid w:val="00254D91"/>
    <w:rsid w:val="0025656D"/>
    <w:rsid w:val="00260511"/>
    <w:rsid w:val="002608ED"/>
    <w:rsid w:val="00261B67"/>
    <w:rsid w:val="00262925"/>
    <w:rsid w:val="00262D80"/>
    <w:rsid w:val="0026314D"/>
    <w:rsid w:val="0026428A"/>
    <w:rsid w:val="002645E4"/>
    <w:rsid w:val="002650A5"/>
    <w:rsid w:val="0026783B"/>
    <w:rsid w:val="00267C96"/>
    <w:rsid w:val="00272E4D"/>
    <w:rsid w:val="0027397A"/>
    <w:rsid w:val="00274602"/>
    <w:rsid w:val="0027469B"/>
    <w:rsid w:val="00276E32"/>
    <w:rsid w:val="00276E6D"/>
    <w:rsid w:val="0027724B"/>
    <w:rsid w:val="00280DD7"/>
    <w:rsid w:val="00280FF9"/>
    <w:rsid w:val="002818F2"/>
    <w:rsid w:val="0028281B"/>
    <w:rsid w:val="002828B7"/>
    <w:rsid w:val="002828FD"/>
    <w:rsid w:val="00282F99"/>
    <w:rsid w:val="0028384F"/>
    <w:rsid w:val="0028387E"/>
    <w:rsid w:val="00283DE0"/>
    <w:rsid w:val="00284709"/>
    <w:rsid w:val="00284A53"/>
    <w:rsid w:val="0028682B"/>
    <w:rsid w:val="002870C1"/>
    <w:rsid w:val="00287A90"/>
    <w:rsid w:val="00287AE0"/>
    <w:rsid w:val="002902E0"/>
    <w:rsid w:val="0029133A"/>
    <w:rsid w:val="002927E0"/>
    <w:rsid w:val="0029309A"/>
    <w:rsid w:val="00293173"/>
    <w:rsid w:val="00294A8B"/>
    <w:rsid w:val="00294B49"/>
    <w:rsid w:val="00294D78"/>
    <w:rsid w:val="00294DA3"/>
    <w:rsid w:val="00295092"/>
    <w:rsid w:val="002952A8"/>
    <w:rsid w:val="00295D0D"/>
    <w:rsid w:val="002963E0"/>
    <w:rsid w:val="002A04A0"/>
    <w:rsid w:val="002A0C05"/>
    <w:rsid w:val="002A201E"/>
    <w:rsid w:val="002A229A"/>
    <w:rsid w:val="002A2A0D"/>
    <w:rsid w:val="002A3DA6"/>
    <w:rsid w:val="002A480F"/>
    <w:rsid w:val="002A48D2"/>
    <w:rsid w:val="002A5D1D"/>
    <w:rsid w:val="002A62F7"/>
    <w:rsid w:val="002A6488"/>
    <w:rsid w:val="002A64C6"/>
    <w:rsid w:val="002A770F"/>
    <w:rsid w:val="002B12A0"/>
    <w:rsid w:val="002B2074"/>
    <w:rsid w:val="002B20A1"/>
    <w:rsid w:val="002B2DD1"/>
    <w:rsid w:val="002B39B9"/>
    <w:rsid w:val="002B3F7D"/>
    <w:rsid w:val="002B4C4B"/>
    <w:rsid w:val="002B7297"/>
    <w:rsid w:val="002B7B11"/>
    <w:rsid w:val="002C0995"/>
    <w:rsid w:val="002C1153"/>
    <w:rsid w:val="002C1264"/>
    <w:rsid w:val="002C1ECC"/>
    <w:rsid w:val="002C260C"/>
    <w:rsid w:val="002C2748"/>
    <w:rsid w:val="002C2757"/>
    <w:rsid w:val="002C4B06"/>
    <w:rsid w:val="002C4CCE"/>
    <w:rsid w:val="002C5120"/>
    <w:rsid w:val="002C5C6C"/>
    <w:rsid w:val="002C610D"/>
    <w:rsid w:val="002C61DA"/>
    <w:rsid w:val="002C631B"/>
    <w:rsid w:val="002C7E1B"/>
    <w:rsid w:val="002D14E8"/>
    <w:rsid w:val="002D1950"/>
    <w:rsid w:val="002D1AFC"/>
    <w:rsid w:val="002D4CD6"/>
    <w:rsid w:val="002D4E09"/>
    <w:rsid w:val="002D64E6"/>
    <w:rsid w:val="002D6BFC"/>
    <w:rsid w:val="002D7CDE"/>
    <w:rsid w:val="002E074B"/>
    <w:rsid w:val="002E0C74"/>
    <w:rsid w:val="002E1312"/>
    <w:rsid w:val="002E2294"/>
    <w:rsid w:val="002E2C58"/>
    <w:rsid w:val="002E300B"/>
    <w:rsid w:val="002E3B95"/>
    <w:rsid w:val="002E4191"/>
    <w:rsid w:val="002E4237"/>
    <w:rsid w:val="002E74B0"/>
    <w:rsid w:val="002F03B2"/>
    <w:rsid w:val="002F0ED7"/>
    <w:rsid w:val="002F1618"/>
    <w:rsid w:val="002F2050"/>
    <w:rsid w:val="002F424C"/>
    <w:rsid w:val="002F5AD5"/>
    <w:rsid w:val="00300795"/>
    <w:rsid w:val="00300C93"/>
    <w:rsid w:val="00301A40"/>
    <w:rsid w:val="0030265D"/>
    <w:rsid w:val="003039DC"/>
    <w:rsid w:val="003041EC"/>
    <w:rsid w:val="00304D1C"/>
    <w:rsid w:val="003054CD"/>
    <w:rsid w:val="00305768"/>
    <w:rsid w:val="003074A6"/>
    <w:rsid w:val="00310406"/>
    <w:rsid w:val="003110CF"/>
    <w:rsid w:val="0031256A"/>
    <w:rsid w:val="00313274"/>
    <w:rsid w:val="00313597"/>
    <w:rsid w:val="00315018"/>
    <w:rsid w:val="00315DC5"/>
    <w:rsid w:val="00316A2A"/>
    <w:rsid w:val="00316F9C"/>
    <w:rsid w:val="0031725C"/>
    <w:rsid w:val="00320320"/>
    <w:rsid w:val="00320B45"/>
    <w:rsid w:val="0032289D"/>
    <w:rsid w:val="00322C09"/>
    <w:rsid w:val="003231BB"/>
    <w:rsid w:val="003250C4"/>
    <w:rsid w:val="00325343"/>
    <w:rsid w:val="00327CAC"/>
    <w:rsid w:val="00330C69"/>
    <w:rsid w:val="00330FA1"/>
    <w:rsid w:val="00332C54"/>
    <w:rsid w:val="00332F37"/>
    <w:rsid w:val="00335CD3"/>
    <w:rsid w:val="00336DB8"/>
    <w:rsid w:val="00337B34"/>
    <w:rsid w:val="00340BC2"/>
    <w:rsid w:val="00340C4C"/>
    <w:rsid w:val="00340CC9"/>
    <w:rsid w:val="00341CF5"/>
    <w:rsid w:val="0034289A"/>
    <w:rsid w:val="003446A7"/>
    <w:rsid w:val="00344C8D"/>
    <w:rsid w:val="00344DD5"/>
    <w:rsid w:val="00345020"/>
    <w:rsid w:val="00346C1A"/>
    <w:rsid w:val="00347473"/>
    <w:rsid w:val="003475E9"/>
    <w:rsid w:val="00347972"/>
    <w:rsid w:val="00347B62"/>
    <w:rsid w:val="003503DF"/>
    <w:rsid w:val="003504E0"/>
    <w:rsid w:val="00351436"/>
    <w:rsid w:val="0035173C"/>
    <w:rsid w:val="00351AFF"/>
    <w:rsid w:val="00351DA0"/>
    <w:rsid w:val="00351E4A"/>
    <w:rsid w:val="00352E11"/>
    <w:rsid w:val="00354DC6"/>
    <w:rsid w:val="00361211"/>
    <w:rsid w:val="003613A6"/>
    <w:rsid w:val="00361569"/>
    <w:rsid w:val="003615EB"/>
    <w:rsid w:val="00361653"/>
    <w:rsid w:val="0036420C"/>
    <w:rsid w:val="003645F6"/>
    <w:rsid w:val="00364ECE"/>
    <w:rsid w:val="00366215"/>
    <w:rsid w:val="003667F2"/>
    <w:rsid w:val="00366E3C"/>
    <w:rsid w:val="003678AD"/>
    <w:rsid w:val="00367C61"/>
    <w:rsid w:val="003704F5"/>
    <w:rsid w:val="00370961"/>
    <w:rsid w:val="00373FFD"/>
    <w:rsid w:val="0037417A"/>
    <w:rsid w:val="003747C3"/>
    <w:rsid w:val="00375042"/>
    <w:rsid w:val="00375652"/>
    <w:rsid w:val="00380428"/>
    <w:rsid w:val="003836B6"/>
    <w:rsid w:val="00383C9D"/>
    <w:rsid w:val="00383E95"/>
    <w:rsid w:val="00387042"/>
    <w:rsid w:val="003876A6"/>
    <w:rsid w:val="003900D6"/>
    <w:rsid w:val="003903CA"/>
    <w:rsid w:val="00391DFA"/>
    <w:rsid w:val="0039225C"/>
    <w:rsid w:val="003926A5"/>
    <w:rsid w:val="00394543"/>
    <w:rsid w:val="003952B6"/>
    <w:rsid w:val="003954FA"/>
    <w:rsid w:val="003955B8"/>
    <w:rsid w:val="00395A48"/>
    <w:rsid w:val="0039662D"/>
    <w:rsid w:val="00397277"/>
    <w:rsid w:val="003A4071"/>
    <w:rsid w:val="003A493F"/>
    <w:rsid w:val="003A4D45"/>
    <w:rsid w:val="003A4E03"/>
    <w:rsid w:val="003A5E6A"/>
    <w:rsid w:val="003A5EEA"/>
    <w:rsid w:val="003A5F05"/>
    <w:rsid w:val="003A6695"/>
    <w:rsid w:val="003A7B22"/>
    <w:rsid w:val="003B11C0"/>
    <w:rsid w:val="003B19E8"/>
    <w:rsid w:val="003B2915"/>
    <w:rsid w:val="003B4717"/>
    <w:rsid w:val="003B5D6D"/>
    <w:rsid w:val="003B7AC4"/>
    <w:rsid w:val="003C0E9F"/>
    <w:rsid w:val="003C0EF1"/>
    <w:rsid w:val="003C19C9"/>
    <w:rsid w:val="003C4AC6"/>
    <w:rsid w:val="003C532B"/>
    <w:rsid w:val="003C6529"/>
    <w:rsid w:val="003C6A3A"/>
    <w:rsid w:val="003D019F"/>
    <w:rsid w:val="003D3032"/>
    <w:rsid w:val="003D379B"/>
    <w:rsid w:val="003D3F89"/>
    <w:rsid w:val="003D55DD"/>
    <w:rsid w:val="003D75B8"/>
    <w:rsid w:val="003D7623"/>
    <w:rsid w:val="003D76D3"/>
    <w:rsid w:val="003E3020"/>
    <w:rsid w:val="003E379D"/>
    <w:rsid w:val="003E5920"/>
    <w:rsid w:val="003E697F"/>
    <w:rsid w:val="003F19D2"/>
    <w:rsid w:val="003F1C0D"/>
    <w:rsid w:val="003F1F6E"/>
    <w:rsid w:val="003F3314"/>
    <w:rsid w:val="003F33A8"/>
    <w:rsid w:val="003F3615"/>
    <w:rsid w:val="003F4194"/>
    <w:rsid w:val="003F4B74"/>
    <w:rsid w:val="003F5553"/>
    <w:rsid w:val="003F6022"/>
    <w:rsid w:val="003F6477"/>
    <w:rsid w:val="003F761C"/>
    <w:rsid w:val="00401B4D"/>
    <w:rsid w:val="00401F7F"/>
    <w:rsid w:val="0040212C"/>
    <w:rsid w:val="00403CF5"/>
    <w:rsid w:val="00404B01"/>
    <w:rsid w:val="00405BF4"/>
    <w:rsid w:val="004064D4"/>
    <w:rsid w:val="004075E0"/>
    <w:rsid w:val="00407A89"/>
    <w:rsid w:val="00411904"/>
    <w:rsid w:val="00411EF2"/>
    <w:rsid w:val="0041221A"/>
    <w:rsid w:val="00412D38"/>
    <w:rsid w:val="004140CD"/>
    <w:rsid w:val="0041571F"/>
    <w:rsid w:val="00415EAE"/>
    <w:rsid w:val="00416BF4"/>
    <w:rsid w:val="00416D7D"/>
    <w:rsid w:val="004206F2"/>
    <w:rsid w:val="004210DB"/>
    <w:rsid w:val="0042180D"/>
    <w:rsid w:val="00421951"/>
    <w:rsid w:val="004222A6"/>
    <w:rsid w:val="004230FC"/>
    <w:rsid w:val="0042348C"/>
    <w:rsid w:val="00423FC0"/>
    <w:rsid w:val="00424157"/>
    <w:rsid w:val="0042608A"/>
    <w:rsid w:val="0042795A"/>
    <w:rsid w:val="00431F55"/>
    <w:rsid w:val="00432623"/>
    <w:rsid w:val="004327C7"/>
    <w:rsid w:val="00433030"/>
    <w:rsid w:val="004332F7"/>
    <w:rsid w:val="00433483"/>
    <w:rsid w:val="00433638"/>
    <w:rsid w:val="004342F7"/>
    <w:rsid w:val="00434FD6"/>
    <w:rsid w:val="00436303"/>
    <w:rsid w:val="00440629"/>
    <w:rsid w:val="004406DD"/>
    <w:rsid w:val="0044099D"/>
    <w:rsid w:val="0044191B"/>
    <w:rsid w:val="00441DB7"/>
    <w:rsid w:val="00442021"/>
    <w:rsid w:val="004425C1"/>
    <w:rsid w:val="00443C46"/>
    <w:rsid w:val="00444562"/>
    <w:rsid w:val="00445F98"/>
    <w:rsid w:val="004464A5"/>
    <w:rsid w:val="00446930"/>
    <w:rsid w:val="004471EA"/>
    <w:rsid w:val="00450060"/>
    <w:rsid w:val="00450E24"/>
    <w:rsid w:val="00454426"/>
    <w:rsid w:val="004549A3"/>
    <w:rsid w:val="00454EC5"/>
    <w:rsid w:val="00456BAE"/>
    <w:rsid w:val="00456E33"/>
    <w:rsid w:val="004570D4"/>
    <w:rsid w:val="004578B6"/>
    <w:rsid w:val="00457A50"/>
    <w:rsid w:val="00457ECA"/>
    <w:rsid w:val="004609BB"/>
    <w:rsid w:val="004627E0"/>
    <w:rsid w:val="00462BCC"/>
    <w:rsid w:val="0046304A"/>
    <w:rsid w:val="0046312B"/>
    <w:rsid w:val="00463322"/>
    <w:rsid w:val="00463E36"/>
    <w:rsid w:val="004655A0"/>
    <w:rsid w:val="00465AF5"/>
    <w:rsid w:val="00466136"/>
    <w:rsid w:val="004662CF"/>
    <w:rsid w:val="0047057B"/>
    <w:rsid w:val="0047298B"/>
    <w:rsid w:val="004747FF"/>
    <w:rsid w:val="00476028"/>
    <w:rsid w:val="00477A2A"/>
    <w:rsid w:val="00480203"/>
    <w:rsid w:val="004803C8"/>
    <w:rsid w:val="00480A17"/>
    <w:rsid w:val="00483786"/>
    <w:rsid w:val="0048501F"/>
    <w:rsid w:val="004861FE"/>
    <w:rsid w:val="00487413"/>
    <w:rsid w:val="004912E2"/>
    <w:rsid w:val="00491722"/>
    <w:rsid w:val="00491A8F"/>
    <w:rsid w:val="00491CD5"/>
    <w:rsid w:val="00492C3B"/>
    <w:rsid w:val="00492F78"/>
    <w:rsid w:val="00496E9D"/>
    <w:rsid w:val="004974A4"/>
    <w:rsid w:val="004A0AAF"/>
    <w:rsid w:val="004A0D7D"/>
    <w:rsid w:val="004A0F15"/>
    <w:rsid w:val="004A1D9B"/>
    <w:rsid w:val="004A3171"/>
    <w:rsid w:val="004A31B7"/>
    <w:rsid w:val="004A57EA"/>
    <w:rsid w:val="004A606D"/>
    <w:rsid w:val="004A69A1"/>
    <w:rsid w:val="004A7DC9"/>
    <w:rsid w:val="004B0F31"/>
    <w:rsid w:val="004B24DD"/>
    <w:rsid w:val="004B5906"/>
    <w:rsid w:val="004B6EE5"/>
    <w:rsid w:val="004B7F8B"/>
    <w:rsid w:val="004C1F60"/>
    <w:rsid w:val="004C24BF"/>
    <w:rsid w:val="004C2DC7"/>
    <w:rsid w:val="004C308C"/>
    <w:rsid w:val="004C5E62"/>
    <w:rsid w:val="004C6664"/>
    <w:rsid w:val="004C66C0"/>
    <w:rsid w:val="004C676A"/>
    <w:rsid w:val="004D036C"/>
    <w:rsid w:val="004D0AD7"/>
    <w:rsid w:val="004D1D9F"/>
    <w:rsid w:val="004D22E1"/>
    <w:rsid w:val="004D297D"/>
    <w:rsid w:val="004D38D5"/>
    <w:rsid w:val="004D4730"/>
    <w:rsid w:val="004D4A3F"/>
    <w:rsid w:val="004D4B9E"/>
    <w:rsid w:val="004D535B"/>
    <w:rsid w:val="004D6A6C"/>
    <w:rsid w:val="004E188E"/>
    <w:rsid w:val="004E1EEB"/>
    <w:rsid w:val="004E2845"/>
    <w:rsid w:val="004E2F60"/>
    <w:rsid w:val="004E41C9"/>
    <w:rsid w:val="004E49DF"/>
    <w:rsid w:val="004E5458"/>
    <w:rsid w:val="004E5E81"/>
    <w:rsid w:val="004E6435"/>
    <w:rsid w:val="004E67BA"/>
    <w:rsid w:val="004E68EE"/>
    <w:rsid w:val="004E6D04"/>
    <w:rsid w:val="004E73B9"/>
    <w:rsid w:val="004F1539"/>
    <w:rsid w:val="004F1FBB"/>
    <w:rsid w:val="004F2103"/>
    <w:rsid w:val="004F2668"/>
    <w:rsid w:val="00500D40"/>
    <w:rsid w:val="005018A3"/>
    <w:rsid w:val="00502D8B"/>
    <w:rsid w:val="0050444F"/>
    <w:rsid w:val="005057CE"/>
    <w:rsid w:val="00505C45"/>
    <w:rsid w:val="005101BD"/>
    <w:rsid w:val="00511173"/>
    <w:rsid w:val="00511326"/>
    <w:rsid w:val="00511B76"/>
    <w:rsid w:val="00511DCD"/>
    <w:rsid w:val="005121D7"/>
    <w:rsid w:val="00512D93"/>
    <w:rsid w:val="0051321D"/>
    <w:rsid w:val="00513C30"/>
    <w:rsid w:val="00514059"/>
    <w:rsid w:val="00514243"/>
    <w:rsid w:val="00514706"/>
    <w:rsid w:val="00514FBC"/>
    <w:rsid w:val="00515158"/>
    <w:rsid w:val="005164BB"/>
    <w:rsid w:val="005176CC"/>
    <w:rsid w:val="005211CB"/>
    <w:rsid w:val="00522ED1"/>
    <w:rsid w:val="0052407E"/>
    <w:rsid w:val="00524345"/>
    <w:rsid w:val="00524806"/>
    <w:rsid w:val="00524BD4"/>
    <w:rsid w:val="00525759"/>
    <w:rsid w:val="00525B3D"/>
    <w:rsid w:val="0052609A"/>
    <w:rsid w:val="00526C4F"/>
    <w:rsid w:val="005279CE"/>
    <w:rsid w:val="005311A7"/>
    <w:rsid w:val="00531AE7"/>
    <w:rsid w:val="00532020"/>
    <w:rsid w:val="005320EB"/>
    <w:rsid w:val="00532F74"/>
    <w:rsid w:val="00534229"/>
    <w:rsid w:val="00534BBF"/>
    <w:rsid w:val="005359AB"/>
    <w:rsid w:val="00535C33"/>
    <w:rsid w:val="005371AD"/>
    <w:rsid w:val="00540C6A"/>
    <w:rsid w:val="00540FB3"/>
    <w:rsid w:val="00541875"/>
    <w:rsid w:val="005418E1"/>
    <w:rsid w:val="00541BC0"/>
    <w:rsid w:val="00541FA4"/>
    <w:rsid w:val="00542954"/>
    <w:rsid w:val="00543AA4"/>
    <w:rsid w:val="00544513"/>
    <w:rsid w:val="005454D1"/>
    <w:rsid w:val="0054552D"/>
    <w:rsid w:val="00546A3C"/>
    <w:rsid w:val="00546AA0"/>
    <w:rsid w:val="00547B5F"/>
    <w:rsid w:val="0055019F"/>
    <w:rsid w:val="005520E9"/>
    <w:rsid w:val="0055217E"/>
    <w:rsid w:val="005543B9"/>
    <w:rsid w:val="00554B27"/>
    <w:rsid w:val="00554F77"/>
    <w:rsid w:val="0055714E"/>
    <w:rsid w:val="00561727"/>
    <w:rsid w:val="005619BD"/>
    <w:rsid w:val="005624AC"/>
    <w:rsid w:val="00562A1C"/>
    <w:rsid w:val="00562DDF"/>
    <w:rsid w:val="00563204"/>
    <w:rsid w:val="005647ED"/>
    <w:rsid w:val="00564BEA"/>
    <w:rsid w:val="00564D7A"/>
    <w:rsid w:val="005657D7"/>
    <w:rsid w:val="00565C86"/>
    <w:rsid w:val="00565E1C"/>
    <w:rsid w:val="00566647"/>
    <w:rsid w:val="005675C6"/>
    <w:rsid w:val="00570258"/>
    <w:rsid w:val="005705F8"/>
    <w:rsid w:val="00571967"/>
    <w:rsid w:val="0057280D"/>
    <w:rsid w:val="00572BF8"/>
    <w:rsid w:val="005738C2"/>
    <w:rsid w:val="00574193"/>
    <w:rsid w:val="0057651D"/>
    <w:rsid w:val="0058062D"/>
    <w:rsid w:val="00580EFB"/>
    <w:rsid w:val="005812D2"/>
    <w:rsid w:val="0058278C"/>
    <w:rsid w:val="005829C1"/>
    <w:rsid w:val="00582D7F"/>
    <w:rsid w:val="005846C6"/>
    <w:rsid w:val="005848F5"/>
    <w:rsid w:val="00585EF9"/>
    <w:rsid w:val="00587651"/>
    <w:rsid w:val="00587C8F"/>
    <w:rsid w:val="00587F58"/>
    <w:rsid w:val="005905C1"/>
    <w:rsid w:val="00590E1F"/>
    <w:rsid w:val="0059243D"/>
    <w:rsid w:val="00592B92"/>
    <w:rsid w:val="00594476"/>
    <w:rsid w:val="0059486B"/>
    <w:rsid w:val="005951F7"/>
    <w:rsid w:val="0059549B"/>
    <w:rsid w:val="00595CB0"/>
    <w:rsid w:val="0059627A"/>
    <w:rsid w:val="00596AA4"/>
    <w:rsid w:val="00597CB4"/>
    <w:rsid w:val="00597D7B"/>
    <w:rsid w:val="005A2705"/>
    <w:rsid w:val="005A2CA2"/>
    <w:rsid w:val="005A3184"/>
    <w:rsid w:val="005A3DE1"/>
    <w:rsid w:val="005A6195"/>
    <w:rsid w:val="005A7AC6"/>
    <w:rsid w:val="005B0A51"/>
    <w:rsid w:val="005B0A93"/>
    <w:rsid w:val="005B0C99"/>
    <w:rsid w:val="005B343F"/>
    <w:rsid w:val="005B386F"/>
    <w:rsid w:val="005B3945"/>
    <w:rsid w:val="005B680D"/>
    <w:rsid w:val="005C0676"/>
    <w:rsid w:val="005C0B7B"/>
    <w:rsid w:val="005C4168"/>
    <w:rsid w:val="005C458B"/>
    <w:rsid w:val="005C5138"/>
    <w:rsid w:val="005C539B"/>
    <w:rsid w:val="005C73BF"/>
    <w:rsid w:val="005D0025"/>
    <w:rsid w:val="005D0133"/>
    <w:rsid w:val="005D07A9"/>
    <w:rsid w:val="005D1E94"/>
    <w:rsid w:val="005D307B"/>
    <w:rsid w:val="005D4255"/>
    <w:rsid w:val="005D42B0"/>
    <w:rsid w:val="005D503E"/>
    <w:rsid w:val="005D5579"/>
    <w:rsid w:val="005E05EA"/>
    <w:rsid w:val="005E2E26"/>
    <w:rsid w:val="005E2F64"/>
    <w:rsid w:val="005E37B7"/>
    <w:rsid w:val="005E41D3"/>
    <w:rsid w:val="005E51A5"/>
    <w:rsid w:val="005E5771"/>
    <w:rsid w:val="005E5B29"/>
    <w:rsid w:val="005E6CC1"/>
    <w:rsid w:val="005E6DEB"/>
    <w:rsid w:val="005E7B91"/>
    <w:rsid w:val="005F0D39"/>
    <w:rsid w:val="005F2BA5"/>
    <w:rsid w:val="005F3535"/>
    <w:rsid w:val="005F3D06"/>
    <w:rsid w:val="005F3EDC"/>
    <w:rsid w:val="005F41F5"/>
    <w:rsid w:val="005F462E"/>
    <w:rsid w:val="005F474F"/>
    <w:rsid w:val="005F549E"/>
    <w:rsid w:val="005F5BB3"/>
    <w:rsid w:val="005F770D"/>
    <w:rsid w:val="00600149"/>
    <w:rsid w:val="00600C97"/>
    <w:rsid w:val="00601ECB"/>
    <w:rsid w:val="006027CE"/>
    <w:rsid w:val="006031AE"/>
    <w:rsid w:val="00605317"/>
    <w:rsid w:val="00605EA9"/>
    <w:rsid w:val="006065F0"/>
    <w:rsid w:val="00606E6F"/>
    <w:rsid w:val="00607C0D"/>
    <w:rsid w:val="0061123E"/>
    <w:rsid w:val="006118FA"/>
    <w:rsid w:val="00611B12"/>
    <w:rsid w:val="0061288A"/>
    <w:rsid w:val="00612999"/>
    <w:rsid w:val="00613A03"/>
    <w:rsid w:val="00614F9B"/>
    <w:rsid w:val="00616851"/>
    <w:rsid w:val="0061732E"/>
    <w:rsid w:val="006173C0"/>
    <w:rsid w:val="0061789A"/>
    <w:rsid w:val="00617B51"/>
    <w:rsid w:val="00620DE0"/>
    <w:rsid w:val="00623305"/>
    <w:rsid w:val="00623B6E"/>
    <w:rsid w:val="00624C95"/>
    <w:rsid w:val="00624F77"/>
    <w:rsid w:val="006257B9"/>
    <w:rsid w:val="00625BCD"/>
    <w:rsid w:val="00627904"/>
    <w:rsid w:val="00630602"/>
    <w:rsid w:val="006309FE"/>
    <w:rsid w:val="00631DBF"/>
    <w:rsid w:val="00632D57"/>
    <w:rsid w:val="006330F2"/>
    <w:rsid w:val="00635D22"/>
    <w:rsid w:val="00636581"/>
    <w:rsid w:val="00640274"/>
    <w:rsid w:val="006405A2"/>
    <w:rsid w:val="0064185A"/>
    <w:rsid w:val="0064222F"/>
    <w:rsid w:val="006422E3"/>
    <w:rsid w:val="00644789"/>
    <w:rsid w:val="0064493D"/>
    <w:rsid w:val="006454F6"/>
    <w:rsid w:val="00646B32"/>
    <w:rsid w:val="00646C57"/>
    <w:rsid w:val="00646D63"/>
    <w:rsid w:val="006500EF"/>
    <w:rsid w:val="00651613"/>
    <w:rsid w:val="00651E79"/>
    <w:rsid w:val="00651F73"/>
    <w:rsid w:val="0065244C"/>
    <w:rsid w:val="00652970"/>
    <w:rsid w:val="00652AD3"/>
    <w:rsid w:val="00653057"/>
    <w:rsid w:val="00656B31"/>
    <w:rsid w:val="00656DF7"/>
    <w:rsid w:val="0065776A"/>
    <w:rsid w:val="006602A5"/>
    <w:rsid w:val="00661059"/>
    <w:rsid w:val="00661E23"/>
    <w:rsid w:val="00662274"/>
    <w:rsid w:val="00663AE9"/>
    <w:rsid w:val="00664608"/>
    <w:rsid w:val="00667613"/>
    <w:rsid w:val="00670788"/>
    <w:rsid w:val="00670A5F"/>
    <w:rsid w:val="0067222E"/>
    <w:rsid w:val="0067295F"/>
    <w:rsid w:val="00672EEE"/>
    <w:rsid w:val="006730F7"/>
    <w:rsid w:val="006734DA"/>
    <w:rsid w:val="00673B9C"/>
    <w:rsid w:val="00674142"/>
    <w:rsid w:val="00674AE0"/>
    <w:rsid w:val="006768D1"/>
    <w:rsid w:val="00680929"/>
    <w:rsid w:val="00681CC0"/>
    <w:rsid w:val="006821DB"/>
    <w:rsid w:val="0068222D"/>
    <w:rsid w:val="00683660"/>
    <w:rsid w:val="00683A55"/>
    <w:rsid w:val="00683E92"/>
    <w:rsid w:val="00684C42"/>
    <w:rsid w:val="00684C4A"/>
    <w:rsid w:val="006856FC"/>
    <w:rsid w:val="006869AC"/>
    <w:rsid w:val="00686C16"/>
    <w:rsid w:val="006914C0"/>
    <w:rsid w:val="00691D24"/>
    <w:rsid w:val="00694ED6"/>
    <w:rsid w:val="00694F27"/>
    <w:rsid w:val="0069561B"/>
    <w:rsid w:val="00695D1F"/>
    <w:rsid w:val="006964A2"/>
    <w:rsid w:val="00696F3F"/>
    <w:rsid w:val="006B0889"/>
    <w:rsid w:val="006B2A87"/>
    <w:rsid w:val="006B2BC9"/>
    <w:rsid w:val="006B30C3"/>
    <w:rsid w:val="006B3424"/>
    <w:rsid w:val="006B4209"/>
    <w:rsid w:val="006B4390"/>
    <w:rsid w:val="006B4BB5"/>
    <w:rsid w:val="006B6A22"/>
    <w:rsid w:val="006B77AC"/>
    <w:rsid w:val="006B7936"/>
    <w:rsid w:val="006C1E3C"/>
    <w:rsid w:val="006C27EA"/>
    <w:rsid w:val="006C3221"/>
    <w:rsid w:val="006C3C7F"/>
    <w:rsid w:val="006C3DCC"/>
    <w:rsid w:val="006C4157"/>
    <w:rsid w:val="006C452E"/>
    <w:rsid w:val="006C4845"/>
    <w:rsid w:val="006C5C99"/>
    <w:rsid w:val="006D0374"/>
    <w:rsid w:val="006D17A9"/>
    <w:rsid w:val="006D1B24"/>
    <w:rsid w:val="006D3516"/>
    <w:rsid w:val="006D3ABB"/>
    <w:rsid w:val="006D4DD2"/>
    <w:rsid w:val="006D528B"/>
    <w:rsid w:val="006D54D1"/>
    <w:rsid w:val="006D5717"/>
    <w:rsid w:val="006D5802"/>
    <w:rsid w:val="006D5A08"/>
    <w:rsid w:val="006E0772"/>
    <w:rsid w:val="006E07F5"/>
    <w:rsid w:val="006E23A7"/>
    <w:rsid w:val="006E2492"/>
    <w:rsid w:val="006E2C3F"/>
    <w:rsid w:val="006E4339"/>
    <w:rsid w:val="006E5D96"/>
    <w:rsid w:val="006E7156"/>
    <w:rsid w:val="006E7A60"/>
    <w:rsid w:val="006F5614"/>
    <w:rsid w:val="006F5EFB"/>
    <w:rsid w:val="006F608E"/>
    <w:rsid w:val="006F6FCA"/>
    <w:rsid w:val="006F71B6"/>
    <w:rsid w:val="006F76A8"/>
    <w:rsid w:val="006F77A0"/>
    <w:rsid w:val="00700A5B"/>
    <w:rsid w:val="007014B2"/>
    <w:rsid w:val="007018BE"/>
    <w:rsid w:val="00701B50"/>
    <w:rsid w:val="00702FAF"/>
    <w:rsid w:val="00704630"/>
    <w:rsid w:val="00704AF1"/>
    <w:rsid w:val="0070561C"/>
    <w:rsid w:val="007059F6"/>
    <w:rsid w:val="0070636C"/>
    <w:rsid w:val="00707077"/>
    <w:rsid w:val="007076E1"/>
    <w:rsid w:val="00707986"/>
    <w:rsid w:val="00711227"/>
    <w:rsid w:val="0071195A"/>
    <w:rsid w:val="00712677"/>
    <w:rsid w:val="00712E96"/>
    <w:rsid w:val="007136F8"/>
    <w:rsid w:val="00714AF0"/>
    <w:rsid w:val="00715DF9"/>
    <w:rsid w:val="00717154"/>
    <w:rsid w:val="0071784A"/>
    <w:rsid w:val="007201B8"/>
    <w:rsid w:val="00720409"/>
    <w:rsid w:val="00720B37"/>
    <w:rsid w:val="007211A3"/>
    <w:rsid w:val="007218DF"/>
    <w:rsid w:val="007224F2"/>
    <w:rsid w:val="007227C7"/>
    <w:rsid w:val="00724F11"/>
    <w:rsid w:val="00725F3E"/>
    <w:rsid w:val="00726210"/>
    <w:rsid w:val="007265A6"/>
    <w:rsid w:val="007265EB"/>
    <w:rsid w:val="007268C2"/>
    <w:rsid w:val="0072742E"/>
    <w:rsid w:val="0072782A"/>
    <w:rsid w:val="00730AEF"/>
    <w:rsid w:val="00730DED"/>
    <w:rsid w:val="00730FA6"/>
    <w:rsid w:val="007319AD"/>
    <w:rsid w:val="00732200"/>
    <w:rsid w:val="007343D0"/>
    <w:rsid w:val="007348C5"/>
    <w:rsid w:val="00734A54"/>
    <w:rsid w:val="007354F9"/>
    <w:rsid w:val="007356DD"/>
    <w:rsid w:val="00736411"/>
    <w:rsid w:val="0074049E"/>
    <w:rsid w:val="00741985"/>
    <w:rsid w:val="00742154"/>
    <w:rsid w:val="007421E0"/>
    <w:rsid w:val="0074537A"/>
    <w:rsid w:val="00745BBF"/>
    <w:rsid w:val="007471C7"/>
    <w:rsid w:val="007504B5"/>
    <w:rsid w:val="00750798"/>
    <w:rsid w:val="00751247"/>
    <w:rsid w:val="00751517"/>
    <w:rsid w:val="00751AED"/>
    <w:rsid w:val="00751E55"/>
    <w:rsid w:val="007533C6"/>
    <w:rsid w:val="00754FDE"/>
    <w:rsid w:val="00756608"/>
    <w:rsid w:val="00756B78"/>
    <w:rsid w:val="00756D22"/>
    <w:rsid w:val="00756EDF"/>
    <w:rsid w:val="00757343"/>
    <w:rsid w:val="0075762C"/>
    <w:rsid w:val="00760B65"/>
    <w:rsid w:val="00761A98"/>
    <w:rsid w:val="00761EF0"/>
    <w:rsid w:val="0076238F"/>
    <w:rsid w:val="007628FC"/>
    <w:rsid w:val="00762FDB"/>
    <w:rsid w:val="00763ADB"/>
    <w:rsid w:val="007643C7"/>
    <w:rsid w:val="00765239"/>
    <w:rsid w:val="007669CB"/>
    <w:rsid w:val="0076784B"/>
    <w:rsid w:val="00767C02"/>
    <w:rsid w:val="0077164B"/>
    <w:rsid w:val="00771ABF"/>
    <w:rsid w:val="00771E8E"/>
    <w:rsid w:val="007724A5"/>
    <w:rsid w:val="007724E0"/>
    <w:rsid w:val="00773085"/>
    <w:rsid w:val="00775A63"/>
    <w:rsid w:val="00776388"/>
    <w:rsid w:val="00777177"/>
    <w:rsid w:val="007777BF"/>
    <w:rsid w:val="00780568"/>
    <w:rsid w:val="00780A5C"/>
    <w:rsid w:val="00781954"/>
    <w:rsid w:val="00781F67"/>
    <w:rsid w:val="00782D71"/>
    <w:rsid w:val="00783D53"/>
    <w:rsid w:val="0078499A"/>
    <w:rsid w:val="0078554D"/>
    <w:rsid w:val="00785915"/>
    <w:rsid w:val="00785B5F"/>
    <w:rsid w:val="00786363"/>
    <w:rsid w:val="00786DD8"/>
    <w:rsid w:val="00786F88"/>
    <w:rsid w:val="00787ADC"/>
    <w:rsid w:val="007908E7"/>
    <w:rsid w:val="00792980"/>
    <w:rsid w:val="00793E2E"/>
    <w:rsid w:val="00793F59"/>
    <w:rsid w:val="00796926"/>
    <w:rsid w:val="00796F56"/>
    <w:rsid w:val="007974CC"/>
    <w:rsid w:val="007975A9"/>
    <w:rsid w:val="0079763A"/>
    <w:rsid w:val="007A07A6"/>
    <w:rsid w:val="007A1834"/>
    <w:rsid w:val="007A236C"/>
    <w:rsid w:val="007A3EFE"/>
    <w:rsid w:val="007A4074"/>
    <w:rsid w:val="007A50FD"/>
    <w:rsid w:val="007A5ADE"/>
    <w:rsid w:val="007A5FD8"/>
    <w:rsid w:val="007A6A33"/>
    <w:rsid w:val="007A6E4E"/>
    <w:rsid w:val="007A7058"/>
    <w:rsid w:val="007B0ABB"/>
    <w:rsid w:val="007B0DD4"/>
    <w:rsid w:val="007B114B"/>
    <w:rsid w:val="007B1973"/>
    <w:rsid w:val="007B242F"/>
    <w:rsid w:val="007B270C"/>
    <w:rsid w:val="007B35EA"/>
    <w:rsid w:val="007B38F5"/>
    <w:rsid w:val="007B3FE4"/>
    <w:rsid w:val="007B4F42"/>
    <w:rsid w:val="007B5C4E"/>
    <w:rsid w:val="007B641C"/>
    <w:rsid w:val="007B6C1F"/>
    <w:rsid w:val="007B7FF0"/>
    <w:rsid w:val="007C000C"/>
    <w:rsid w:val="007C0456"/>
    <w:rsid w:val="007C0731"/>
    <w:rsid w:val="007C1CC9"/>
    <w:rsid w:val="007C2153"/>
    <w:rsid w:val="007C3066"/>
    <w:rsid w:val="007C34C5"/>
    <w:rsid w:val="007C3502"/>
    <w:rsid w:val="007C3E0E"/>
    <w:rsid w:val="007C4273"/>
    <w:rsid w:val="007C5785"/>
    <w:rsid w:val="007C63E3"/>
    <w:rsid w:val="007C6C08"/>
    <w:rsid w:val="007D0CAB"/>
    <w:rsid w:val="007D10EF"/>
    <w:rsid w:val="007D1AE6"/>
    <w:rsid w:val="007D317D"/>
    <w:rsid w:val="007D421C"/>
    <w:rsid w:val="007D4317"/>
    <w:rsid w:val="007D46F6"/>
    <w:rsid w:val="007D5461"/>
    <w:rsid w:val="007D7AB0"/>
    <w:rsid w:val="007E10A0"/>
    <w:rsid w:val="007E2094"/>
    <w:rsid w:val="007E2793"/>
    <w:rsid w:val="007E631C"/>
    <w:rsid w:val="007E6671"/>
    <w:rsid w:val="007E70C3"/>
    <w:rsid w:val="007F034D"/>
    <w:rsid w:val="007F1AC4"/>
    <w:rsid w:val="007F2056"/>
    <w:rsid w:val="007F2093"/>
    <w:rsid w:val="007F34D9"/>
    <w:rsid w:val="007F5D07"/>
    <w:rsid w:val="007F612D"/>
    <w:rsid w:val="007F666B"/>
    <w:rsid w:val="0080022F"/>
    <w:rsid w:val="0080080F"/>
    <w:rsid w:val="00802EEA"/>
    <w:rsid w:val="00803CA7"/>
    <w:rsid w:val="00803F3A"/>
    <w:rsid w:val="00804D48"/>
    <w:rsid w:val="00806790"/>
    <w:rsid w:val="00807DB4"/>
    <w:rsid w:val="008122FC"/>
    <w:rsid w:val="00813365"/>
    <w:rsid w:val="00813895"/>
    <w:rsid w:val="008147C3"/>
    <w:rsid w:val="00814EB8"/>
    <w:rsid w:val="00815653"/>
    <w:rsid w:val="00815B9F"/>
    <w:rsid w:val="00816284"/>
    <w:rsid w:val="00820D4A"/>
    <w:rsid w:val="0082206F"/>
    <w:rsid w:val="00822078"/>
    <w:rsid w:val="008221DD"/>
    <w:rsid w:val="00822271"/>
    <w:rsid w:val="00822884"/>
    <w:rsid w:val="00822B68"/>
    <w:rsid w:val="0082314F"/>
    <w:rsid w:val="00823227"/>
    <w:rsid w:val="00824F0B"/>
    <w:rsid w:val="00826B59"/>
    <w:rsid w:val="00827330"/>
    <w:rsid w:val="008315CB"/>
    <w:rsid w:val="00833169"/>
    <w:rsid w:val="008338ED"/>
    <w:rsid w:val="00834027"/>
    <w:rsid w:val="00834086"/>
    <w:rsid w:val="00834272"/>
    <w:rsid w:val="00835A14"/>
    <w:rsid w:val="008366ED"/>
    <w:rsid w:val="0083726B"/>
    <w:rsid w:val="00837EC9"/>
    <w:rsid w:val="00841A2F"/>
    <w:rsid w:val="00844BDB"/>
    <w:rsid w:val="00844DD9"/>
    <w:rsid w:val="008451E2"/>
    <w:rsid w:val="00845A3B"/>
    <w:rsid w:val="00845D7C"/>
    <w:rsid w:val="00846549"/>
    <w:rsid w:val="0084755D"/>
    <w:rsid w:val="0084773C"/>
    <w:rsid w:val="00847B70"/>
    <w:rsid w:val="00847D01"/>
    <w:rsid w:val="00851D44"/>
    <w:rsid w:val="00851EC1"/>
    <w:rsid w:val="00853251"/>
    <w:rsid w:val="0085473C"/>
    <w:rsid w:val="00854CF0"/>
    <w:rsid w:val="008553C2"/>
    <w:rsid w:val="008554E7"/>
    <w:rsid w:val="00856450"/>
    <w:rsid w:val="008576D0"/>
    <w:rsid w:val="00860AE6"/>
    <w:rsid w:val="00862F67"/>
    <w:rsid w:val="008636B4"/>
    <w:rsid w:val="0086451C"/>
    <w:rsid w:val="00864B38"/>
    <w:rsid w:val="00864D42"/>
    <w:rsid w:val="008662A3"/>
    <w:rsid w:val="00866467"/>
    <w:rsid w:val="00867993"/>
    <w:rsid w:val="00867A17"/>
    <w:rsid w:val="00870A83"/>
    <w:rsid w:val="00870B3A"/>
    <w:rsid w:val="00871670"/>
    <w:rsid w:val="00871EEA"/>
    <w:rsid w:val="008727EC"/>
    <w:rsid w:val="00873D86"/>
    <w:rsid w:val="00874BD5"/>
    <w:rsid w:val="00875F51"/>
    <w:rsid w:val="00880815"/>
    <w:rsid w:val="0088094E"/>
    <w:rsid w:val="008821CC"/>
    <w:rsid w:val="00882CBB"/>
    <w:rsid w:val="008833FC"/>
    <w:rsid w:val="00883B01"/>
    <w:rsid w:val="008855BB"/>
    <w:rsid w:val="00886D71"/>
    <w:rsid w:val="00887F5C"/>
    <w:rsid w:val="00890BEC"/>
    <w:rsid w:val="00890E3F"/>
    <w:rsid w:val="00891502"/>
    <w:rsid w:val="00891A11"/>
    <w:rsid w:val="008952EA"/>
    <w:rsid w:val="0089722C"/>
    <w:rsid w:val="008A068F"/>
    <w:rsid w:val="008A159F"/>
    <w:rsid w:val="008A2643"/>
    <w:rsid w:val="008A2C14"/>
    <w:rsid w:val="008A3723"/>
    <w:rsid w:val="008A4218"/>
    <w:rsid w:val="008A4271"/>
    <w:rsid w:val="008A5F76"/>
    <w:rsid w:val="008A6294"/>
    <w:rsid w:val="008A6624"/>
    <w:rsid w:val="008A6A1D"/>
    <w:rsid w:val="008B0869"/>
    <w:rsid w:val="008B0962"/>
    <w:rsid w:val="008B0AC5"/>
    <w:rsid w:val="008B1D78"/>
    <w:rsid w:val="008B2F03"/>
    <w:rsid w:val="008B2F3A"/>
    <w:rsid w:val="008B3D14"/>
    <w:rsid w:val="008B4749"/>
    <w:rsid w:val="008B5F80"/>
    <w:rsid w:val="008B7A85"/>
    <w:rsid w:val="008C2C8B"/>
    <w:rsid w:val="008C2CD0"/>
    <w:rsid w:val="008C2DC6"/>
    <w:rsid w:val="008C35EE"/>
    <w:rsid w:val="008C39D9"/>
    <w:rsid w:val="008C39EE"/>
    <w:rsid w:val="008C4610"/>
    <w:rsid w:val="008C492D"/>
    <w:rsid w:val="008C4D4B"/>
    <w:rsid w:val="008C5AE2"/>
    <w:rsid w:val="008C5F11"/>
    <w:rsid w:val="008C5F1C"/>
    <w:rsid w:val="008C64C8"/>
    <w:rsid w:val="008C69B6"/>
    <w:rsid w:val="008C6F32"/>
    <w:rsid w:val="008C7560"/>
    <w:rsid w:val="008C75D6"/>
    <w:rsid w:val="008C7C8E"/>
    <w:rsid w:val="008D0521"/>
    <w:rsid w:val="008D2A39"/>
    <w:rsid w:val="008D5E2A"/>
    <w:rsid w:val="008D61CA"/>
    <w:rsid w:val="008D6C11"/>
    <w:rsid w:val="008D6D2C"/>
    <w:rsid w:val="008D7161"/>
    <w:rsid w:val="008D7896"/>
    <w:rsid w:val="008E10B0"/>
    <w:rsid w:val="008E17B2"/>
    <w:rsid w:val="008E21A0"/>
    <w:rsid w:val="008E301E"/>
    <w:rsid w:val="008E32E9"/>
    <w:rsid w:val="008E360C"/>
    <w:rsid w:val="008E3EA8"/>
    <w:rsid w:val="008E41EF"/>
    <w:rsid w:val="008E467B"/>
    <w:rsid w:val="008E5506"/>
    <w:rsid w:val="008E5511"/>
    <w:rsid w:val="008E5F80"/>
    <w:rsid w:val="008E5F8C"/>
    <w:rsid w:val="008E6BB0"/>
    <w:rsid w:val="008E7FDA"/>
    <w:rsid w:val="008F038D"/>
    <w:rsid w:val="008F1324"/>
    <w:rsid w:val="008F37B0"/>
    <w:rsid w:val="008F3853"/>
    <w:rsid w:val="008F3BB1"/>
    <w:rsid w:val="008F4BBA"/>
    <w:rsid w:val="008F5392"/>
    <w:rsid w:val="008F5BF9"/>
    <w:rsid w:val="008F6A9F"/>
    <w:rsid w:val="008F79DF"/>
    <w:rsid w:val="008F7B06"/>
    <w:rsid w:val="0090001A"/>
    <w:rsid w:val="00900EBC"/>
    <w:rsid w:val="00900F08"/>
    <w:rsid w:val="00901CF5"/>
    <w:rsid w:val="00902EB1"/>
    <w:rsid w:val="00903D48"/>
    <w:rsid w:val="00904067"/>
    <w:rsid w:val="00904888"/>
    <w:rsid w:val="00904EF0"/>
    <w:rsid w:val="00905028"/>
    <w:rsid w:val="00905884"/>
    <w:rsid w:val="00905BA2"/>
    <w:rsid w:val="00906051"/>
    <w:rsid w:val="00906F72"/>
    <w:rsid w:val="00907575"/>
    <w:rsid w:val="009108A0"/>
    <w:rsid w:val="00910CDA"/>
    <w:rsid w:val="009116B9"/>
    <w:rsid w:val="0091207D"/>
    <w:rsid w:val="00912829"/>
    <w:rsid w:val="0091493D"/>
    <w:rsid w:val="0091523B"/>
    <w:rsid w:val="00915325"/>
    <w:rsid w:val="00915E60"/>
    <w:rsid w:val="00915F28"/>
    <w:rsid w:val="00916679"/>
    <w:rsid w:val="00917411"/>
    <w:rsid w:val="009176D6"/>
    <w:rsid w:val="00917FC4"/>
    <w:rsid w:val="009200DB"/>
    <w:rsid w:val="00920F66"/>
    <w:rsid w:val="00922544"/>
    <w:rsid w:val="009258F8"/>
    <w:rsid w:val="0093083B"/>
    <w:rsid w:val="00930EC5"/>
    <w:rsid w:val="00930EFE"/>
    <w:rsid w:val="009315F8"/>
    <w:rsid w:val="00932747"/>
    <w:rsid w:val="00936028"/>
    <w:rsid w:val="00936982"/>
    <w:rsid w:val="009369DE"/>
    <w:rsid w:val="00936F9F"/>
    <w:rsid w:val="009420A9"/>
    <w:rsid w:val="009425D7"/>
    <w:rsid w:val="009429CC"/>
    <w:rsid w:val="0094391B"/>
    <w:rsid w:val="009446F3"/>
    <w:rsid w:val="009468D3"/>
    <w:rsid w:val="00946B60"/>
    <w:rsid w:val="00946D8C"/>
    <w:rsid w:val="00946F05"/>
    <w:rsid w:val="0095008B"/>
    <w:rsid w:val="009503AB"/>
    <w:rsid w:val="00951BF9"/>
    <w:rsid w:val="00951F0B"/>
    <w:rsid w:val="009525AC"/>
    <w:rsid w:val="00953E6D"/>
    <w:rsid w:val="0095410E"/>
    <w:rsid w:val="00955216"/>
    <w:rsid w:val="00955BB8"/>
    <w:rsid w:val="00956BAB"/>
    <w:rsid w:val="00957322"/>
    <w:rsid w:val="009623F3"/>
    <w:rsid w:val="009639CC"/>
    <w:rsid w:val="00963E6B"/>
    <w:rsid w:val="00964703"/>
    <w:rsid w:val="00964A9D"/>
    <w:rsid w:val="009659BF"/>
    <w:rsid w:val="00966C33"/>
    <w:rsid w:val="00967A09"/>
    <w:rsid w:val="00970945"/>
    <w:rsid w:val="00971566"/>
    <w:rsid w:val="00975167"/>
    <w:rsid w:val="0097554E"/>
    <w:rsid w:val="00975E41"/>
    <w:rsid w:val="009762C3"/>
    <w:rsid w:val="00977563"/>
    <w:rsid w:val="00977CDD"/>
    <w:rsid w:val="00980311"/>
    <w:rsid w:val="009810EF"/>
    <w:rsid w:val="00981256"/>
    <w:rsid w:val="00981374"/>
    <w:rsid w:val="0098173E"/>
    <w:rsid w:val="00981864"/>
    <w:rsid w:val="009826EE"/>
    <w:rsid w:val="00982DEB"/>
    <w:rsid w:val="00983015"/>
    <w:rsid w:val="009836CC"/>
    <w:rsid w:val="0098380C"/>
    <w:rsid w:val="0098480F"/>
    <w:rsid w:val="00985683"/>
    <w:rsid w:val="009856BF"/>
    <w:rsid w:val="0098617B"/>
    <w:rsid w:val="00986228"/>
    <w:rsid w:val="00987250"/>
    <w:rsid w:val="00990395"/>
    <w:rsid w:val="009904B3"/>
    <w:rsid w:val="00990D52"/>
    <w:rsid w:val="00991680"/>
    <w:rsid w:val="00992E83"/>
    <w:rsid w:val="0099355A"/>
    <w:rsid w:val="00994490"/>
    <w:rsid w:val="00994FCC"/>
    <w:rsid w:val="009951D5"/>
    <w:rsid w:val="00995701"/>
    <w:rsid w:val="00995A25"/>
    <w:rsid w:val="00995F78"/>
    <w:rsid w:val="00997157"/>
    <w:rsid w:val="00997ADA"/>
    <w:rsid w:val="009A034C"/>
    <w:rsid w:val="009A052D"/>
    <w:rsid w:val="009A09A4"/>
    <w:rsid w:val="009A11E2"/>
    <w:rsid w:val="009A183E"/>
    <w:rsid w:val="009A1EB1"/>
    <w:rsid w:val="009A2821"/>
    <w:rsid w:val="009A2E27"/>
    <w:rsid w:val="009A40F6"/>
    <w:rsid w:val="009A5D20"/>
    <w:rsid w:val="009A6296"/>
    <w:rsid w:val="009A757A"/>
    <w:rsid w:val="009B0287"/>
    <w:rsid w:val="009B090A"/>
    <w:rsid w:val="009B0E2B"/>
    <w:rsid w:val="009B5F3A"/>
    <w:rsid w:val="009B6886"/>
    <w:rsid w:val="009B6D0A"/>
    <w:rsid w:val="009B75E0"/>
    <w:rsid w:val="009C0ECA"/>
    <w:rsid w:val="009C2261"/>
    <w:rsid w:val="009C3359"/>
    <w:rsid w:val="009C53D0"/>
    <w:rsid w:val="009C6E69"/>
    <w:rsid w:val="009C7A8E"/>
    <w:rsid w:val="009D0F12"/>
    <w:rsid w:val="009D12CC"/>
    <w:rsid w:val="009D18B4"/>
    <w:rsid w:val="009D2369"/>
    <w:rsid w:val="009D340C"/>
    <w:rsid w:val="009D368A"/>
    <w:rsid w:val="009D49A7"/>
    <w:rsid w:val="009D525E"/>
    <w:rsid w:val="009D7546"/>
    <w:rsid w:val="009D75E4"/>
    <w:rsid w:val="009E00E3"/>
    <w:rsid w:val="009E0D13"/>
    <w:rsid w:val="009E0D8C"/>
    <w:rsid w:val="009E116A"/>
    <w:rsid w:val="009E36CB"/>
    <w:rsid w:val="009E46D0"/>
    <w:rsid w:val="009E532E"/>
    <w:rsid w:val="009E5965"/>
    <w:rsid w:val="009E59FC"/>
    <w:rsid w:val="009E5F4A"/>
    <w:rsid w:val="009E7A89"/>
    <w:rsid w:val="009F087A"/>
    <w:rsid w:val="009F3D23"/>
    <w:rsid w:val="009F3E86"/>
    <w:rsid w:val="009F5478"/>
    <w:rsid w:val="009F66D8"/>
    <w:rsid w:val="009F6888"/>
    <w:rsid w:val="009F7370"/>
    <w:rsid w:val="009F76DE"/>
    <w:rsid w:val="009F7ADF"/>
    <w:rsid w:val="009F7D7D"/>
    <w:rsid w:val="009F7F75"/>
    <w:rsid w:val="00A006D0"/>
    <w:rsid w:val="00A01051"/>
    <w:rsid w:val="00A01862"/>
    <w:rsid w:val="00A03F49"/>
    <w:rsid w:val="00A0404C"/>
    <w:rsid w:val="00A0505E"/>
    <w:rsid w:val="00A07A23"/>
    <w:rsid w:val="00A1182A"/>
    <w:rsid w:val="00A1272A"/>
    <w:rsid w:val="00A12E53"/>
    <w:rsid w:val="00A154F1"/>
    <w:rsid w:val="00A163B7"/>
    <w:rsid w:val="00A1641D"/>
    <w:rsid w:val="00A16C05"/>
    <w:rsid w:val="00A16C24"/>
    <w:rsid w:val="00A17249"/>
    <w:rsid w:val="00A2135E"/>
    <w:rsid w:val="00A22A9C"/>
    <w:rsid w:val="00A22AF8"/>
    <w:rsid w:val="00A2381B"/>
    <w:rsid w:val="00A23910"/>
    <w:rsid w:val="00A23D86"/>
    <w:rsid w:val="00A24AF3"/>
    <w:rsid w:val="00A25BA6"/>
    <w:rsid w:val="00A26B4B"/>
    <w:rsid w:val="00A26C1B"/>
    <w:rsid w:val="00A2788A"/>
    <w:rsid w:val="00A27AD3"/>
    <w:rsid w:val="00A27C94"/>
    <w:rsid w:val="00A3092C"/>
    <w:rsid w:val="00A31372"/>
    <w:rsid w:val="00A3216D"/>
    <w:rsid w:val="00A33F34"/>
    <w:rsid w:val="00A34C9F"/>
    <w:rsid w:val="00A35F20"/>
    <w:rsid w:val="00A360AC"/>
    <w:rsid w:val="00A3761D"/>
    <w:rsid w:val="00A37FEF"/>
    <w:rsid w:val="00A409DA"/>
    <w:rsid w:val="00A40B7E"/>
    <w:rsid w:val="00A4127F"/>
    <w:rsid w:val="00A41822"/>
    <w:rsid w:val="00A41A87"/>
    <w:rsid w:val="00A41C22"/>
    <w:rsid w:val="00A431ED"/>
    <w:rsid w:val="00A43490"/>
    <w:rsid w:val="00A44999"/>
    <w:rsid w:val="00A44D48"/>
    <w:rsid w:val="00A4592F"/>
    <w:rsid w:val="00A45B8E"/>
    <w:rsid w:val="00A463E6"/>
    <w:rsid w:val="00A472F0"/>
    <w:rsid w:val="00A47900"/>
    <w:rsid w:val="00A518CD"/>
    <w:rsid w:val="00A52E2F"/>
    <w:rsid w:val="00A56337"/>
    <w:rsid w:val="00A565BF"/>
    <w:rsid w:val="00A56D51"/>
    <w:rsid w:val="00A57925"/>
    <w:rsid w:val="00A57A62"/>
    <w:rsid w:val="00A61747"/>
    <w:rsid w:val="00A6259C"/>
    <w:rsid w:val="00A63860"/>
    <w:rsid w:val="00A64B86"/>
    <w:rsid w:val="00A6569B"/>
    <w:rsid w:val="00A66071"/>
    <w:rsid w:val="00A706FF"/>
    <w:rsid w:val="00A70C9E"/>
    <w:rsid w:val="00A720B6"/>
    <w:rsid w:val="00A72B9E"/>
    <w:rsid w:val="00A72FF0"/>
    <w:rsid w:val="00A73E70"/>
    <w:rsid w:val="00A75991"/>
    <w:rsid w:val="00A7685B"/>
    <w:rsid w:val="00A804D7"/>
    <w:rsid w:val="00A816C6"/>
    <w:rsid w:val="00A81EB8"/>
    <w:rsid w:val="00A8304E"/>
    <w:rsid w:val="00A839A3"/>
    <w:rsid w:val="00A839D4"/>
    <w:rsid w:val="00A83CB2"/>
    <w:rsid w:val="00A851AE"/>
    <w:rsid w:val="00A856BB"/>
    <w:rsid w:val="00A85DF1"/>
    <w:rsid w:val="00A8602F"/>
    <w:rsid w:val="00A86FE0"/>
    <w:rsid w:val="00A87BFA"/>
    <w:rsid w:val="00A91CAB"/>
    <w:rsid w:val="00A93759"/>
    <w:rsid w:val="00A94D96"/>
    <w:rsid w:val="00A95212"/>
    <w:rsid w:val="00A96ED5"/>
    <w:rsid w:val="00A9731F"/>
    <w:rsid w:val="00AA019C"/>
    <w:rsid w:val="00AA067A"/>
    <w:rsid w:val="00AA0CA9"/>
    <w:rsid w:val="00AA1473"/>
    <w:rsid w:val="00AA1C1B"/>
    <w:rsid w:val="00AA26A0"/>
    <w:rsid w:val="00AA324F"/>
    <w:rsid w:val="00AA3C22"/>
    <w:rsid w:val="00AA3E65"/>
    <w:rsid w:val="00AA4181"/>
    <w:rsid w:val="00AA4384"/>
    <w:rsid w:val="00AA5746"/>
    <w:rsid w:val="00AA5D1A"/>
    <w:rsid w:val="00AA6921"/>
    <w:rsid w:val="00AA6A1C"/>
    <w:rsid w:val="00AA78A3"/>
    <w:rsid w:val="00AA7AF5"/>
    <w:rsid w:val="00AB09A6"/>
    <w:rsid w:val="00AB1218"/>
    <w:rsid w:val="00AB1BB6"/>
    <w:rsid w:val="00AB2596"/>
    <w:rsid w:val="00AB2BC2"/>
    <w:rsid w:val="00AB2C99"/>
    <w:rsid w:val="00AB2E34"/>
    <w:rsid w:val="00AB4F27"/>
    <w:rsid w:val="00AB575D"/>
    <w:rsid w:val="00AB7118"/>
    <w:rsid w:val="00AB7D46"/>
    <w:rsid w:val="00AC03C6"/>
    <w:rsid w:val="00AC04C3"/>
    <w:rsid w:val="00AC0FDA"/>
    <w:rsid w:val="00AC1D70"/>
    <w:rsid w:val="00AC2099"/>
    <w:rsid w:val="00AC2476"/>
    <w:rsid w:val="00AC3CC9"/>
    <w:rsid w:val="00AC6198"/>
    <w:rsid w:val="00AD0299"/>
    <w:rsid w:val="00AD1ABA"/>
    <w:rsid w:val="00AD1BE4"/>
    <w:rsid w:val="00AD219C"/>
    <w:rsid w:val="00AD37B9"/>
    <w:rsid w:val="00AD386D"/>
    <w:rsid w:val="00AD42C4"/>
    <w:rsid w:val="00AD5199"/>
    <w:rsid w:val="00AD5449"/>
    <w:rsid w:val="00AD607A"/>
    <w:rsid w:val="00AE0E2C"/>
    <w:rsid w:val="00AE2C75"/>
    <w:rsid w:val="00AE3F77"/>
    <w:rsid w:val="00AE40A7"/>
    <w:rsid w:val="00AE4D0B"/>
    <w:rsid w:val="00AE5D26"/>
    <w:rsid w:val="00AE5F05"/>
    <w:rsid w:val="00AE6406"/>
    <w:rsid w:val="00AE7279"/>
    <w:rsid w:val="00AE7590"/>
    <w:rsid w:val="00AE7854"/>
    <w:rsid w:val="00AE7C2B"/>
    <w:rsid w:val="00AF25B1"/>
    <w:rsid w:val="00AF4752"/>
    <w:rsid w:val="00AF5258"/>
    <w:rsid w:val="00AF60CC"/>
    <w:rsid w:val="00AF620F"/>
    <w:rsid w:val="00AF65DC"/>
    <w:rsid w:val="00AF747A"/>
    <w:rsid w:val="00B01A91"/>
    <w:rsid w:val="00B02A03"/>
    <w:rsid w:val="00B03BEB"/>
    <w:rsid w:val="00B0497D"/>
    <w:rsid w:val="00B04EB4"/>
    <w:rsid w:val="00B06B92"/>
    <w:rsid w:val="00B07095"/>
    <w:rsid w:val="00B072C5"/>
    <w:rsid w:val="00B07CA6"/>
    <w:rsid w:val="00B107A1"/>
    <w:rsid w:val="00B10AE3"/>
    <w:rsid w:val="00B110E5"/>
    <w:rsid w:val="00B13025"/>
    <w:rsid w:val="00B13055"/>
    <w:rsid w:val="00B131A9"/>
    <w:rsid w:val="00B14FA5"/>
    <w:rsid w:val="00B14FCA"/>
    <w:rsid w:val="00B1609E"/>
    <w:rsid w:val="00B1664D"/>
    <w:rsid w:val="00B16699"/>
    <w:rsid w:val="00B21AD1"/>
    <w:rsid w:val="00B21BFC"/>
    <w:rsid w:val="00B2232F"/>
    <w:rsid w:val="00B227A1"/>
    <w:rsid w:val="00B22BBB"/>
    <w:rsid w:val="00B2510B"/>
    <w:rsid w:val="00B2549B"/>
    <w:rsid w:val="00B25A5C"/>
    <w:rsid w:val="00B25BDD"/>
    <w:rsid w:val="00B25CF1"/>
    <w:rsid w:val="00B263BB"/>
    <w:rsid w:val="00B26EB6"/>
    <w:rsid w:val="00B30066"/>
    <w:rsid w:val="00B31399"/>
    <w:rsid w:val="00B313E0"/>
    <w:rsid w:val="00B317E0"/>
    <w:rsid w:val="00B31B85"/>
    <w:rsid w:val="00B31E30"/>
    <w:rsid w:val="00B320D3"/>
    <w:rsid w:val="00B32118"/>
    <w:rsid w:val="00B322A0"/>
    <w:rsid w:val="00B325A3"/>
    <w:rsid w:val="00B3270E"/>
    <w:rsid w:val="00B34CF0"/>
    <w:rsid w:val="00B350D7"/>
    <w:rsid w:val="00B35187"/>
    <w:rsid w:val="00B3670C"/>
    <w:rsid w:val="00B3790D"/>
    <w:rsid w:val="00B37B70"/>
    <w:rsid w:val="00B37EA2"/>
    <w:rsid w:val="00B409C9"/>
    <w:rsid w:val="00B41476"/>
    <w:rsid w:val="00B43A3B"/>
    <w:rsid w:val="00B45D99"/>
    <w:rsid w:val="00B4681D"/>
    <w:rsid w:val="00B468E0"/>
    <w:rsid w:val="00B46B9B"/>
    <w:rsid w:val="00B47CF2"/>
    <w:rsid w:val="00B512F6"/>
    <w:rsid w:val="00B51984"/>
    <w:rsid w:val="00B51C0A"/>
    <w:rsid w:val="00B52109"/>
    <w:rsid w:val="00B52913"/>
    <w:rsid w:val="00B53C2E"/>
    <w:rsid w:val="00B54AA4"/>
    <w:rsid w:val="00B54D3C"/>
    <w:rsid w:val="00B563F7"/>
    <w:rsid w:val="00B56C2C"/>
    <w:rsid w:val="00B56E6D"/>
    <w:rsid w:val="00B57356"/>
    <w:rsid w:val="00B5746C"/>
    <w:rsid w:val="00B60736"/>
    <w:rsid w:val="00B61326"/>
    <w:rsid w:val="00B62164"/>
    <w:rsid w:val="00B628B9"/>
    <w:rsid w:val="00B62CCD"/>
    <w:rsid w:val="00B62FDB"/>
    <w:rsid w:val="00B63472"/>
    <w:rsid w:val="00B63570"/>
    <w:rsid w:val="00B63C53"/>
    <w:rsid w:val="00B704C3"/>
    <w:rsid w:val="00B70E92"/>
    <w:rsid w:val="00B72415"/>
    <w:rsid w:val="00B730E6"/>
    <w:rsid w:val="00B731F1"/>
    <w:rsid w:val="00B73EF9"/>
    <w:rsid w:val="00B7593D"/>
    <w:rsid w:val="00B75A77"/>
    <w:rsid w:val="00B77CB4"/>
    <w:rsid w:val="00B804D9"/>
    <w:rsid w:val="00B8492C"/>
    <w:rsid w:val="00B858C1"/>
    <w:rsid w:val="00B858E8"/>
    <w:rsid w:val="00B86C24"/>
    <w:rsid w:val="00B87931"/>
    <w:rsid w:val="00B9016B"/>
    <w:rsid w:val="00B91A53"/>
    <w:rsid w:val="00B926C4"/>
    <w:rsid w:val="00B93AB0"/>
    <w:rsid w:val="00B93BF4"/>
    <w:rsid w:val="00B93DDC"/>
    <w:rsid w:val="00B94532"/>
    <w:rsid w:val="00B95B4D"/>
    <w:rsid w:val="00B962E0"/>
    <w:rsid w:val="00B96950"/>
    <w:rsid w:val="00B96ED7"/>
    <w:rsid w:val="00B97FB4"/>
    <w:rsid w:val="00BA004E"/>
    <w:rsid w:val="00BA0E4D"/>
    <w:rsid w:val="00BA2B9E"/>
    <w:rsid w:val="00BA498A"/>
    <w:rsid w:val="00BA5081"/>
    <w:rsid w:val="00BA6028"/>
    <w:rsid w:val="00BA6F59"/>
    <w:rsid w:val="00BA7AA1"/>
    <w:rsid w:val="00BA7E80"/>
    <w:rsid w:val="00BB1623"/>
    <w:rsid w:val="00BB3991"/>
    <w:rsid w:val="00BB3E23"/>
    <w:rsid w:val="00BB498C"/>
    <w:rsid w:val="00BB5818"/>
    <w:rsid w:val="00BB7EBF"/>
    <w:rsid w:val="00BB7F5B"/>
    <w:rsid w:val="00BC1169"/>
    <w:rsid w:val="00BC1BD3"/>
    <w:rsid w:val="00BC25AD"/>
    <w:rsid w:val="00BC3203"/>
    <w:rsid w:val="00BC3318"/>
    <w:rsid w:val="00BC3468"/>
    <w:rsid w:val="00BC396A"/>
    <w:rsid w:val="00BC5765"/>
    <w:rsid w:val="00BC63C3"/>
    <w:rsid w:val="00BD02A6"/>
    <w:rsid w:val="00BD10BA"/>
    <w:rsid w:val="00BD18F0"/>
    <w:rsid w:val="00BD19C5"/>
    <w:rsid w:val="00BD33A3"/>
    <w:rsid w:val="00BD435F"/>
    <w:rsid w:val="00BD5B3D"/>
    <w:rsid w:val="00BD60E2"/>
    <w:rsid w:val="00BD7899"/>
    <w:rsid w:val="00BE043C"/>
    <w:rsid w:val="00BE1C53"/>
    <w:rsid w:val="00BE2B88"/>
    <w:rsid w:val="00BE340F"/>
    <w:rsid w:val="00BE34E8"/>
    <w:rsid w:val="00BE3C90"/>
    <w:rsid w:val="00BE6C19"/>
    <w:rsid w:val="00BE703A"/>
    <w:rsid w:val="00BE7335"/>
    <w:rsid w:val="00BE7B8F"/>
    <w:rsid w:val="00BE7B95"/>
    <w:rsid w:val="00BF4EE5"/>
    <w:rsid w:val="00BF547F"/>
    <w:rsid w:val="00BF57CF"/>
    <w:rsid w:val="00BF5868"/>
    <w:rsid w:val="00BF5979"/>
    <w:rsid w:val="00C015D1"/>
    <w:rsid w:val="00C0292B"/>
    <w:rsid w:val="00C02B73"/>
    <w:rsid w:val="00C0388F"/>
    <w:rsid w:val="00C044B9"/>
    <w:rsid w:val="00C04D6F"/>
    <w:rsid w:val="00C058A1"/>
    <w:rsid w:val="00C0666A"/>
    <w:rsid w:val="00C12299"/>
    <w:rsid w:val="00C14114"/>
    <w:rsid w:val="00C15C9F"/>
    <w:rsid w:val="00C15D6B"/>
    <w:rsid w:val="00C15F9E"/>
    <w:rsid w:val="00C1647E"/>
    <w:rsid w:val="00C16B10"/>
    <w:rsid w:val="00C1701F"/>
    <w:rsid w:val="00C17D25"/>
    <w:rsid w:val="00C21366"/>
    <w:rsid w:val="00C21E0C"/>
    <w:rsid w:val="00C22E61"/>
    <w:rsid w:val="00C232CB"/>
    <w:rsid w:val="00C235B6"/>
    <w:rsid w:val="00C27392"/>
    <w:rsid w:val="00C3024B"/>
    <w:rsid w:val="00C30AEE"/>
    <w:rsid w:val="00C3120E"/>
    <w:rsid w:val="00C31CBA"/>
    <w:rsid w:val="00C32466"/>
    <w:rsid w:val="00C33F6F"/>
    <w:rsid w:val="00C342FE"/>
    <w:rsid w:val="00C346F0"/>
    <w:rsid w:val="00C34CF8"/>
    <w:rsid w:val="00C34E2B"/>
    <w:rsid w:val="00C40324"/>
    <w:rsid w:val="00C40BB7"/>
    <w:rsid w:val="00C41394"/>
    <w:rsid w:val="00C42BC3"/>
    <w:rsid w:val="00C42DC5"/>
    <w:rsid w:val="00C43782"/>
    <w:rsid w:val="00C45793"/>
    <w:rsid w:val="00C45E67"/>
    <w:rsid w:val="00C461C6"/>
    <w:rsid w:val="00C467C4"/>
    <w:rsid w:val="00C5063D"/>
    <w:rsid w:val="00C509B6"/>
    <w:rsid w:val="00C5184D"/>
    <w:rsid w:val="00C53B12"/>
    <w:rsid w:val="00C544D7"/>
    <w:rsid w:val="00C548EC"/>
    <w:rsid w:val="00C54E3D"/>
    <w:rsid w:val="00C550E9"/>
    <w:rsid w:val="00C55353"/>
    <w:rsid w:val="00C55B29"/>
    <w:rsid w:val="00C5679A"/>
    <w:rsid w:val="00C60809"/>
    <w:rsid w:val="00C61242"/>
    <w:rsid w:val="00C61C19"/>
    <w:rsid w:val="00C63281"/>
    <w:rsid w:val="00C65D49"/>
    <w:rsid w:val="00C66D36"/>
    <w:rsid w:val="00C72442"/>
    <w:rsid w:val="00C72881"/>
    <w:rsid w:val="00C737F2"/>
    <w:rsid w:val="00C73E18"/>
    <w:rsid w:val="00C73EC2"/>
    <w:rsid w:val="00C7499B"/>
    <w:rsid w:val="00C756F5"/>
    <w:rsid w:val="00C81004"/>
    <w:rsid w:val="00C810F1"/>
    <w:rsid w:val="00C81129"/>
    <w:rsid w:val="00C83948"/>
    <w:rsid w:val="00C83B44"/>
    <w:rsid w:val="00C8480B"/>
    <w:rsid w:val="00C84AF7"/>
    <w:rsid w:val="00C851F4"/>
    <w:rsid w:val="00C85C2E"/>
    <w:rsid w:val="00C861A6"/>
    <w:rsid w:val="00C8633B"/>
    <w:rsid w:val="00C87559"/>
    <w:rsid w:val="00C9025E"/>
    <w:rsid w:val="00C91068"/>
    <w:rsid w:val="00C91EB8"/>
    <w:rsid w:val="00C923BC"/>
    <w:rsid w:val="00C924C9"/>
    <w:rsid w:val="00C92F8C"/>
    <w:rsid w:val="00C93207"/>
    <w:rsid w:val="00C95CB6"/>
    <w:rsid w:val="00C96A96"/>
    <w:rsid w:val="00C970FE"/>
    <w:rsid w:val="00C97763"/>
    <w:rsid w:val="00C97792"/>
    <w:rsid w:val="00C97E51"/>
    <w:rsid w:val="00C97F3C"/>
    <w:rsid w:val="00CA11B6"/>
    <w:rsid w:val="00CA1387"/>
    <w:rsid w:val="00CA1421"/>
    <w:rsid w:val="00CA1E13"/>
    <w:rsid w:val="00CA276C"/>
    <w:rsid w:val="00CA6263"/>
    <w:rsid w:val="00CA62EE"/>
    <w:rsid w:val="00CA68A2"/>
    <w:rsid w:val="00CB03AE"/>
    <w:rsid w:val="00CB0494"/>
    <w:rsid w:val="00CB4464"/>
    <w:rsid w:val="00CB4F93"/>
    <w:rsid w:val="00CB54EF"/>
    <w:rsid w:val="00CB5A65"/>
    <w:rsid w:val="00CB6D32"/>
    <w:rsid w:val="00CB7AAB"/>
    <w:rsid w:val="00CC01D8"/>
    <w:rsid w:val="00CC11B4"/>
    <w:rsid w:val="00CC1D19"/>
    <w:rsid w:val="00CC1FEF"/>
    <w:rsid w:val="00CC3CFE"/>
    <w:rsid w:val="00CC4103"/>
    <w:rsid w:val="00CC60B9"/>
    <w:rsid w:val="00CC77CC"/>
    <w:rsid w:val="00CD0DB2"/>
    <w:rsid w:val="00CD1DDB"/>
    <w:rsid w:val="00CD248D"/>
    <w:rsid w:val="00CD429F"/>
    <w:rsid w:val="00CD4A58"/>
    <w:rsid w:val="00CD5DCE"/>
    <w:rsid w:val="00CD707B"/>
    <w:rsid w:val="00CD7101"/>
    <w:rsid w:val="00CD7F71"/>
    <w:rsid w:val="00CE07A6"/>
    <w:rsid w:val="00CE0CB6"/>
    <w:rsid w:val="00CE0EDF"/>
    <w:rsid w:val="00CE1D7F"/>
    <w:rsid w:val="00CE3118"/>
    <w:rsid w:val="00CE402A"/>
    <w:rsid w:val="00CE448F"/>
    <w:rsid w:val="00CE5275"/>
    <w:rsid w:val="00CE5DCF"/>
    <w:rsid w:val="00CE60E9"/>
    <w:rsid w:val="00CE6A0A"/>
    <w:rsid w:val="00CE6D50"/>
    <w:rsid w:val="00CE79B1"/>
    <w:rsid w:val="00CE7D73"/>
    <w:rsid w:val="00CE7E1F"/>
    <w:rsid w:val="00CF0363"/>
    <w:rsid w:val="00CF0E77"/>
    <w:rsid w:val="00CF29BF"/>
    <w:rsid w:val="00CF3B97"/>
    <w:rsid w:val="00CF5051"/>
    <w:rsid w:val="00CF52AC"/>
    <w:rsid w:val="00CF773E"/>
    <w:rsid w:val="00D0115C"/>
    <w:rsid w:val="00D01684"/>
    <w:rsid w:val="00D01B17"/>
    <w:rsid w:val="00D028F9"/>
    <w:rsid w:val="00D04B5D"/>
    <w:rsid w:val="00D052CB"/>
    <w:rsid w:val="00D06DEE"/>
    <w:rsid w:val="00D06F56"/>
    <w:rsid w:val="00D07568"/>
    <w:rsid w:val="00D077F4"/>
    <w:rsid w:val="00D10326"/>
    <w:rsid w:val="00D11F7B"/>
    <w:rsid w:val="00D12A00"/>
    <w:rsid w:val="00D12D2F"/>
    <w:rsid w:val="00D12F6C"/>
    <w:rsid w:val="00D138F2"/>
    <w:rsid w:val="00D13EBC"/>
    <w:rsid w:val="00D1572E"/>
    <w:rsid w:val="00D15C92"/>
    <w:rsid w:val="00D165F4"/>
    <w:rsid w:val="00D1685D"/>
    <w:rsid w:val="00D1706F"/>
    <w:rsid w:val="00D21067"/>
    <w:rsid w:val="00D216BF"/>
    <w:rsid w:val="00D25140"/>
    <w:rsid w:val="00D25292"/>
    <w:rsid w:val="00D25BAF"/>
    <w:rsid w:val="00D30056"/>
    <w:rsid w:val="00D312B4"/>
    <w:rsid w:val="00D3176E"/>
    <w:rsid w:val="00D34AEC"/>
    <w:rsid w:val="00D376FE"/>
    <w:rsid w:val="00D37999"/>
    <w:rsid w:val="00D4035A"/>
    <w:rsid w:val="00D407B5"/>
    <w:rsid w:val="00D40BA8"/>
    <w:rsid w:val="00D414D1"/>
    <w:rsid w:val="00D428F2"/>
    <w:rsid w:val="00D42F83"/>
    <w:rsid w:val="00D438FB"/>
    <w:rsid w:val="00D43AA6"/>
    <w:rsid w:val="00D46034"/>
    <w:rsid w:val="00D46FF2"/>
    <w:rsid w:val="00D50A31"/>
    <w:rsid w:val="00D50CD1"/>
    <w:rsid w:val="00D51864"/>
    <w:rsid w:val="00D53137"/>
    <w:rsid w:val="00D539F2"/>
    <w:rsid w:val="00D55B37"/>
    <w:rsid w:val="00D60668"/>
    <w:rsid w:val="00D6206E"/>
    <w:rsid w:val="00D64174"/>
    <w:rsid w:val="00D64B7B"/>
    <w:rsid w:val="00D64FED"/>
    <w:rsid w:val="00D66339"/>
    <w:rsid w:val="00D66448"/>
    <w:rsid w:val="00D66569"/>
    <w:rsid w:val="00D66B55"/>
    <w:rsid w:val="00D67261"/>
    <w:rsid w:val="00D6740B"/>
    <w:rsid w:val="00D72E8D"/>
    <w:rsid w:val="00D73C6D"/>
    <w:rsid w:val="00D74342"/>
    <w:rsid w:val="00D74446"/>
    <w:rsid w:val="00D74877"/>
    <w:rsid w:val="00D76A42"/>
    <w:rsid w:val="00D76B4A"/>
    <w:rsid w:val="00D7728B"/>
    <w:rsid w:val="00D80981"/>
    <w:rsid w:val="00D819B8"/>
    <w:rsid w:val="00D81D89"/>
    <w:rsid w:val="00D82A58"/>
    <w:rsid w:val="00D82ACC"/>
    <w:rsid w:val="00D840C6"/>
    <w:rsid w:val="00D874E1"/>
    <w:rsid w:val="00D87973"/>
    <w:rsid w:val="00D90FA5"/>
    <w:rsid w:val="00D91D8F"/>
    <w:rsid w:val="00D91E4F"/>
    <w:rsid w:val="00D925C6"/>
    <w:rsid w:val="00D92B0D"/>
    <w:rsid w:val="00D93B9B"/>
    <w:rsid w:val="00D95C42"/>
    <w:rsid w:val="00D96CCA"/>
    <w:rsid w:val="00D97497"/>
    <w:rsid w:val="00D976BF"/>
    <w:rsid w:val="00D9774C"/>
    <w:rsid w:val="00D97AA7"/>
    <w:rsid w:val="00D97D31"/>
    <w:rsid w:val="00DA117A"/>
    <w:rsid w:val="00DA1552"/>
    <w:rsid w:val="00DA1B77"/>
    <w:rsid w:val="00DA1F9C"/>
    <w:rsid w:val="00DA28C6"/>
    <w:rsid w:val="00DA2DF2"/>
    <w:rsid w:val="00DA359A"/>
    <w:rsid w:val="00DA449C"/>
    <w:rsid w:val="00DA4C54"/>
    <w:rsid w:val="00DA4FA2"/>
    <w:rsid w:val="00DA671B"/>
    <w:rsid w:val="00DB23B0"/>
    <w:rsid w:val="00DB348F"/>
    <w:rsid w:val="00DB49D0"/>
    <w:rsid w:val="00DB4D65"/>
    <w:rsid w:val="00DB73E8"/>
    <w:rsid w:val="00DB7858"/>
    <w:rsid w:val="00DC0C33"/>
    <w:rsid w:val="00DC120D"/>
    <w:rsid w:val="00DC13A2"/>
    <w:rsid w:val="00DC1C0F"/>
    <w:rsid w:val="00DC2990"/>
    <w:rsid w:val="00DC29F3"/>
    <w:rsid w:val="00DC2FD7"/>
    <w:rsid w:val="00DC302E"/>
    <w:rsid w:val="00DC408D"/>
    <w:rsid w:val="00DC4760"/>
    <w:rsid w:val="00DC4AC4"/>
    <w:rsid w:val="00DC56EC"/>
    <w:rsid w:val="00DC61EC"/>
    <w:rsid w:val="00DC69DD"/>
    <w:rsid w:val="00DC6A6A"/>
    <w:rsid w:val="00DC79F6"/>
    <w:rsid w:val="00DD1A22"/>
    <w:rsid w:val="00DD36B0"/>
    <w:rsid w:val="00DD3AD6"/>
    <w:rsid w:val="00DD4A98"/>
    <w:rsid w:val="00DD52CC"/>
    <w:rsid w:val="00DD5764"/>
    <w:rsid w:val="00DD7AA8"/>
    <w:rsid w:val="00DD7F43"/>
    <w:rsid w:val="00DE17E3"/>
    <w:rsid w:val="00DE1F43"/>
    <w:rsid w:val="00DE24EA"/>
    <w:rsid w:val="00DE2ADA"/>
    <w:rsid w:val="00DE2DF3"/>
    <w:rsid w:val="00DE4014"/>
    <w:rsid w:val="00DE43B8"/>
    <w:rsid w:val="00DE6599"/>
    <w:rsid w:val="00DE75AE"/>
    <w:rsid w:val="00DF019E"/>
    <w:rsid w:val="00DF0CFE"/>
    <w:rsid w:val="00DF3E8E"/>
    <w:rsid w:val="00DF51C2"/>
    <w:rsid w:val="00DF5363"/>
    <w:rsid w:val="00DF7619"/>
    <w:rsid w:val="00E002C0"/>
    <w:rsid w:val="00E01395"/>
    <w:rsid w:val="00E01772"/>
    <w:rsid w:val="00E01F7A"/>
    <w:rsid w:val="00E02008"/>
    <w:rsid w:val="00E02A72"/>
    <w:rsid w:val="00E036DD"/>
    <w:rsid w:val="00E03A7A"/>
    <w:rsid w:val="00E04122"/>
    <w:rsid w:val="00E04765"/>
    <w:rsid w:val="00E06BA6"/>
    <w:rsid w:val="00E06E6E"/>
    <w:rsid w:val="00E11728"/>
    <w:rsid w:val="00E12AF0"/>
    <w:rsid w:val="00E13631"/>
    <w:rsid w:val="00E14129"/>
    <w:rsid w:val="00E144B1"/>
    <w:rsid w:val="00E1793E"/>
    <w:rsid w:val="00E22054"/>
    <w:rsid w:val="00E22196"/>
    <w:rsid w:val="00E22432"/>
    <w:rsid w:val="00E23477"/>
    <w:rsid w:val="00E2496C"/>
    <w:rsid w:val="00E26CB3"/>
    <w:rsid w:val="00E26E29"/>
    <w:rsid w:val="00E27373"/>
    <w:rsid w:val="00E27644"/>
    <w:rsid w:val="00E30169"/>
    <w:rsid w:val="00E32195"/>
    <w:rsid w:val="00E327D2"/>
    <w:rsid w:val="00E332ED"/>
    <w:rsid w:val="00E35A35"/>
    <w:rsid w:val="00E35D0F"/>
    <w:rsid w:val="00E365A6"/>
    <w:rsid w:val="00E36639"/>
    <w:rsid w:val="00E36F0B"/>
    <w:rsid w:val="00E40159"/>
    <w:rsid w:val="00E427E9"/>
    <w:rsid w:val="00E42B1E"/>
    <w:rsid w:val="00E43153"/>
    <w:rsid w:val="00E4363C"/>
    <w:rsid w:val="00E44BEC"/>
    <w:rsid w:val="00E46E95"/>
    <w:rsid w:val="00E472CB"/>
    <w:rsid w:val="00E47CF5"/>
    <w:rsid w:val="00E47D9B"/>
    <w:rsid w:val="00E50272"/>
    <w:rsid w:val="00E51335"/>
    <w:rsid w:val="00E51BA0"/>
    <w:rsid w:val="00E51EF0"/>
    <w:rsid w:val="00E51FCA"/>
    <w:rsid w:val="00E5430E"/>
    <w:rsid w:val="00E55176"/>
    <w:rsid w:val="00E5549C"/>
    <w:rsid w:val="00E5670E"/>
    <w:rsid w:val="00E57690"/>
    <w:rsid w:val="00E57985"/>
    <w:rsid w:val="00E60B4C"/>
    <w:rsid w:val="00E60CDB"/>
    <w:rsid w:val="00E60E61"/>
    <w:rsid w:val="00E62134"/>
    <w:rsid w:val="00E62318"/>
    <w:rsid w:val="00E626AB"/>
    <w:rsid w:val="00E63455"/>
    <w:rsid w:val="00E6369E"/>
    <w:rsid w:val="00E650C7"/>
    <w:rsid w:val="00E65294"/>
    <w:rsid w:val="00E65A07"/>
    <w:rsid w:val="00E6629B"/>
    <w:rsid w:val="00E668CC"/>
    <w:rsid w:val="00E67C48"/>
    <w:rsid w:val="00E709CE"/>
    <w:rsid w:val="00E71086"/>
    <w:rsid w:val="00E7121A"/>
    <w:rsid w:val="00E71DB4"/>
    <w:rsid w:val="00E72F20"/>
    <w:rsid w:val="00E74071"/>
    <w:rsid w:val="00E74407"/>
    <w:rsid w:val="00E74C6B"/>
    <w:rsid w:val="00E751C7"/>
    <w:rsid w:val="00E76336"/>
    <w:rsid w:val="00E765E9"/>
    <w:rsid w:val="00E76BF0"/>
    <w:rsid w:val="00E76E50"/>
    <w:rsid w:val="00E83B58"/>
    <w:rsid w:val="00E8490C"/>
    <w:rsid w:val="00E8508B"/>
    <w:rsid w:val="00E854FA"/>
    <w:rsid w:val="00E85940"/>
    <w:rsid w:val="00E87084"/>
    <w:rsid w:val="00E9417F"/>
    <w:rsid w:val="00E95500"/>
    <w:rsid w:val="00E95993"/>
    <w:rsid w:val="00E961EB"/>
    <w:rsid w:val="00EA06DC"/>
    <w:rsid w:val="00EA0A84"/>
    <w:rsid w:val="00EA1D28"/>
    <w:rsid w:val="00EA23E2"/>
    <w:rsid w:val="00EA30E1"/>
    <w:rsid w:val="00EA3C6D"/>
    <w:rsid w:val="00EA42AA"/>
    <w:rsid w:val="00EA491E"/>
    <w:rsid w:val="00EA5442"/>
    <w:rsid w:val="00EA73E8"/>
    <w:rsid w:val="00EA7593"/>
    <w:rsid w:val="00EB0607"/>
    <w:rsid w:val="00EB0939"/>
    <w:rsid w:val="00EB13DC"/>
    <w:rsid w:val="00EB213A"/>
    <w:rsid w:val="00EB271C"/>
    <w:rsid w:val="00EB2D3C"/>
    <w:rsid w:val="00EB37F9"/>
    <w:rsid w:val="00EB4B25"/>
    <w:rsid w:val="00EB5EA0"/>
    <w:rsid w:val="00EB64BE"/>
    <w:rsid w:val="00EB7CA0"/>
    <w:rsid w:val="00EC183A"/>
    <w:rsid w:val="00EC1DE1"/>
    <w:rsid w:val="00EC3063"/>
    <w:rsid w:val="00EC4761"/>
    <w:rsid w:val="00EC5E07"/>
    <w:rsid w:val="00EC65F3"/>
    <w:rsid w:val="00EC691D"/>
    <w:rsid w:val="00EC7E34"/>
    <w:rsid w:val="00ED00E2"/>
    <w:rsid w:val="00ED02CA"/>
    <w:rsid w:val="00ED0FF2"/>
    <w:rsid w:val="00ED2957"/>
    <w:rsid w:val="00ED297B"/>
    <w:rsid w:val="00ED2A81"/>
    <w:rsid w:val="00ED2D7F"/>
    <w:rsid w:val="00ED42BA"/>
    <w:rsid w:val="00ED4520"/>
    <w:rsid w:val="00ED460F"/>
    <w:rsid w:val="00ED5C0C"/>
    <w:rsid w:val="00ED63B3"/>
    <w:rsid w:val="00EE01D5"/>
    <w:rsid w:val="00EE0ED5"/>
    <w:rsid w:val="00EE20F2"/>
    <w:rsid w:val="00EE4574"/>
    <w:rsid w:val="00EE60DC"/>
    <w:rsid w:val="00EF064F"/>
    <w:rsid w:val="00EF0C0C"/>
    <w:rsid w:val="00EF12E0"/>
    <w:rsid w:val="00EF15B6"/>
    <w:rsid w:val="00EF19DC"/>
    <w:rsid w:val="00EF3264"/>
    <w:rsid w:val="00EF333F"/>
    <w:rsid w:val="00EF3A84"/>
    <w:rsid w:val="00EF3B13"/>
    <w:rsid w:val="00EF58E8"/>
    <w:rsid w:val="00EF59CE"/>
    <w:rsid w:val="00EF5A97"/>
    <w:rsid w:val="00EF79AE"/>
    <w:rsid w:val="00F00426"/>
    <w:rsid w:val="00F00E05"/>
    <w:rsid w:val="00F01FF2"/>
    <w:rsid w:val="00F023C8"/>
    <w:rsid w:val="00F02688"/>
    <w:rsid w:val="00F04473"/>
    <w:rsid w:val="00F05B2E"/>
    <w:rsid w:val="00F060FF"/>
    <w:rsid w:val="00F062AE"/>
    <w:rsid w:val="00F06E12"/>
    <w:rsid w:val="00F10AD5"/>
    <w:rsid w:val="00F12357"/>
    <w:rsid w:val="00F1411E"/>
    <w:rsid w:val="00F15F1A"/>
    <w:rsid w:val="00F15F60"/>
    <w:rsid w:val="00F1649B"/>
    <w:rsid w:val="00F17403"/>
    <w:rsid w:val="00F17863"/>
    <w:rsid w:val="00F179A0"/>
    <w:rsid w:val="00F223D0"/>
    <w:rsid w:val="00F22AE9"/>
    <w:rsid w:val="00F24B91"/>
    <w:rsid w:val="00F25207"/>
    <w:rsid w:val="00F25443"/>
    <w:rsid w:val="00F26FF2"/>
    <w:rsid w:val="00F27A2C"/>
    <w:rsid w:val="00F27B90"/>
    <w:rsid w:val="00F31358"/>
    <w:rsid w:val="00F33370"/>
    <w:rsid w:val="00F33457"/>
    <w:rsid w:val="00F34F76"/>
    <w:rsid w:val="00F35E78"/>
    <w:rsid w:val="00F36596"/>
    <w:rsid w:val="00F370AA"/>
    <w:rsid w:val="00F37115"/>
    <w:rsid w:val="00F37556"/>
    <w:rsid w:val="00F40387"/>
    <w:rsid w:val="00F4079C"/>
    <w:rsid w:val="00F41D20"/>
    <w:rsid w:val="00F42EC2"/>
    <w:rsid w:val="00F443AA"/>
    <w:rsid w:val="00F46F73"/>
    <w:rsid w:val="00F475FA"/>
    <w:rsid w:val="00F47AE8"/>
    <w:rsid w:val="00F47AE9"/>
    <w:rsid w:val="00F508E0"/>
    <w:rsid w:val="00F5126A"/>
    <w:rsid w:val="00F51E46"/>
    <w:rsid w:val="00F52103"/>
    <w:rsid w:val="00F533E1"/>
    <w:rsid w:val="00F535FC"/>
    <w:rsid w:val="00F554BB"/>
    <w:rsid w:val="00F55766"/>
    <w:rsid w:val="00F56520"/>
    <w:rsid w:val="00F56797"/>
    <w:rsid w:val="00F56D30"/>
    <w:rsid w:val="00F57233"/>
    <w:rsid w:val="00F576C1"/>
    <w:rsid w:val="00F61AA2"/>
    <w:rsid w:val="00F62845"/>
    <w:rsid w:val="00F63AC3"/>
    <w:rsid w:val="00F6548B"/>
    <w:rsid w:val="00F679F0"/>
    <w:rsid w:val="00F67A81"/>
    <w:rsid w:val="00F67F16"/>
    <w:rsid w:val="00F718CD"/>
    <w:rsid w:val="00F720E9"/>
    <w:rsid w:val="00F728E8"/>
    <w:rsid w:val="00F72D02"/>
    <w:rsid w:val="00F73E04"/>
    <w:rsid w:val="00F76A4F"/>
    <w:rsid w:val="00F806C2"/>
    <w:rsid w:val="00F81729"/>
    <w:rsid w:val="00F81B94"/>
    <w:rsid w:val="00F82609"/>
    <w:rsid w:val="00F83E61"/>
    <w:rsid w:val="00F8453D"/>
    <w:rsid w:val="00F84A8D"/>
    <w:rsid w:val="00F85746"/>
    <w:rsid w:val="00F877A9"/>
    <w:rsid w:val="00F902DC"/>
    <w:rsid w:val="00F91C28"/>
    <w:rsid w:val="00F96489"/>
    <w:rsid w:val="00F96F72"/>
    <w:rsid w:val="00F97161"/>
    <w:rsid w:val="00F97254"/>
    <w:rsid w:val="00F97AC0"/>
    <w:rsid w:val="00FA09F4"/>
    <w:rsid w:val="00FA0B73"/>
    <w:rsid w:val="00FA0C2C"/>
    <w:rsid w:val="00FA1949"/>
    <w:rsid w:val="00FA1F09"/>
    <w:rsid w:val="00FA1F43"/>
    <w:rsid w:val="00FA1F5E"/>
    <w:rsid w:val="00FA2408"/>
    <w:rsid w:val="00FA25AC"/>
    <w:rsid w:val="00FA47C2"/>
    <w:rsid w:val="00FA57AE"/>
    <w:rsid w:val="00FA58FB"/>
    <w:rsid w:val="00FA6114"/>
    <w:rsid w:val="00FA6D1D"/>
    <w:rsid w:val="00FA6D62"/>
    <w:rsid w:val="00FB041B"/>
    <w:rsid w:val="00FB0C54"/>
    <w:rsid w:val="00FB1667"/>
    <w:rsid w:val="00FB173B"/>
    <w:rsid w:val="00FB1DEB"/>
    <w:rsid w:val="00FB2243"/>
    <w:rsid w:val="00FB269E"/>
    <w:rsid w:val="00FB3D51"/>
    <w:rsid w:val="00FB5671"/>
    <w:rsid w:val="00FB5E23"/>
    <w:rsid w:val="00FB7621"/>
    <w:rsid w:val="00FC1DAF"/>
    <w:rsid w:val="00FC2E87"/>
    <w:rsid w:val="00FC31DE"/>
    <w:rsid w:val="00FC3A6A"/>
    <w:rsid w:val="00FC498D"/>
    <w:rsid w:val="00FC4E8F"/>
    <w:rsid w:val="00FC5384"/>
    <w:rsid w:val="00FC7928"/>
    <w:rsid w:val="00FD127B"/>
    <w:rsid w:val="00FD1C1D"/>
    <w:rsid w:val="00FD1EA0"/>
    <w:rsid w:val="00FD24F0"/>
    <w:rsid w:val="00FD29B7"/>
    <w:rsid w:val="00FD2E30"/>
    <w:rsid w:val="00FD3126"/>
    <w:rsid w:val="00FD3A72"/>
    <w:rsid w:val="00FD3CBD"/>
    <w:rsid w:val="00FD3CD5"/>
    <w:rsid w:val="00FD4409"/>
    <w:rsid w:val="00FD48E8"/>
    <w:rsid w:val="00FD4A9B"/>
    <w:rsid w:val="00FD5627"/>
    <w:rsid w:val="00FD5EA6"/>
    <w:rsid w:val="00FD69B3"/>
    <w:rsid w:val="00FD6D74"/>
    <w:rsid w:val="00FD7828"/>
    <w:rsid w:val="00FD7914"/>
    <w:rsid w:val="00FE0949"/>
    <w:rsid w:val="00FE1504"/>
    <w:rsid w:val="00FE20A2"/>
    <w:rsid w:val="00FE2217"/>
    <w:rsid w:val="00FE2247"/>
    <w:rsid w:val="00FE2735"/>
    <w:rsid w:val="00FE3C20"/>
    <w:rsid w:val="00FE47A9"/>
    <w:rsid w:val="00FE4D0C"/>
    <w:rsid w:val="00FE4EB2"/>
    <w:rsid w:val="00FE5365"/>
    <w:rsid w:val="00FE6434"/>
    <w:rsid w:val="00FE76F8"/>
    <w:rsid w:val="00FE7DFA"/>
    <w:rsid w:val="00FE7E18"/>
    <w:rsid w:val="00FE7EC7"/>
    <w:rsid w:val="00FF0595"/>
    <w:rsid w:val="00FF0792"/>
    <w:rsid w:val="00FF1925"/>
    <w:rsid w:val="00FF2CEF"/>
    <w:rsid w:val="00FF4768"/>
    <w:rsid w:val="00FF58E8"/>
    <w:rsid w:val="00FF6F74"/>
    <w:rsid w:val="00FF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0C01D4"/>
  <w15:docId w15:val="{4F40DF4D-8CDA-4AA8-B7FA-B7E77416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EC7"/>
    <w:pPr>
      <w:spacing w:after="120" w:line="276" w:lineRule="auto"/>
    </w:pPr>
    <w:rPr>
      <w:rFonts w:ascii="Calibri" w:hAnsi="Calibri"/>
      <w:sz w:val="22"/>
    </w:rPr>
  </w:style>
  <w:style w:type="paragraph" w:styleId="Heading1">
    <w:name w:val="heading 1"/>
    <w:basedOn w:val="Normal"/>
    <w:next w:val="Normal"/>
    <w:link w:val="Heading1Char"/>
    <w:uiPriority w:val="9"/>
    <w:qFormat/>
    <w:rsid w:val="00246785"/>
    <w:pPr>
      <w:ind w:left="540"/>
      <w:outlineLvl w:val="0"/>
    </w:pPr>
    <w:rPr>
      <w:rFonts w:asciiTheme="majorHAnsi" w:hAnsiTheme="majorHAnsi"/>
      <w:color w:val="FFFFFF" w:themeColor="background1"/>
      <w:sz w:val="72"/>
      <w:szCs w:val="72"/>
    </w:rPr>
  </w:style>
  <w:style w:type="paragraph" w:styleId="Heading2">
    <w:name w:val="heading 2"/>
    <w:basedOn w:val="Normal"/>
    <w:next w:val="Normal"/>
    <w:link w:val="Heading2Char"/>
    <w:uiPriority w:val="9"/>
    <w:unhideWhenUsed/>
    <w:qFormat/>
    <w:rsid w:val="00A3092C"/>
    <w:pPr>
      <w:keepNext/>
      <w:keepLines/>
      <w:pBdr>
        <w:bottom w:val="single" w:sz="12" w:space="1" w:color="004386" w:themeColor="accent1"/>
      </w:pBdr>
      <w:spacing w:before="200"/>
      <w:outlineLvl w:val="1"/>
    </w:pPr>
    <w:rPr>
      <w:rFonts w:asciiTheme="majorHAnsi" w:eastAsiaTheme="majorEastAsia" w:hAnsiTheme="majorHAnsi" w:cstheme="majorBidi"/>
      <w:b/>
      <w:bCs/>
      <w:color w:val="004386" w:themeColor="accent1"/>
      <w:sz w:val="26"/>
      <w:szCs w:val="26"/>
    </w:rPr>
  </w:style>
  <w:style w:type="paragraph" w:styleId="Heading3">
    <w:name w:val="heading 3"/>
    <w:basedOn w:val="Normal"/>
    <w:next w:val="Normal"/>
    <w:link w:val="Heading3Char"/>
    <w:uiPriority w:val="9"/>
    <w:unhideWhenUsed/>
    <w:qFormat/>
    <w:rsid w:val="00F67A81"/>
    <w:pPr>
      <w:keepNext/>
      <w:keepLines/>
      <w:spacing w:before="200"/>
      <w:outlineLvl w:val="2"/>
    </w:pPr>
    <w:rPr>
      <w:rFonts w:asciiTheme="majorHAnsi" w:eastAsiaTheme="majorEastAsia" w:hAnsiTheme="majorHAnsi" w:cstheme="majorBidi"/>
      <w:b/>
      <w:bCs/>
      <w:i/>
      <w:color w:val="004386" w:themeColor="accent1"/>
    </w:rPr>
  </w:style>
  <w:style w:type="paragraph" w:styleId="Heading4">
    <w:name w:val="heading 4"/>
    <w:basedOn w:val="Heading3"/>
    <w:next w:val="Normal"/>
    <w:link w:val="Heading4Char"/>
    <w:uiPriority w:val="9"/>
    <w:unhideWhenUsed/>
    <w:qFormat/>
    <w:rsid w:val="00756608"/>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11C0"/>
  </w:style>
  <w:style w:type="character" w:customStyle="1" w:styleId="FootnoteTextChar">
    <w:name w:val="Footnote Text Char"/>
    <w:basedOn w:val="DefaultParagraphFont"/>
    <w:link w:val="FootnoteText"/>
    <w:uiPriority w:val="99"/>
    <w:rsid w:val="003B11C0"/>
  </w:style>
  <w:style w:type="character" w:styleId="FootnoteReference">
    <w:name w:val="footnote reference"/>
    <w:basedOn w:val="DefaultParagraphFont"/>
    <w:uiPriority w:val="99"/>
    <w:unhideWhenUsed/>
    <w:rsid w:val="003B11C0"/>
    <w:rPr>
      <w:vertAlign w:val="superscript"/>
    </w:rPr>
  </w:style>
  <w:style w:type="character" w:customStyle="1" w:styleId="Heading2Char">
    <w:name w:val="Heading 2 Char"/>
    <w:basedOn w:val="DefaultParagraphFont"/>
    <w:link w:val="Heading2"/>
    <w:uiPriority w:val="9"/>
    <w:rsid w:val="00A3092C"/>
    <w:rPr>
      <w:rFonts w:asciiTheme="majorHAnsi" w:eastAsiaTheme="majorEastAsia" w:hAnsiTheme="majorHAnsi" w:cstheme="majorBidi"/>
      <w:b/>
      <w:bCs/>
      <w:color w:val="004386" w:themeColor="accent1"/>
      <w:sz w:val="26"/>
      <w:szCs w:val="26"/>
    </w:rPr>
  </w:style>
  <w:style w:type="character" w:customStyle="1" w:styleId="Heading3Char">
    <w:name w:val="Heading 3 Char"/>
    <w:basedOn w:val="DefaultParagraphFont"/>
    <w:link w:val="Heading3"/>
    <w:uiPriority w:val="9"/>
    <w:rsid w:val="00F67A81"/>
    <w:rPr>
      <w:rFonts w:asciiTheme="majorHAnsi" w:eastAsiaTheme="majorEastAsia" w:hAnsiTheme="majorHAnsi" w:cstheme="majorBidi"/>
      <w:b/>
      <w:bCs/>
      <w:i/>
      <w:color w:val="004386" w:themeColor="accent1"/>
      <w:sz w:val="22"/>
    </w:rPr>
  </w:style>
  <w:style w:type="character" w:customStyle="1" w:styleId="Heading1Char">
    <w:name w:val="Heading 1 Char"/>
    <w:basedOn w:val="DefaultParagraphFont"/>
    <w:link w:val="Heading1"/>
    <w:uiPriority w:val="9"/>
    <w:rsid w:val="00246785"/>
    <w:rPr>
      <w:rFonts w:asciiTheme="majorHAnsi" w:hAnsiTheme="majorHAnsi"/>
      <w:color w:val="FFFFFF" w:themeColor="background1"/>
      <w:sz w:val="72"/>
      <w:szCs w:val="72"/>
    </w:rPr>
  </w:style>
  <w:style w:type="character" w:customStyle="1" w:styleId="Heading4Char">
    <w:name w:val="Heading 4 Char"/>
    <w:basedOn w:val="DefaultParagraphFont"/>
    <w:link w:val="Heading4"/>
    <w:uiPriority w:val="9"/>
    <w:rsid w:val="00756608"/>
    <w:rPr>
      <w:rFonts w:asciiTheme="majorHAnsi" w:eastAsiaTheme="majorEastAsia" w:hAnsiTheme="majorHAnsi" w:cstheme="majorBidi"/>
      <w:bCs/>
      <w:i/>
      <w:color w:val="004386" w:themeColor="accent1"/>
      <w:sz w:val="22"/>
    </w:rPr>
  </w:style>
  <w:style w:type="paragraph" w:styleId="Header">
    <w:name w:val="header"/>
    <w:basedOn w:val="Normal"/>
    <w:link w:val="HeaderChar"/>
    <w:uiPriority w:val="99"/>
    <w:unhideWhenUsed/>
    <w:rsid w:val="007B242F"/>
    <w:pPr>
      <w:tabs>
        <w:tab w:val="center" w:pos="4320"/>
        <w:tab w:val="right" w:pos="8640"/>
      </w:tabs>
    </w:pPr>
  </w:style>
  <w:style w:type="character" w:customStyle="1" w:styleId="HeaderChar">
    <w:name w:val="Header Char"/>
    <w:basedOn w:val="DefaultParagraphFont"/>
    <w:link w:val="Header"/>
    <w:uiPriority w:val="99"/>
    <w:rsid w:val="007B242F"/>
  </w:style>
  <w:style w:type="paragraph" w:styleId="Footer">
    <w:name w:val="footer"/>
    <w:basedOn w:val="Normal"/>
    <w:link w:val="FooterChar"/>
    <w:uiPriority w:val="99"/>
    <w:unhideWhenUsed/>
    <w:rsid w:val="007B242F"/>
    <w:pPr>
      <w:tabs>
        <w:tab w:val="center" w:pos="4320"/>
        <w:tab w:val="right" w:pos="8640"/>
      </w:tabs>
    </w:pPr>
  </w:style>
  <w:style w:type="character" w:customStyle="1" w:styleId="FooterChar">
    <w:name w:val="Footer Char"/>
    <w:basedOn w:val="DefaultParagraphFont"/>
    <w:link w:val="Footer"/>
    <w:uiPriority w:val="99"/>
    <w:rsid w:val="007B242F"/>
  </w:style>
  <w:style w:type="character" w:styleId="PageNumber">
    <w:name w:val="page number"/>
    <w:basedOn w:val="DefaultParagraphFont"/>
    <w:uiPriority w:val="99"/>
    <w:semiHidden/>
    <w:unhideWhenUsed/>
    <w:rsid w:val="007B242F"/>
  </w:style>
  <w:style w:type="paragraph" w:styleId="ListParagraph">
    <w:name w:val="List Paragraph"/>
    <w:basedOn w:val="Normal"/>
    <w:uiPriority w:val="34"/>
    <w:qFormat/>
    <w:rsid w:val="00DC56EC"/>
    <w:pPr>
      <w:ind w:left="720"/>
      <w:contextualSpacing/>
    </w:pPr>
  </w:style>
  <w:style w:type="paragraph" w:styleId="BalloonText">
    <w:name w:val="Balloon Text"/>
    <w:basedOn w:val="Normal"/>
    <w:link w:val="BalloonTextChar"/>
    <w:uiPriority w:val="99"/>
    <w:semiHidden/>
    <w:unhideWhenUsed/>
    <w:rsid w:val="002E2C58"/>
    <w:rPr>
      <w:rFonts w:ascii="Lucida Grande" w:hAnsi="Lucida Grande"/>
      <w:sz w:val="18"/>
      <w:szCs w:val="18"/>
    </w:rPr>
  </w:style>
  <w:style w:type="character" w:customStyle="1" w:styleId="BalloonTextChar">
    <w:name w:val="Balloon Text Char"/>
    <w:basedOn w:val="DefaultParagraphFont"/>
    <w:link w:val="BalloonText"/>
    <w:uiPriority w:val="99"/>
    <w:semiHidden/>
    <w:rsid w:val="002E2C58"/>
    <w:rPr>
      <w:rFonts w:ascii="Lucida Grande" w:hAnsi="Lucida Grande"/>
      <w:sz w:val="18"/>
      <w:szCs w:val="18"/>
    </w:rPr>
  </w:style>
  <w:style w:type="paragraph" w:styleId="EndnoteText">
    <w:name w:val="endnote text"/>
    <w:basedOn w:val="Normal"/>
    <w:link w:val="EndnoteTextChar"/>
    <w:uiPriority w:val="99"/>
    <w:unhideWhenUsed/>
    <w:rsid w:val="0067222E"/>
  </w:style>
  <w:style w:type="character" w:customStyle="1" w:styleId="EndnoteTextChar">
    <w:name w:val="Endnote Text Char"/>
    <w:basedOn w:val="DefaultParagraphFont"/>
    <w:link w:val="EndnoteText"/>
    <w:uiPriority w:val="99"/>
    <w:rsid w:val="0067222E"/>
  </w:style>
  <w:style w:type="character" w:styleId="EndnoteReference">
    <w:name w:val="endnote reference"/>
    <w:basedOn w:val="DefaultParagraphFont"/>
    <w:uiPriority w:val="99"/>
    <w:unhideWhenUsed/>
    <w:rsid w:val="0067222E"/>
    <w:rPr>
      <w:vertAlign w:val="superscript"/>
    </w:rPr>
  </w:style>
  <w:style w:type="character" w:styleId="CommentReference">
    <w:name w:val="annotation reference"/>
    <w:basedOn w:val="DefaultParagraphFont"/>
    <w:uiPriority w:val="99"/>
    <w:semiHidden/>
    <w:unhideWhenUsed/>
    <w:rsid w:val="000E436D"/>
    <w:rPr>
      <w:sz w:val="16"/>
      <w:szCs w:val="16"/>
    </w:rPr>
  </w:style>
  <w:style w:type="paragraph" w:styleId="CommentText">
    <w:name w:val="annotation text"/>
    <w:basedOn w:val="Normal"/>
    <w:link w:val="CommentTextChar"/>
    <w:uiPriority w:val="99"/>
    <w:unhideWhenUsed/>
    <w:rsid w:val="000E436D"/>
    <w:rPr>
      <w:sz w:val="20"/>
      <w:szCs w:val="20"/>
    </w:rPr>
  </w:style>
  <w:style w:type="character" w:customStyle="1" w:styleId="CommentTextChar">
    <w:name w:val="Comment Text Char"/>
    <w:basedOn w:val="DefaultParagraphFont"/>
    <w:link w:val="CommentText"/>
    <w:uiPriority w:val="99"/>
    <w:rsid w:val="000E436D"/>
    <w:rPr>
      <w:sz w:val="20"/>
      <w:szCs w:val="20"/>
    </w:rPr>
  </w:style>
  <w:style w:type="paragraph" w:styleId="CommentSubject">
    <w:name w:val="annotation subject"/>
    <w:basedOn w:val="CommentText"/>
    <w:next w:val="CommentText"/>
    <w:link w:val="CommentSubjectChar"/>
    <w:uiPriority w:val="99"/>
    <w:semiHidden/>
    <w:unhideWhenUsed/>
    <w:rsid w:val="000E436D"/>
    <w:rPr>
      <w:b/>
      <w:bCs/>
    </w:rPr>
  </w:style>
  <w:style w:type="character" w:customStyle="1" w:styleId="CommentSubjectChar">
    <w:name w:val="Comment Subject Char"/>
    <w:basedOn w:val="CommentTextChar"/>
    <w:link w:val="CommentSubject"/>
    <w:uiPriority w:val="99"/>
    <w:semiHidden/>
    <w:rsid w:val="000E436D"/>
    <w:rPr>
      <w:b/>
      <w:bCs/>
      <w:sz w:val="20"/>
      <w:szCs w:val="20"/>
    </w:rPr>
  </w:style>
  <w:style w:type="paragraph" w:styleId="Revision">
    <w:name w:val="Revision"/>
    <w:hidden/>
    <w:uiPriority w:val="99"/>
    <w:semiHidden/>
    <w:rsid w:val="003A5E6A"/>
  </w:style>
  <w:style w:type="character" w:styleId="Hyperlink">
    <w:name w:val="Hyperlink"/>
    <w:basedOn w:val="DefaultParagraphFont"/>
    <w:uiPriority w:val="99"/>
    <w:unhideWhenUsed/>
    <w:rsid w:val="00F67F16"/>
    <w:rPr>
      <w:color w:val="0000FF" w:themeColor="hyperlink"/>
      <w:u w:val="single"/>
    </w:rPr>
  </w:style>
  <w:style w:type="character" w:styleId="PlaceholderText">
    <w:name w:val="Placeholder Text"/>
    <w:basedOn w:val="DefaultParagraphFont"/>
    <w:uiPriority w:val="99"/>
    <w:semiHidden/>
    <w:rsid w:val="0061288A"/>
    <w:rPr>
      <w:color w:val="808080"/>
    </w:rPr>
  </w:style>
  <w:style w:type="paragraph" w:styleId="NoSpacing">
    <w:name w:val="No Spacing"/>
    <w:basedOn w:val="Normal"/>
    <w:uiPriority w:val="1"/>
    <w:qFormat/>
    <w:rsid w:val="008E21A0"/>
    <w:rPr>
      <w:rFonts w:asciiTheme="minorHAnsi" w:eastAsiaTheme="minorHAnsi" w:hAnsiTheme="minorHAnsi" w:cs="Times New Roman"/>
      <w:color w:val="000000" w:themeColor="text1"/>
      <w:szCs w:val="20"/>
    </w:rPr>
  </w:style>
  <w:style w:type="table" w:styleId="TableGrid">
    <w:name w:val="Table Grid"/>
    <w:basedOn w:val="TableNormal"/>
    <w:uiPriority w:val="39"/>
    <w:rsid w:val="008E21A0"/>
    <w:rPr>
      <w:rFonts w:asciiTheme="minorHAnsi" w:eastAsiaTheme="minorHAnsi" w:hAnsiTheme="minorHAnsi" w:cs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ookTitle">
    <w:name w:val="Book Title"/>
    <w:uiPriority w:val="33"/>
    <w:qFormat/>
    <w:rsid w:val="00FE7EC7"/>
    <w:rPr>
      <w:color w:val="004386" w:themeColor="accent1"/>
      <w:sz w:val="24"/>
    </w:rPr>
  </w:style>
  <w:style w:type="paragraph" w:styleId="Title">
    <w:name w:val="Title"/>
    <w:basedOn w:val="Heading1"/>
    <w:next w:val="Normal"/>
    <w:link w:val="TitleChar"/>
    <w:uiPriority w:val="10"/>
    <w:qFormat/>
    <w:rsid w:val="00FE7EC7"/>
    <w:rPr>
      <w:sz w:val="56"/>
    </w:rPr>
  </w:style>
  <w:style w:type="character" w:customStyle="1" w:styleId="TitleChar">
    <w:name w:val="Title Char"/>
    <w:basedOn w:val="DefaultParagraphFont"/>
    <w:link w:val="Title"/>
    <w:uiPriority w:val="10"/>
    <w:rsid w:val="00FE7EC7"/>
    <w:rPr>
      <w:rFonts w:asciiTheme="majorHAnsi" w:hAnsiTheme="majorHAnsi"/>
      <w:color w:val="FFFFFF" w:themeColor="background1"/>
      <w:sz w:val="56"/>
      <w:szCs w:val="72"/>
    </w:rPr>
  </w:style>
  <w:style w:type="table" w:customStyle="1" w:styleId="LightShading-Accent11">
    <w:name w:val="Light Shading - Accent 11"/>
    <w:basedOn w:val="TableNormal"/>
    <w:uiPriority w:val="60"/>
    <w:rsid w:val="00AD386D"/>
    <w:rPr>
      <w:rFonts w:ascii="Cambria" w:eastAsia="Cambria" w:hAnsi="Cambria" w:cs="Times New Roman"/>
      <w:color w:val="003164" w:themeColor="accent1" w:themeShade="BF"/>
      <w:sz w:val="20"/>
      <w:szCs w:val="20"/>
    </w:rPr>
    <w:tblPr>
      <w:tblStyleRowBandSize w:val="1"/>
      <w:tblStyleColBandSize w:val="1"/>
      <w:tblBorders>
        <w:top w:val="single" w:sz="8" w:space="0" w:color="004386" w:themeColor="accent1"/>
        <w:bottom w:val="single" w:sz="8" w:space="0" w:color="004386" w:themeColor="accent1"/>
      </w:tblBorders>
    </w:tblPr>
    <w:tblStylePr w:type="firstRow">
      <w:pPr>
        <w:spacing w:before="0" w:after="0" w:line="240" w:lineRule="auto"/>
      </w:pPr>
      <w:rPr>
        <w:b/>
        <w:bCs/>
      </w:rPr>
      <w:tblPr/>
      <w:tcPr>
        <w:tcBorders>
          <w:top w:val="single" w:sz="8" w:space="0" w:color="004386" w:themeColor="accent1"/>
          <w:left w:val="nil"/>
          <w:bottom w:val="single" w:sz="8" w:space="0" w:color="004386" w:themeColor="accent1"/>
          <w:right w:val="nil"/>
          <w:insideH w:val="nil"/>
          <w:insideV w:val="nil"/>
        </w:tcBorders>
      </w:tcPr>
    </w:tblStylePr>
    <w:tblStylePr w:type="lastRow">
      <w:pPr>
        <w:spacing w:before="0" w:after="0" w:line="240" w:lineRule="auto"/>
      </w:pPr>
      <w:rPr>
        <w:b/>
        <w:bCs/>
      </w:rPr>
      <w:tblPr/>
      <w:tcPr>
        <w:tcBorders>
          <w:top w:val="single" w:sz="8" w:space="0" w:color="004386" w:themeColor="accent1"/>
          <w:left w:val="nil"/>
          <w:bottom w:val="single" w:sz="8" w:space="0" w:color="0043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0FF" w:themeFill="accent1" w:themeFillTint="3F"/>
      </w:tcPr>
    </w:tblStylePr>
    <w:tblStylePr w:type="band1Horz">
      <w:tblPr/>
      <w:tcPr>
        <w:tcBorders>
          <w:left w:val="nil"/>
          <w:right w:val="nil"/>
          <w:insideH w:val="nil"/>
          <w:insideV w:val="nil"/>
        </w:tcBorders>
        <w:shd w:val="clear" w:color="auto" w:fill="A2D0FF" w:themeFill="accent1" w:themeFillTint="3F"/>
      </w:tcPr>
    </w:tblStylePr>
  </w:style>
  <w:style w:type="table" w:styleId="MediumShading1-Accent5">
    <w:name w:val="Medium Shading 1 Accent 5"/>
    <w:basedOn w:val="TableNormal"/>
    <w:uiPriority w:val="63"/>
    <w:rsid w:val="00AD386D"/>
    <w:tblPr>
      <w:tblStyleRowBandSize w:val="1"/>
      <w:tblStyleColBandSize w:val="1"/>
      <w:tblBorders>
        <w:top w:val="single" w:sz="8" w:space="0" w:color="E9A358" w:themeColor="accent5" w:themeTint="BF"/>
        <w:left w:val="single" w:sz="8" w:space="0" w:color="E9A358" w:themeColor="accent5" w:themeTint="BF"/>
        <w:bottom w:val="single" w:sz="8" w:space="0" w:color="E9A358" w:themeColor="accent5" w:themeTint="BF"/>
        <w:right w:val="single" w:sz="8" w:space="0" w:color="E9A358" w:themeColor="accent5" w:themeTint="BF"/>
        <w:insideH w:val="single" w:sz="8" w:space="0" w:color="E9A358" w:themeColor="accent5" w:themeTint="BF"/>
      </w:tblBorders>
    </w:tblPr>
    <w:tblStylePr w:type="firstRow">
      <w:pPr>
        <w:spacing w:before="0" w:after="0" w:line="240" w:lineRule="auto"/>
      </w:pPr>
      <w:rPr>
        <w:b/>
        <w:bCs/>
        <w:color w:val="FFFFFF" w:themeColor="background1"/>
      </w:rPr>
      <w:tblPr/>
      <w:tcPr>
        <w:tcBorders>
          <w:top w:val="single" w:sz="8" w:space="0" w:color="E9A358" w:themeColor="accent5" w:themeTint="BF"/>
          <w:left w:val="single" w:sz="8" w:space="0" w:color="E9A358" w:themeColor="accent5" w:themeTint="BF"/>
          <w:bottom w:val="single" w:sz="8" w:space="0" w:color="E9A358" w:themeColor="accent5" w:themeTint="BF"/>
          <w:right w:val="single" w:sz="8" w:space="0" w:color="E9A358" w:themeColor="accent5" w:themeTint="BF"/>
          <w:insideH w:val="nil"/>
          <w:insideV w:val="nil"/>
        </w:tcBorders>
        <w:shd w:val="clear" w:color="auto" w:fill="E28521" w:themeFill="accent5"/>
      </w:tcPr>
    </w:tblStylePr>
    <w:tblStylePr w:type="lastRow">
      <w:pPr>
        <w:spacing w:before="0" w:after="0" w:line="240" w:lineRule="auto"/>
      </w:pPr>
      <w:rPr>
        <w:b/>
        <w:bCs/>
      </w:rPr>
      <w:tblPr/>
      <w:tcPr>
        <w:tcBorders>
          <w:top w:val="double" w:sz="6" w:space="0" w:color="E9A358" w:themeColor="accent5" w:themeTint="BF"/>
          <w:left w:val="single" w:sz="8" w:space="0" w:color="E9A358" w:themeColor="accent5" w:themeTint="BF"/>
          <w:bottom w:val="single" w:sz="8" w:space="0" w:color="E9A358" w:themeColor="accent5" w:themeTint="BF"/>
          <w:right w:val="single" w:sz="8" w:space="0" w:color="E9A3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E0C7" w:themeFill="accent5" w:themeFillTint="3F"/>
      </w:tcPr>
    </w:tblStylePr>
    <w:tblStylePr w:type="band1Horz">
      <w:tblPr/>
      <w:tcPr>
        <w:tcBorders>
          <w:insideH w:val="nil"/>
          <w:insideV w:val="nil"/>
        </w:tcBorders>
        <w:shd w:val="clear" w:color="auto" w:fill="F7E0C7" w:themeFill="accent5"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F15F1A"/>
    <w:pPr>
      <w:spacing w:after="0" w:line="240" w:lineRule="auto"/>
    </w:pPr>
    <w:rPr>
      <w:rFonts w:ascii="Times New Roman" w:eastAsiaTheme="minorHAnsi" w:hAnsi="Times New Roman" w:cs="Times New Roman"/>
      <w:sz w:val="24"/>
    </w:rPr>
  </w:style>
  <w:style w:type="table" w:styleId="LightList-Accent5">
    <w:name w:val="Light List Accent 5"/>
    <w:basedOn w:val="TableNormal"/>
    <w:uiPriority w:val="61"/>
    <w:rsid w:val="00E27373"/>
    <w:tblPr>
      <w:tblStyleRowBandSize w:val="1"/>
      <w:tblStyleColBandSize w:val="1"/>
      <w:tblBorders>
        <w:top w:val="single" w:sz="8" w:space="0" w:color="E28521" w:themeColor="accent5"/>
        <w:left w:val="single" w:sz="8" w:space="0" w:color="E28521" w:themeColor="accent5"/>
        <w:bottom w:val="single" w:sz="8" w:space="0" w:color="E28521" w:themeColor="accent5"/>
        <w:right w:val="single" w:sz="8" w:space="0" w:color="E28521" w:themeColor="accent5"/>
      </w:tblBorders>
    </w:tblPr>
    <w:tblStylePr w:type="firstRow">
      <w:pPr>
        <w:spacing w:before="0" w:after="0" w:line="240" w:lineRule="auto"/>
      </w:pPr>
      <w:rPr>
        <w:b/>
        <w:bCs/>
        <w:color w:val="FFFFFF" w:themeColor="background1"/>
      </w:rPr>
      <w:tblPr/>
      <w:tcPr>
        <w:shd w:val="clear" w:color="auto" w:fill="E28521" w:themeFill="accent5"/>
      </w:tcPr>
    </w:tblStylePr>
    <w:tblStylePr w:type="lastRow">
      <w:pPr>
        <w:spacing w:before="0" w:after="0" w:line="240" w:lineRule="auto"/>
      </w:pPr>
      <w:rPr>
        <w:b/>
        <w:bCs/>
      </w:rPr>
      <w:tblPr/>
      <w:tcPr>
        <w:tcBorders>
          <w:top w:val="double" w:sz="6" w:space="0" w:color="E28521" w:themeColor="accent5"/>
          <w:left w:val="single" w:sz="8" w:space="0" w:color="E28521" w:themeColor="accent5"/>
          <w:bottom w:val="single" w:sz="8" w:space="0" w:color="E28521" w:themeColor="accent5"/>
          <w:right w:val="single" w:sz="8" w:space="0" w:color="E28521" w:themeColor="accent5"/>
        </w:tcBorders>
      </w:tcPr>
    </w:tblStylePr>
    <w:tblStylePr w:type="firstCol">
      <w:rPr>
        <w:b/>
        <w:bCs/>
      </w:rPr>
    </w:tblStylePr>
    <w:tblStylePr w:type="lastCol">
      <w:rPr>
        <w:b/>
        <w:bCs/>
      </w:rPr>
    </w:tblStylePr>
    <w:tblStylePr w:type="band1Vert">
      <w:tblPr/>
      <w:tcPr>
        <w:tcBorders>
          <w:top w:val="single" w:sz="8" w:space="0" w:color="E28521" w:themeColor="accent5"/>
          <w:left w:val="single" w:sz="8" w:space="0" w:color="E28521" w:themeColor="accent5"/>
          <w:bottom w:val="single" w:sz="8" w:space="0" w:color="E28521" w:themeColor="accent5"/>
          <w:right w:val="single" w:sz="8" w:space="0" w:color="E28521" w:themeColor="accent5"/>
        </w:tcBorders>
      </w:tcPr>
    </w:tblStylePr>
    <w:tblStylePr w:type="band1Horz">
      <w:tblPr/>
      <w:tcPr>
        <w:tcBorders>
          <w:top w:val="single" w:sz="8" w:space="0" w:color="E28521" w:themeColor="accent5"/>
          <w:left w:val="single" w:sz="8" w:space="0" w:color="E28521" w:themeColor="accent5"/>
          <w:bottom w:val="single" w:sz="8" w:space="0" w:color="E28521" w:themeColor="accent5"/>
          <w:right w:val="single" w:sz="8" w:space="0" w:color="E28521"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9328">
      <w:bodyDiv w:val="1"/>
      <w:marLeft w:val="0"/>
      <w:marRight w:val="0"/>
      <w:marTop w:val="0"/>
      <w:marBottom w:val="0"/>
      <w:divBdr>
        <w:top w:val="none" w:sz="0" w:space="0" w:color="auto"/>
        <w:left w:val="none" w:sz="0" w:space="0" w:color="auto"/>
        <w:bottom w:val="none" w:sz="0" w:space="0" w:color="auto"/>
        <w:right w:val="none" w:sz="0" w:space="0" w:color="auto"/>
      </w:divBdr>
    </w:div>
    <w:div w:id="47850291">
      <w:bodyDiv w:val="1"/>
      <w:marLeft w:val="0"/>
      <w:marRight w:val="0"/>
      <w:marTop w:val="0"/>
      <w:marBottom w:val="0"/>
      <w:divBdr>
        <w:top w:val="none" w:sz="0" w:space="0" w:color="auto"/>
        <w:left w:val="none" w:sz="0" w:space="0" w:color="auto"/>
        <w:bottom w:val="none" w:sz="0" w:space="0" w:color="auto"/>
        <w:right w:val="none" w:sz="0" w:space="0" w:color="auto"/>
      </w:divBdr>
    </w:div>
    <w:div w:id="58752611">
      <w:bodyDiv w:val="1"/>
      <w:marLeft w:val="0"/>
      <w:marRight w:val="0"/>
      <w:marTop w:val="0"/>
      <w:marBottom w:val="0"/>
      <w:divBdr>
        <w:top w:val="none" w:sz="0" w:space="0" w:color="auto"/>
        <w:left w:val="none" w:sz="0" w:space="0" w:color="auto"/>
        <w:bottom w:val="none" w:sz="0" w:space="0" w:color="auto"/>
        <w:right w:val="none" w:sz="0" w:space="0" w:color="auto"/>
      </w:divBdr>
    </w:div>
    <w:div w:id="59250158">
      <w:bodyDiv w:val="1"/>
      <w:marLeft w:val="0"/>
      <w:marRight w:val="0"/>
      <w:marTop w:val="0"/>
      <w:marBottom w:val="0"/>
      <w:divBdr>
        <w:top w:val="none" w:sz="0" w:space="0" w:color="auto"/>
        <w:left w:val="none" w:sz="0" w:space="0" w:color="auto"/>
        <w:bottom w:val="none" w:sz="0" w:space="0" w:color="auto"/>
        <w:right w:val="none" w:sz="0" w:space="0" w:color="auto"/>
      </w:divBdr>
    </w:div>
    <w:div w:id="80688394">
      <w:bodyDiv w:val="1"/>
      <w:marLeft w:val="0"/>
      <w:marRight w:val="0"/>
      <w:marTop w:val="0"/>
      <w:marBottom w:val="0"/>
      <w:divBdr>
        <w:top w:val="none" w:sz="0" w:space="0" w:color="auto"/>
        <w:left w:val="none" w:sz="0" w:space="0" w:color="auto"/>
        <w:bottom w:val="none" w:sz="0" w:space="0" w:color="auto"/>
        <w:right w:val="none" w:sz="0" w:space="0" w:color="auto"/>
      </w:divBdr>
    </w:div>
    <w:div w:id="120390225">
      <w:bodyDiv w:val="1"/>
      <w:marLeft w:val="0"/>
      <w:marRight w:val="0"/>
      <w:marTop w:val="0"/>
      <w:marBottom w:val="0"/>
      <w:divBdr>
        <w:top w:val="none" w:sz="0" w:space="0" w:color="auto"/>
        <w:left w:val="none" w:sz="0" w:space="0" w:color="auto"/>
        <w:bottom w:val="none" w:sz="0" w:space="0" w:color="auto"/>
        <w:right w:val="none" w:sz="0" w:space="0" w:color="auto"/>
      </w:divBdr>
    </w:div>
    <w:div w:id="140192507">
      <w:bodyDiv w:val="1"/>
      <w:marLeft w:val="0"/>
      <w:marRight w:val="0"/>
      <w:marTop w:val="0"/>
      <w:marBottom w:val="0"/>
      <w:divBdr>
        <w:top w:val="none" w:sz="0" w:space="0" w:color="auto"/>
        <w:left w:val="none" w:sz="0" w:space="0" w:color="auto"/>
        <w:bottom w:val="none" w:sz="0" w:space="0" w:color="auto"/>
        <w:right w:val="none" w:sz="0" w:space="0" w:color="auto"/>
      </w:divBdr>
    </w:div>
    <w:div w:id="159735301">
      <w:bodyDiv w:val="1"/>
      <w:marLeft w:val="0"/>
      <w:marRight w:val="0"/>
      <w:marTop w:val="0"/>
      <w:marBottom w:val="0"/>
      <w:divBdr>
        <w:top w:val="none" w:sz="0" w:space="0" w:color="auto"/>
        <w:left w:val="none" w:sz="0" w:space="0" w:color="auto"/>
        <w:bottom w:val="none" w:sz="0" w:space="0" w:color="auto"/>
        <w:right w:val="none" w:sz="0" w:space="0" w:color="auto"/>
      </w:divBdr>
    </w:div>
    <w:div w:id="175851626">
      <w:bodyDiv w:val="1"/>
      <w:marLeft w:val="0"/>
      <w:marRight w:val="0"/>
      <w:marTop w:val="0"/>
      <w:marBottom w:val="0"/>
      <w:divBdr>
        <w:top w:val="none" w:sz="0" w:space="0" w:color="auto"/>
        <w:left w:val="none" w:sz="0" w:space="0" w:color="auto"/>
        <w:bottom w:val="none" w:sz="0" w:space="0" w:color="auto"/>
        <w:right w:val="none" w:sz="0" w:space="0" w:color="auto"/>
      </w:divBdr>
    </w:div>
    <w:div w:id="180558771">
      <w:bodyDiv w:val="1"/>
      <w:marLeft w:val="0"/>
      <w:marRight w:val="0"/>
      <w:marTop w:val="0"/>
      <w:marBottom w:val="0"/>
      <w:divBdr>
        <w:top w:val="none" w:sz="0" w:space="0" w:color="auto"/>
        <w:left w:val="none" w:sz="0" w:space="0" w:color="auto"/>
        <w:bottom w:val="none" w:sz="0" w:space="0" w:color="auto"/>
        <w:right w:val="none" w:sz="0" w:space="0" w:color="auto"/>
      </w:divBdr>
    </w:div>
    <w:div w:id="187262937">
      <w:bodyDiv w:val="1"/>
      <w:marLeft w:val="0"/>
      <w:marRight w:val="0"/>
      <w:marTop w:val="0"/>
      <w:marBottom w:val="0"/>
      <w:divBdr>
        <w:top w:val="none" w:sz="0" w:space="0" w:color="auto"/>
        <w:left w:val="none" w:sz="0" w:space="0" w:color="auto"/>
        <w:bottom w:val="none" w:sz="0" w:space="0" w:color="auto"/>
        <w:right w:val="none" w:sz="0" w:space="0" w:color="auto"/>
      </w:divBdr>
    </w:div>
    <w:div w:id="192770501">
      <w:bodyDiv w:val="1"/>
      <w:marLeft w:val="0"/>
      <w:marRight w:val="0"/>
      <w:marTop w:val="0"/>
      <w:marBottom w:val="0"/>
      <w:divBdr>
        <w:top w:val="none" w:sz="0" w:space="0" w:color="auto"/>
        <w:left w:val="none" w:sz="0" w:space="0" w:color="auto"/>
        <w:bottom w:val="none" w:sz="0" w:space="0" w:color="auto"/>
        <w:right w:val="none" w:sz="0" w:space="0" w:color="auto"/>
      </w:divBdr>
    </w:div>
    <w:div w:id="211960271">
      <w:bodyDiv w:val="1"/>
      <w:marLeft w:val="0"/>
      <w:marRight w:val="0"/>
      <w:marTop w:val="0"/>
      <w:marBottom w:val="0"/>
      <w:divBdr>
        <w:top w:val="none" w:sz="0" w:space="0" w:color="auto"/>
        <w:left w:val="none" w:sz="0" w:space="0" w:color="auto"/>
        <w:bottom w:val="none" w:sz="0" w:space="0" w:color="auto"/>
        <w:right w:val="none" w:sz="0" w:space="0" w:color="auto"/>
      </w:divBdr>
    </w:div>
    <w:div w:id="233898855">
      <w:bodyDiv w:val="1"/>
      <w:marLeft w:val="0"/>
      <w:marRight w:val="0"/>
      <w:marTop w:val="0"/>
      <w:marBottom w:val="0"/>
      <w:divBdr>
        <w:top w:val="none" w:sz="0" w:space="0" w:color="auto"/>
        <w:left w:val="none" w:sz="0" w:space="0" w:color="auto"/>
        <w:bottom w:val="none" w:sz="0" w:space="0" w:color="auto"/>
        <w:right w:val="none" w:sz="0" w:space="0" w:color="auto"/>
      </w:divBdr>
    </w:div>
    <w:div w:id="236668489">
      <w:bodyDiv w:val="1"/>
      <w:marLeft w:val="0"/>
      <w:marRight w:val="0"/>
      <w:marTop w:val="0"/>
      <w:marBottom w:val="0"/>
      <w:divBdr>
        <w:top w:val="none" w:sz="0" w:space="0" w:color="auto"/>
        <w:left w:val="none" w:sz="0" w:space="0" w:color="auto"/>
        <w:bottom w:val="none" w:sz="0" w:space="0" w:color="auto"/>
        <w:right w:val="none" w:sz="0" w:space="0" w:color="auto"/>
      </w:divBdr>
    </w:div>
    <w:div w:id="240796827">
      <w:bodyDiv w:val="1"/>
      <w:marLeft w:val="0"/>
      <w:marRight w:val="0"/>
      <w:marTop w:val="0"/>
      <w:marBottom w:val="0"/>
      <w:divBdr>
        <w:top w:val="none" w:sz="0" w:space="0" w:color="auto"/>
        <w:left w:val="none" w:sz="0" w:space="0" w:color="auto"/>
        <w:bottom w:val="none" w:sz="0" w:space="0" w:color="auto"/>
        <w:right w:val="none" w:sz="0" w:space="0" w:color="auto"/>
      </w:divBdr>
    </w:div>
    <w:div w:id="249122041">
      <w:bodyDiv w:val="1"/>
      <w:marLeft w:val="0"/>
      <w:marRight w:val="0"/>
      <w:marTop w:val="0"/>
      <w:marBottom w:val="0"/>
      <w:divBdr>
        <w:top w:val="none" w:sz="0" w:space="0" w:color="auto"/>
        <w:left w:val="none" w:sz="0" w:space="0" w:color="auto"/>
        <w:bottom w:val="none" w:sz="0" w:space="0" w:color="auto"/>
        <w:right w:val="none" w:sz="0" w:space="0" w:color="auto"/>
      </w:divBdr>
    </w:div>
    <w:div w:id="276761909">
      <w:bodyDiv w:val="1"/>
      <w:marLeft w:val="0"/>
      <w:marRight w:val="0"/>
      <w:marTop w:val="0"/>
      <w:marBottom w:val="0"/>
      <w:divBdr>
        <w:top w:val="none" w:sz="0" w:space="0" w:color="auto"/>
        <w:left w:val="none" w:sz="0" w:space="0" w:color="auto"/>
        <w:bottom w:val="none" w:sz="0" w:space="0" w:color="auto"/>
        <w:right w:val="none" w:sz="0" w:space="0" w:color="auto"/>
      </w:divBdr>
    </w:div>
    <w:div w:id="313949454">
      <w:bodyDiv w:val="1"/>
      <w:marLeft w:val="0"/>
      <w:marRight w:val="0"/>
      <w:marTop w:val="0"/>
      <w:marBottom w:val="0"/>
      <w:divBdr>
        <w:top w:val="none" w:sz="0" w:space="0" w:color="auto"/>
        <w:left w:val="none" w:sz="0" w:space="0" w:color="auto"/>
        <w:bottom w:val="none" w:sz="0" w:space="0" w:color="auto"/>
        <w:right w:val="none" w:sz="0" w:space="0" w:color="auto"/>
      </w:divBdr>
    </w:div>
    <w:div w:id="322705424">
      <w:bodyDiv w:val="1"/>
      <w:marLeft w:val="0"/>
      <w:marRight w:val="0"/>
      <w:marTop w:val="0"/>
      <w:marBottom w:val="0"/>
      <w:divBdr>
        <w:top w:val="none" w:sz="0" w:space="0" w:color="auto"/>
        <w:left w:val="none" w:sz="0" w:space="0" w:color="auto"/>
        <w:bottom w:val="none" w:sz="0" w:space="0" w:color="auto"/>
        <w:right w:val="none" w:sz="0" w:space="0" w:color="auto"/>
      </w:divBdr>
    </w:div>
    <w:div w:id="335501174">
      <w:bodyDiv w:val="1"/>
      <w:marLeft w:val="0"/>
      <w:marRight w:val="0"/>
      <w:marTop w:val="0"/>
      <w:marBottom w:val="0"/>
      <w:divBdr>
        <w:top w:val="none" w:sz="0" w:space="0" w:color="auto"/>
        <w:left w:val="none" w:sz="0" w:space="0" w:color="auto"/>
        <w:bottom w:val="none" w:sz="0" w:space="0" w:color="auto"/>
        <w:right w:val="none" w:sz="0" w:space="0" w:color="auto"/>
      </w:divBdr>
    </w:div>
    <w:div w:id="382368673">
      <w:bodyDiv w:val="1"/>
      <w:marLeft w:val="0"/>
      <w:marRight w:val="0"/>
      <w:marTop w:val="0"/>
      <w:marBottom w:val="0"/>
      <w:divBdr>
        <w:top w:val="none" w:sz="0" w:space="0" w:color="auto"/>
        <w:left w:val="none" w:sz="0" w:space="0" w:color="auto"/>
        <w:bottom w:val="none" w:sz="0" w:space="0" w:color="auto"/>
        <w:right w:val="none" w:sz="0" w:space="0" w:color="auto"/>
      </w:divBdr>
    </w:div>
    <w:div w:id="400444394">
      <w:bodyDiv w:val="1"/>
      <w:marLeft w:val="0"/>
      <w:marRight w:val="0"/>
      <w:marTop w:val="0"/>
      <w:marBottom w:val="0"/>
      <w:divBdr>
        <w:top w:val="none" w:sz="0" w:space="0" w:color="auto"/>
        <w:left w:val="none" w:sz="0" w:space="0" w:color="auto"/>
        <w:bottom w:val="none" w:sz="0" w:space="0" w:color="auto"/>
        <w:right w:val="none" w:sz="0" w:space="0" w:color="auto"/>
      </w:divBdr>
    </w:div>
    <w:div w:id="414278973">
      <w:bodyDiv w:val="1"/>
      <w:marLeft w:val="0"/>
      <w:marRight w:val="0"/>
      <w:marTop w:val="0"/>
      <w:marBottom w:val="0"/>
      <w:divBdr>
        <w:top w:val="none" w:sz="0" w:space="0" w:color="auto"/>
        <w:left w:val="none" w:sz="0" w:space="0" w:color="auto"/>
        <w:bottom w:val="none" w:sz="0" w:space="0" w:color="auto"/>
        <w:right w:val="none" w:sz="0" w:space="0" w:color="auto"/>
      </w:divBdr>
    </w:div>
    <w:div w:id="425081938">
      <w:bodyDiv w:val="1"/>
      <w:marLeft w:val="0"/>
      <w:marRight w:val="0"/>
      <w:marTop w:val="0"/>
      <w:marBottom w:val="0"/>
      <w:divBdr>
        <w:top w:val="none" w:sz="0" w:space="0" w:color="auto"/>
        <w:left w:val="none" w:sz="0" w:space="0" w:color="auto"/>
        <w:bottom w:val="none" w:sz="0" w:space="0" w:color="auto"/>
        <w:right w:val="none" w:sz="0" w:space="0" w:color="auto"/>
      </w:divBdr>
    </w:div>
    <w:div w:id="441920632">
      <w:bodyDiv w:val="1"/>
      <w:marLeft w:val="0"/>
      <w:marRight w:val="0"/>
      <w:marTop w:val="0"/>
      <w:marBottom w:val="0"/>
      <w:divBdr>
        <w:top w:val="none" w:sz="0" w:space="0" w:color="auto"/>
        <w:left w:val="none" w:sz="0" w:space="0" w:color="auto"/>
        <w:bottom w:val="none" w:sz="0" w:space="0" w:color="auto"/>
        <w:right w:val="none" w:sz="0" w:space="0" w:color="auto"/>
      </w:divBdr>
    </w:div>
    <w:div w:id="446434919">
      <w:bodyDiv w:val="1"/>
      <w:marLeft w:val="0"/>
      <w:marRight w:val="0"/>
      <w:marTop w:val="0"/>
      <w:marBottom w:val="0"/>
      <w:divBdr>
        <w:top w:val="none" w:sz="0" w:space="0" w:color="auto"/>
        <w:left w:val="none" w:sz="0" w:space="0" w:color="auto"/>
        <w:bottom w:val="none" w:sz="0" w:space="0" w:color="auto"/>
        <w:right w:val="none" w:sz="0" w:space="0" w:color="auto"/>
      </w:divBdr>
    </w:div>
    <w:div w:id="493422395">
      <w:bodyDiv w:val="1"/>
      <w:marLeft w:val="0"/>
      <w:marRight w:val="0"/>
      <w:marTop w:val="0"/>
      <w:marBottom w:val="0"/>
      <w:divBdr>
        <w:top w:val="none" w:sz="0" w:space="0" w:color="auto"/>
        <w:left w:val="none" w:sz="0" w:space="0" w:color="auto"/>
        <w:bottom w:val="none" w:sz="0" w:space="0" w:color="auto"/>
        <w:right w:val="none" w:sz="0" w:space="0" w:color="auto"/>
      </w:divBdr>
    </w:div>
    <w:div w:id="508758633">
      <w:bodyDiv w:val="1"/>
      <w:marLeft w:val="0"/>
      <w:marRight w:val="0"/>
      <w:marTop w:val="0"/>
      <w:marBottom w:val="0"/>
      <w:divBdr>
        <w:top w:val="none" w:sz="0" w:space="0" w:color="auto"/>
        <w:left w:val="none" w:sz="0" w:space="0" w:color="auto"/>
        <w:bottom w:val="none" w:sz="0" w:space="0" w:color="auto"/>
        <w:right w:val="none" w:sz="0" w:space="0" w:color="auto"/>
      </w:divBdr>
    </w:div>
    <w:div w:id="523372439">
      <w:bodyDiv w:val="1"/>
      <w:marLeft w:val="0"/>
      <w:marRight w:val="0"/>
      <w:marTop w:val="0"/>
      <w:marBottom w:val="0"/>
      <w:divBdr>
        <w:top w:val="none" w:sz="0" w:space="0" w:color="auto"/>
        <w:left w:val="none" w:sz="0" w:space="0" w:color="auto"/>
        <w:bottom w:val="none" w:sz="0" w:space="0" w:color="auto"/>
        <w:right w:val="none" w:sz="0" w:space="0" w:color="auto"/>
      </w:divBdr>
    </w:div>
    <w:div w:id="541090262">
      <w:bodyDiv w:val="1"/>
      <w:marLeft w:val="0"/>
      <w:marRight w:val="0"/>
      <w:marTop w:val="0"/>
      <w:marBottom w:val="0"/>
      <w:divBdr>
        <w:top w:val="none" w:sz="0" w:space="0" w:color="auto"/>
        <w:left w:val="none" w:sz="0" w:space="0" w:color="auto"/>
        <w:bottom w:val="none" w:sz="0" w:space="0" w:color="auto"/>
        <w:right w:val="none" w:sz="0" w:space="0" w:color="auto"/>
      </w:divBdr>
    </w:div>
    <w:div w:id="574239896">
      <w:bodyDiv w:val="1"/>
      <w:marLeft w:val="0"/>
      <w:marRight w:val="0"/>
      <w:marTop w:val="0"/>
      <w:marBottom w:val="0"/>
      <w:divBdr>
        <w:top w:val="none" w:sz="0" w:space="0" w:color="auto"/>
        <w:left w:val="none" w:sz="0" w:space="0" w:color="auto"/>
        <w:bottom w:val="none" w:sz="0" w:space="0" w:color="auto"/>
        <w:right w:val="none" w:sz="0" w:space="0" w:color="auto"/>
      </w:divBdr>
    </w:div>
    <w:div w:id="592669401">
      <w:bodyDiv w:val="1"/>
      <w:marLeft w:val="0"/>
      <w:marRight w:val="0"/>
      <w:marTop w:val="0"/>
      <w:marBottom w:val="0"/>
      <w:divBdr>
        <w:top w:val="none" w:sz="0" w:space="0" w:color="auto"/>
        <w:left w:val="none" w:sz="0" w:space="0" w:color="auto"/>
        <w:bottom w:val="none" w:sz="0" w:space="0" w:color="auto"/>
        <w:right w:val="none" w:sz="0" w:space="0" w:color="auto"/>
      </w:divBdr>
    </w:div>
    <w:div w:id="620575850">
      <w:bodyDiv w:val="1"/>
      <w:marLeft w:val="0"/>
      <w:marRight w:val="0"/>
      <w:marTop w:val="0"/>
      <w:marBottom w:val="0"/>
      <w:divBdr>
        <w:top w:val="none" w:sz="0" w:space="0" w:color="auto"/>
        <w:left w:val="none" w:sz="0" w:space="0" w:color="auto"/>
        <w:bottom w:val="none" w:sz="0" w:space="0" w:color="auto"/>
        <w:right w:val="none" w:sz="0" w:space="0" w:color="auto"/>
      </w:divBdr>
    </w:div>
    <w:div w:id="626660414">
      <w:bodyDiv w:val="1"/>
      <w:marLeft w:val="0"/>
      <w:marRight w:val="0"/>
      <w:marTop w:val="0"/>
      <w:marBottom w:val="0"/>
      <w:divBdr>
        <w:top w:val="none" w:sz="0" w:space="0" w:color="auto"/>
        <w:left w:val="none" w:sz="0" w:space="0" w:color="auto"/>
        <w:bottom w:val="none" w:sz="0" w:space="0" w:color="auto"/>
        <w:right w:val="none" w:sz="0" w:space="0" w:color="auto"/>
      </w:divBdr>
    </w:div>
    <w:div w:id="728725659">
      <w:bodyDiv w:val="1"/>
      <w:marLeft w:val="0"/>
      <w:marRight w:val="0"/>
      <w:marTop w:val="0"/>
      <w:marBottom w:val="0"/>
      <w:divBdr>
        <w:top w:val="none" w:sz="0" w:space="0" w:color="auto"/>
        <w:left w:val="none" w:sz="0" w:space="0" w:color="auto"/>
        <w:bottom w:val="none" w:sz="0" w:space="0" w:color="auto"/>
        <w:right w:val="none" w:sz="0" w:space="0" w:color="auto"/>
      </w:divBdr>
    </w:div>
    <w:div w:id="752437929">
      <w:bodyDiv w:val="1"/>
      <w:marLeft w:val="0"/>
      <w:marRight w:val="0"/>
      <w:marTop w:val="0"/>
      <w:marBottom w:val="0"/>
      <w:divBdr>
        <w:top w:val="none" w:sz="0" w:space="0" w:color="auto"/>
        <w:left w:val="none" w:sz="0" w:space="0" w:color="auto"/>
        <w:bottom w:val="none" w:sz="0" w:space="0" w:color="auto"/>
        <w:right w:val="none" w:sz="0" w:space="0" w:color="auto"/>
      </w:divBdr>
    </w:div>
    <w:div w:id="755790565">
      <w:bodyDiv w:val="1"/>
      <w:marLeft w:val="0"/>
      <w:marRight w:val="0"/>
      <w:marTop w:val="0"/>
      <w:marBottom w:val="0"/>
      <w:divBdr>
        <w:top w:val="none" w:sz="0" w:space="0" w:color="auto"/>
        <w:left w:val="none" w:sz="0" w:space="0" w:color="auto"/>
        <w:bottom w:val="none" w:sz="0" w:space="0" w:color="auto"/>
        <w:right w:val="none" w:sz="0" w:space="0" w:color="auto"/>
      </w:divBdr>
    </w:div>
    <w:div w:id="755983475">
      <w:bodyDiv w:val="1"/>
      <w:marLeft w:val="0"/>
      <w:marRight w:val="0"/>
      <w:marTop w:val="0"/>
      <w:marBottom w:val="0"/>
      <w:divBdr>
        <w:top w:val="none" w:sz="0" w:space="0" w:color="auto"/>
        <w:left w:val="none" w:sz="0" w:space="0" w:color="auto"/>
        <w:bottom w:val="none" w:sz="0" w:space="0" w:color="auto"/>
        <w:right w:val="none" w:sz="0" w:space="0" w:color="auto"/>
      </w:divBdr>
    </w:div>
    <w:div w:id="757022907">
      <w:bodyDiv w:val="1"/>
      <w:marLeft w:val="0"/>
      <w:marRight w:val="0"/>
      <w:marTop w:val="0"/>
      <w:marBottom w:val="0"/>
      <w:divBdr>
        <w:top w:val="none" w:sz="0" w:space="0" w:color="auto"/>
        <w:left w:val="none" w:sz="0" w:space="0" w:color="auto"/>
        <w:bottom w:val="none" w:sz="0" w:space="0" w:color="auto"/>
        <w:right w:val="none" w:sz="0" w:space="0" w:color="auto"/>
      </w:divBdr>
    </w:div>
    <w:div w:id="774253856">
      <w:bodyDiv w:val="1"/>
      <w:marLeft w:val="0"/>
      <w:marRight w:val="0"/>
      <w:marTop w:val="0"/>
      <w:marBottom w:val="0"/>
      <w:divBdr>
        <w:top w:val="none" w:sz="0" w:space="0" w:color="auto"/>
        <w:left w:val="none" w:sz="0" w:space="0" w:color="auto"/>
        <w:bottom w:val="none" w:sz="0" w:space="0" w:color="auto"/>
        <w:right w:val="none" w:sz="0" w:space="0" w:color="auto"/>
      </w:divBdr>
    </w:div>
    <w:div w:id="775708775">
      <w:bodyDiv w:val="1"/>
      <w:marLeft w:val="0"/>
      <w:marRight w:val="0"/>
      <w:marTop w:val="0"/>
      <w:marBottom w:val="0"/>
      <w:divBdr>
        <w:top w:val="none" w:sz="0" w:space="0" w:color="auto"/>
        <w:left w:val="none" w:sz="0" w:space="0" w:color="auto"/>
        <w:bottom w:val="none" w:sz="0" w:space="0" w:color="auto"/>
        <w:right w:val="none" w:sz="0" w:space="0" w:color="auto"/>
      </w:divBdr>
    </w:div>
    <w:div w:id="794180045">
      <w:bodyDiv w:val="1"/>
      <w:marLeft w:val="0"/>
      <w:marRight w:val="0"/>
      <w:marTop w:val="0"/>
      <w:marBottom w:val="0"/>
      <w:divBdr>
        <w:top w:val="none" w:sz="0" w:space="0" w:color="auto"/>
        <w:left w:val="none" w:sz="0" w:space="0" w:color="auto"/>
        <w:bottom w:val="none" w:sz="0" w:space="0" w:color="auto"/>
        <w:right w:val="none" w:sz="0" w:space="0" w:color="auto"/>
      </w:divBdr>
    </w:div>
    <w:div w:id="829564366">
      <w:bodyDiv w:val="1"/>
      <w:marLeft w:val="0"/>
      <w:marRight w:val="0"/>
      <w:marTop w:val="0"/>
      <w:marBottom w:val="0"/>
      <w:divBdr>
        <w:top w:val="none" w:sz="0" w:space="0" w:color="auto"/>
        <w:left w:val="none" w:sz="0" w:space="0" w:color="auto"/>
        <w:bottom w:val="none" w:sz="0" w:space="0" w:color="auto"/>
        <w:right w:val="none" w:sz="0" w:space="0" w:color="auto"/>
      </w:divBdr>
    </w:div>
    <w:div w:id="851989713">
      <w:bodyDiv w:val="1"/>
      <w:marLeft w:val="0"/>
      <w:marRight w:val="0"/>
      <w:marTop w:val="0"/>
      <w:marBottom w:val="0"/>
      <w:divBdr>
        <w:top w:val="none" w:sz="0" w:space="0" w:color="auto"/>
        <w:left w:val="none" w:sz="0" w:space="0" w:color="auto"/>
        <w:bottom w:val="none" w:sz="0" w:space="0" w:color="auto"/>
        <w:right w:val="none" w:sz="0" w:space="0" w:color="auto"/>
      </w:divBdr>
    </w:div>
    <w:div w:id="861745081">
      <w:bodyDiv w:val="1"/>
      <w:marLeft w:val="0"/>
      <w:marRight w:val="0"/>
      <w:marTop w:val="0"/>
      <w:marBottom w:val="0"/>
      <w:divBdr>
        <w:top w:val="none" w:sz="0" w:space="0" w:color="auto"/>
        <w:left w:val="none" w:sz="0" w:space="0" w:color="auto"/>
        <w:bottom w:val="none" w:sz="0" w:space="0" w:color="auto"/>
        <w:right w:val="none" w:sz="0" w:space="0" w:color="auto"/>
      </w:divBdr>
    </w:div>
    <w:div w:id="862330110">
      <w:bodyDiv w:val="1"/>
      <w:marLeft w:val="0"/>
      <w:marRight w:val="0"/>
      <w:marTop w:val="0"/>
      <w:marBottom w:val="0"/>
      <w:divBdr>
        <w:top w:val="none" w:sz="0" w:space="0" w:color="auto"/>
        <w:left w:val="none" w:sz="0" w:space="0" w:color="auto"/>
        <w:bottom w:val="none" w:sz="0" w:space="0" w:color="auto"/>
        <w:right w:val="none" w:sz="0" w:space="0" w:color="auto"/>
      </w:divBdr>
    </w:div>
    <w:div w:id="885484418">
      <w:bodyDiv w:val="1"/>
      <w:marLeft w:val="0"/>
      <w:marRight w:val="0"/>
      <w:marTop w:val="0"/>
      <w:marBottom w:val="0"/>
      <w:divBdr>
        <w:top w:val="none" w:sz="0" w:space="0" w:color="auto"/>
        <w:left w:val="none" w:sz="0" w:space="0" w:color="auto"/>
        <w:bottom w:val="none" w:sz="0" w:space="0" w:color="auto"/>
        <w:right w:val="none" w:sz="0" w:space="0" w:color="auto"/>
      </w:divBdr>
    </w:div>
    <w:div w:id="910845383">
      <w:bodyDiv w:val="1"/>
      <w:marLeft w:val="0"/>
      <w:marRight w:val="0"/>
      <w:marTop w:val="0"/>
      <w:marBottom w:val="0"/>
      <w:divBdr>
        <w:top w:val="none" w:sz="0" w:space="0" w:color="auto"/>
        <w:left w:val="none" w:sz="0" w:space="0" w:color="auto"/>
        <w:bottom w:val="none" w:sz="0" w:space="0" w:color="auto"/>
        <w:right w:val="none" w:sz="0" w:space="0" w:color="auto"/>
      </w:divBdr>
    </w:div>
    <w:div w:id="924453995">
      <w:bodyDiv w:val="1"/>
      <w:marLeft w:val="0"/>
      <w:marRight w:val="0"/>
      <w:marTop w:val="0"/>
      <w:marBottom w:val="0"/>
      <w:divBdr>
        <w:top w:val="none" w:sz="0" w:space="0" w:color="auto"/>
        <w:left w:val="none" w:sz="0" w:space="0" w:color="auto"/>
        <w:bottom w:val="none" w:sz="0" w:space="0" w:color="auto"/>
        <w:right w:val="none" w:sz="0" w:space="0" w:color="auto"/>
      </w:divBdr>
    </w:div>
    <w:div w:id="928536882">
      <w:bodyDiv w:val="1"/>
      <w:marLeft w:val="0"/>
      <w:marRight w:val="0"/>
      <w:marTop w:val="0"/>
      <w:marBottom w:val="0"/>
      <w:divBdr>
        <w:top w:val="none" w:sz="0" w:space="0" w:color="auto"/>
        <w:left w:val="none" w:sz="0" w:space="0" w:color="auto"/>
        <w:bottom w:val="none" w:sz="0" w:space="0" w:color="auto"/>
        <w:right w:val="none" w:sz="0" w:space="0" w:color="auto"/>
      </w:divBdr>
    </w:div>
    <w:div w:id="957300962">
      <w:bodyDiv w:val="1"/>
      <w:marLeft w:val="0"/>
      <w:marRight w:val="0"/>
      <w:marTop w:val="0"/>
      <w:marBottom w:val="0"/>
      <w:divBdr>
        <w:top w:val="none" w:sz="0" w:space="0" w:color="auto"/>
        <w:left w:val="none" w:sz="0" w:space="0" w:color="auto"/>
        <w:bottom w:val="none" w:sz="0" w:space="0" w:color="auto"/>
        <w:right w:val="none" w:sz="0" w:space="0" w:color="auto"/>
      </w:divBdr>
    </w:div>
    <w:div w:id="1034966060">
      <w:bodyDiv w:val="1"/>
      <w:marLeft w:val="0"/>
      <w:marRight w:val="0"/>
      <w:marTop w:val="0"/>
      <w:marBottom w:val="0"/>
      <w:divBdr>
        <w:top w:val="none" w:sz="0" w:space="0" w:color="auto"/>
        <w:left w:val="none" w:sz="0" w:space="0" w:color="auto"/>
        <w:bottom w:val="none" w:sz="0" w:space="0" w:color="auto"/>
        <w:right w:val="none" w:sz="0" w:space="0" w:color="auto"/>
      </w:divBdr>
    </w:div>
    <w:div w:id="1043283689">
      <w:bodyDiv w:val="1"/>
      <w:marLeft w:val="0"/>
      <w:marRight w:val="0"/>
      <w:marTop w:val="0"/>
      <w:marBottom w:val="0"/>
      <w:divBdr>
        <w:top w:val="none" w:sz="0" w:space="0" w:color="auto"/>
        <w:left w:val="none" w:sz="0" w:space="0" w:color="auto"/>
        <w:bottom w:val="none" w:sz="0" w:space="0" w:color="auto"/>
        <w:right w:val="none" w:sz="0" w:space="0" w:color="auto"/>
      </w:divBdr>
    </w:div>
    <w:div w:id="1047531966">
      <w:bodyDiv w:val="1"/>
      <w:marLeft w:val="0"/>
      <w:marRight w:val="0"/>
      <w:marTop w:val="0"/>
      <w:marBottom w:val="0"/>
      <w:divBdr>
        <w:top w:val="none" w:sz="0" w:space="0" w:color="auto"/>
        <w:left w:val="none" w:sz="0" w:space="0" w:color="auto"/>
        <w:bottom w:val="none" w:sz="0" w:space="0" w:color="auto"/>
        <w:right w:val="none" w:sz="0" w:space="0" w:color="auto"/>
      </w:divBdr>
    </w:div>
    <w:div w:id="1081756015">
      <w:bodyDiv w:val="1"/>
      <w:marLeft w:val="0"/>
      <w:marRight w:val="0"/>
      <w:marTop w:val="0"/>
      <w:marBottom w:val="0"/>
      <w:divBdr>
        <w:top w:val="none" w:sz="0" w:space="0" w:color="auto"/>
        <w:left w:val="none" w:sz="0" w:space="0" w:color="auto"/>
        <w:bottom w:val="none" w:sz="0" w:space="0" w:color="auto"/>
        <w:right w:val="none" w:sz="0" w:space="0" w:color="auto"/>
      </w:divBdr>
    </w:div>
    <w:div w:id="1090783046">
      <w:bodyDiv w:val="1"/>
      <w:marLeft w:val="0"/>
      <w:marRight w:val="0"/>
      <w:marTop w:val="0"/>
      <w:marBottom w:val="0"/>
      <w:divBdr>
        <w:top w:val="none" w:sz="0" w:space="0" w:color="auto"/>
        <w:left w:val="none" w:sz="0" w:space="0" w:color="auto"/>
        <w:bottom w:val="none" w:sz="0" w:space="0" w:color="auto"/>
        <w:right w:val="none" w:sz="0" w:space="0" w:color="auto"/>
      </w:divBdr>
    </w:div>
    <w:div w:id="1118792417">
      <w:bodyDiv w:val="1"/>
      <w:marLeft w:val="0"/>
      <w:marRight w:val="0"/>
      <w:marTop w:val="0"/>
      <w:marBottom w:val="0"/>
      <w:divBdr>
        <w:top w:val="none" w:sz="0" w:space="0" w:color="auto"/>
        <w:left w:val="none" w:sz="0" w:space="0" w:color="auto"/>
        <w:bottom w:val="none" w:sz="0" w:space="0" w:color="auto"/>
        <w:right w:val="none" w:sz="0" w:space="0" w:color="auto"/>
      </w:divBdr>
    </w:div>
    <w:div w:id="1131511266">
      <w:bodyDiv w:val="1"/>
      <w:marLeft w:val="0"/>
      <w:marRight w:val="0"/>
      <w:marTop w:val="0"/>
      <w:marBottom w:val="0"/>
      <w:divBdr>
        <w:top w:val="none" w:sz="0" w:space="0" w:color="auto"/>
        <w:left w:val="none" w:sz="0" w:space="0" w:color="auto"/>
        <w:bottom w:val="none" w:sz="0" w:space="0" w:color="auto"/>
        <w:right w:val="none" w:sz="0" w:space="0" w:color="auto"/>
      </w:divBdr>
    </w:div>
    <w:div w:id="1135756171">
      <w:bodyDiv w:val="1"/>
      <w:marLeft w:val="0"/>
      <w:marRight w:val="0"/>
      <w:marTop w:val="0"/>
      <w:marBottom w:val="0"/>
      <w:divBdr>
        <w:top w:val="none" w:sz="0" w:space="0" w:color="auto"/>
        <w:left w:val="none" w:sz="0" w:space="0" w:color="auto"/>
        <w:bottom w:val="none" w:sz="0" w:space="0" w:color="auto"/>
        <w:right w:val="none" w:sz="0" w:space="0" w:color="auto"/>
      </w:divBdr>
    </w:div>
    <w:div w:id="1136340893">
      <w:bodyDiv w:val="1"/>
      <w:marLeft w:val="0"/>
      <w:marRight w:val="0"/>
      <w:marTop w:val="0"/>
      <w:marBottom w:val="0"/>
      <w:divBdr>
        <w:top w:val="none" w:sz="0" w:space="0" w:color="auto"/>
        <w:left w:val="none" w:sz="0" w:space="0" w:color="auto"/>
        <w:bottom w:val="none" w:sz="0" w:space="0" w:color="auto"/>
        <w:right w:val="none" w:sz="0" w:space="0" w:color="auto"/>
      </w:divBdr>
    </w:div>
    <w:div w:id="1145857436">
      <w:bodyDiv w:val="1"/>
      <w:marLeft w:val="0"/>
      <w:marRight w:val="0"/>
      <w:marTop w:val="0"/>
      <w:marBottom w:val="0"/>
      <w:divBdr>
        <w:top w:val="none" w:sz="0" w:space="0" w:color="auto"/>
        <w:left w:val="none" w:sz="0" w:space="0" w:color="auto"/>
        <w:bottom w:val="none" w:sz="0" w:space="0" w:color="auto"/>
        <w:right w:val="none" w:sz="0" w:space="0" w:color="auto"/>
      </w:divBdr>
    </w:div>
    <w:div w:id="1171675925">
      <w:bodyDiv w:val="1"/>
      <w:marLeft w:val="0"/>
      <w:marRight w:val="0"/>
      <w:marTop w:val="0"/>
      <w:marBottom w:val="0"/>
      <w:divBdr>
        <w:top w:val="none" w:sz="0" w:space="0" w:color="auto"/>
        <w:left w:val="none" w:sz="0" w:space="0" w:color="auto"/>
        <w:bottom w:val="none" w:sz="0" w:space="0" w:color="auto"/>
        <w:right w:val="none" w:sz="0" w:space="0" w:color="auto"/>
      </w:divBdr>
    </w:div>
    <w:div w:id="1195003191">
      <w:bodyDiv w:val="1"/>
      <w:marLeft w:val="0"/>
      <w:marRight w:val="0"/>
      <w:marTop w:val="0"/>
      <w:marBottom w:val="0"/>
      <w:divBdr>
        <w:top w:val="none" w:sz="0" w:space="0" w:color="auto"/>
        <w:left w:val="none" w:sz="0" w:space="0" w:color="auto"/>
        <w:bottom w:val="none" w:sz="0" w:space="0" w:color="auto"/>
        <w:right w:val="none" w:sz="0" w:space="0" w:color="auto"/>
      </w:divBdr>
    </w:div>
    <w:div w:id="1214852900">
      <w:bodyDiv w:val="1"/>
      <w:marLeft w:val="0"/>
      <w:marRight w:val="0"/>
      <w:marTop w:val="0"/>
      <w:marBottom w:val="0"/>
      <w:divBdr>
        <w:top w:val="none" w:sz="0" w:space="0" w:color="auto"/>
        <w:left w:val="none" w:sz="0" w:space="0" w:color="auto"/>
        <w:bottom w:val="none" w:sz="0" w:space="0" w:color="auto"/>
        <w:right w:val="none" w:sz="0" w:space="0" w:color="auto"/>
      </w:divBdr>
    </w:div>
    <w:div w:id="1255092425">
      <w:bodyDiv w:val="1"/>
      <w:marLeft w:val="0"/>
      <w:marRight w:val="0"/>
      <w:marTop w:val="0"/>
      <w:marBottom w:val="0"/>
      <w:divBdr>
        <w:top w:val="none" w:sz="0" w:space="0" w:color="auto"/>
        <w:left w:val="none" w:sz="0" w:space="0" w:color="auto"/>
        <w:bottom w:val="none" w:sz="0" w:space="0" w:color="auto"/>
        <w:right w:val="none" w:sz="0" w:space="0" w:color="auto"/>
      </w:divBdr>
    </w:div>
    <w:div w:id="1292706145">
      <w:bodyDiv w:val="1"/>
      <w:marLeft w:val="0"/>
      <w:marRight w:val="0"/>
      <w:marTop w:val="0"/>
      <w:marBottom w:val="0"/>
      <w:divBdr>
        <w:top w:val="none" w:sz="0" w:space="0" w:color="auto"/>
        <w:left w:val="none" w:sz="0" w:space="0" w:color="auto"/>
        <w:bottom w:val="none" w:sz="0" w:space="0" w:color="auto"/>
        <w:right w:val="none" w:sz="0" w:space="0" w:color="auto"/>
      </w:divBdr>
    </w:div>
    <w:div w:id="1333876926">
      <w:bodyDiv w:val="1"/>
      <w:marLeft w:val="0"/>
      <w:marRight w:val="0"/>
      <w:marTop w:val="0"/>
      <w:marBottom w:val="0"/>
      <w:divBdr>
        <w:top w:val="none" w:sz="0" w:space="0" w:color="auto"/>
        <w:left w:val="none" w:sz="0" w:space="0" w:color="auto"/>
        <w:bottom w:val="none" w:sz="0" w:space="0" w:color="auto"/>
        <w:right w:val="none" w:sz="0" w:space="0" w:color="auto"/>
      </w:divBdr>
    </w:div>
    <w:div w:id="1346253045">
      <w:bodyDiv w:val="1"/>
      <w:marLeft w:val="0"/>
      <w:marRight w:val="0"/>
      <w:marTop w:val="0"/>
      <w:marBottom w:val="0"/>
      <w:divBdr>
        <w:top w:val="none" w:sz="0" w:space="0" w:color="auto"/>
        <w:left w:val="none" w:sz="0" w:space="0" w:color="auto"/>
        <w:bottom w:val="none" w:sz="0" w:space="0" w:color="auto"/>
        <w:right w:val="none" w:sz="0" w:space="0" w:color="auto"/>
      </w:divBdr>
    </w:div>
    <w:div w:id="1353723738">
      <w:bodyDiv w:val="1"/>
      <w:marLeft w:val="0"/>
      <w:marRight w:val="0"/>
      <w:marTop w:val="0"/>
      <w:marBottom w:val="0"/>
      <w:divBdr>
        <w:top w:val="none" w:sz="0" w:space="0" w:color="auto"/>
        <w:left w:val="none" w:sz="0" w:space="0" w:color="auto"/>
        <w:bottom w:val="none" w:sz="0" w:space="0" w:color="auto"/>
        <w:right w:val="none" w:sz="0" w:space="0" w:color="auto"/>
      </w:divBdr>
    </w:div>
    <w:div w:id="1425149910">
      <w:bodyDiv w:val="1"/>
      <w:marLeft w:val="0"/>
      <w:marRight w:val="0"/>
      <w:marTop w:val="0"/>
      <w:marBottom w:val="0"/>
      <w:divBdr>
        <w:top w:val="none" w:sz="0" w:space="0" w:color="auto"/>
        <w:left w:val="none" w:sz="0" w:space="0" w:color="auto"/>
        <w:bottom w:val="none" w:sz="0" w:space="0" w:color="auto"/>
        <w:right w:val="none" w:sz="0" w:space="0" w:color="auto"/>
      </w:divBdr>
    </w:div>
    <w:div w:id="1479229726">
      <w:bodyDiv w:val="1"/>
      <w:marLeft w:val="0"/>
      <w:marRight w:val="0"/>
      <w:marTop w:val="0"/>
      <w:marBottom w:val="0"/>
      <w:divBdr>
        <w:top w:val="none" w:sz="0" w:space="0" w:color="auto"/>
        <w:left w:val="none" w:sz="0" w:space="0" w:color="auto"/>
        <w:bottom w:val="none" w:sz="0" w:space="0" w:color="auto"/>
        <w:right w:val="none" w:sz="0" w:space="0" w:color="auto"/>
      </w:divBdr>
    </w:div>
    <w:div w:id="1488857380">
      <w:bodyDiv w:val="1"/>
      <w:marLeft w:val="0"/>
      <w:marRight w:val="0"/>
      <w:marTop w:val="0"/>
      <w:marBottom w:val="0"/>
      <w:divBdr>
        <w:top w:val="none" w:sz="0" w:space="0" w:color="auto"/>
        <w:left w:val="none" w:sz="0" w:space="0" w:color="auto"/>
        <w:bottom w:val="none" w:sz="0" w:space="0" w:color="auto"/>
        <w:right w:val="none" w:sz="0" w:space="0" w:color="auto"/>
      </w:divBdr>
    </w:div>
    <w:div w:id="1491823152">
      <w:bodyDiv w:val="1"/>
      <w:marLeft w:val="0"/>
      <w:marRight w:val="0"/>
      <w:marTop w:val="0"/>
      <w:marBottom w:val="0"/>
      <w:divBdr>
        <w:top w:val="none" w:sz="0" w:space="0" w:color="auto"/>
        <w:left w:val="none" w:sz="0" w:space="0" w:color="auto"/>
        <w:bottom w:val="none" w:sz="0" w:space="0" w:color="auto"/>
        <w:right w:val="none" w:sz="0" w:space="0" w:color="auto"/>
      </w:divBdr>
    </w:div>
    <w:div w:id="1497765090">
      <w:bodyDiv w:val="1"/>
      <w:marLeft w:val="0"/>
      <w:marRight w:val="0"/>
      <w:marTop w:val="0"/>
      <w:marBottom w:val="0"/>
      <w:divBdr>
        <w:top w:val="none" w:sz="0" w:space="0" w:color="auto"/>
        <w:left w:val="none" w:sz="0" w:space="0" w:color="auto"/>
        <w:bottom w:val="none" w:sz="0" w:space="0" w:color="auto"/>
        <w:right w:val="none" w:sz="0" w:space="0" w:color="auto"/>
      </w:divBdr>
    </w:div>
    <w:div w:id="1515799539">
      <w:bodyDiv w:val="1"/>
      <w:marLeft w:val="0"/>
      <w:marRight w:val="0"/>
      <w:marTop w:val="0"/>
      <w:marBottom w:val="0"/>
      <w:divBdr>
        <w:top w:val="none" w:sz="0" w:space="0" w:color="auto"/>
        <w:left w:val="none" w:sz="0" w:space="0" w:color="auto"/>
        <w:bottom w:val="none" w:sz="0" w:space="0" w:color="auto"/>
        <w:right w:val="none" w:sz="0" w:space="0" w:color="auto"/>
      </w:divBdr>
    </w:div>
    <w:div w:id="1532762803">
      <w:bodyDiv w:val="1"/>
      <w:marLeft w:val="0"/>
      <w:marRight w:val="0"/>
      <w:marTop w:val="0"/>
      <w:marBottom w:val="0"/>
      <w:divBdr>
        <w:top w:val="none" w:sz="0" w:space="0" w:color="auto"/>
        <w:left w:val="none" w:sz="0" w:space="0" w:color="auto"/>
        <w:bottom w:val="none" w:sz="0" w:space="0" w:color="auto"/>
        <w:right w:val="none" w:sz="0" w:space="0" w:color="auto"/>
      </w:divBdr>
    </w:div>
    <w:div w:id="1535802625">
      <w:bodyDiv w:val="1"/>
      <w:marLeft w:val="0"/>
      <w:marRight w:val="0"/>
      <w:marTop w:val="0"/>
      <w:marBottom w:val="0"/>
      <w:divBdr>
        <w:top w:val="none" w:sz="0" w:space="0" w:color="auto"/>
        <w:left w:val="none" w:sz="0" w:space="0" w:color="auto"/>
        <w:bottom w:val="none" w:sz="0" w:space="0" w:color="auto"/>
        <w:right w:val="none" w:sz="0" w:space="0" w:color="auto"/>
      </w:divBdr>
    </w:div>
    <w:div w:id="1558661762">
      <w:bodyDiv w:val="1"/>
      <w:marLeft w:val="0"/>
      <w:marRight w:val="0"/>
      <w:marTop w:val="0"/>
      <w:marBottom w:val="0"/>
      <w:divBdr>
        <w:top w:val="none" w:sz="0" w:space="0" w:color="auto"/>
        <w:left w:val="none" w:sz="0" w:space="0" w:color="auto"/>
        <w:bottom w:val="none" w:sz="0" w:space="0" w:color="auto"/>
        <w:right w:val="none" w:sz="0" w:space="0" w:color="auto"/>
      </w:divBdr>
    </w:div>
    <w:div w:id="1582787568">
      <w:bodyDiv w:val="1"/>
      <w:marLeft w:val="0"/>
      <w:marRight w:val="0"/>
      <w:marTop w:val="0"/>
      <w:marBottom w:val="0"/>
      <w:divBdr>
        <w:top w:val="none" w:sz="0" w:space="0" w:color="auto"/>
        <w:left w:val="none" w:sz="0" w:space="0" w:color="auto"/>
        <w:bottom w:val="none" w:sz="0" w:space="0" w:color="auto"/>
        <w:right w:val="none" w:sz="0" w:space="0" w:color="auto"/>
      </w:divBdr>
    </w:div>
    <w:div w:id="1629166139">
      <w:bodyDiv w:val="1"/>
      <w:marLeft w:val="0"/>
      <w:marRight w:val="0"/>
      <w:marTop w:val="0"/>
      <w:marBottom w:val="0"/>
      <w:divBdr>
        <w:top w:val="none" w:sz="0" w:space="0" w:color="auto"/>
        <w:left w:val="none" w:sz="0" w:space="0" w:color="auto"/>
        <w:bottom w:val="none" w:sz="0" w:space="0" w:color="auto"/>
        <w:right w:val="none" w:sz="0" w:space="0" w:color="auto"/>
      </w:divBdr>
    </w:div>
    <w:div w:id="1640069215">
      <w:bodyDiv w:val="1"/>
      <w:marLeft w:val="0"/>
      <w:marRight w:val="0"/>
      <w:marTop w:val="0"/>
      <w:marBottom w:val="0"/>
      <w:divBdr>
        <w:top w:val="none" w:sz="0" w:space="0" w:color="auto"/>
        <w:left w:val="none" w:sz="0" w:space="0" w:color="auto"/>
        <w:bottom w:val="none" w:sz="0" w:space="0" w:color="auto"/>
        <w:right w:val="none" w:sz="0" w:space="0" w:color="auto"/>
      </w:divBdr>
    </w:div>
    <w:div w:id="1651443710">
      <w:bodyDiv w:val="1"/>
      <w:marLeft w:val="0"/>
      <w:marRight w:val="0"/>
      <w:marTop w:val="0"/>
      <w:marBottom w:val="0"/>
      <w:divBdr>
        <w:top w:val="none" w:sz="0" w:space="0" w:color="auto"/>
        <w:left w:val="none" w:sz="0" w:space="0" w:color="auto"/>
        <w:bottom w:val="none" w:sz="0" w:space="0" w:color="auto"/>
        <w:right w:val="none" w:sz="0" w:space="0" w:color="auto"/>
      </w:divBdr>
    </w:div>
    <w:div w:id="1666977539">
      <w:bodyDiv w:val="1"/>
      <w:marLeft w:val="0"/>
      <w:marRight w:val="0"/>
      <w:marTop w:val="0"/>
      <w:marBottom w:val="0"/>
      <w:divBdr>
        <w:top w:val="none" w:sz="0" w:space="0" w:color="auto"/>
        <w:left w:val="none" w:sz="0" w:space="0" w:color="auto"/>
        <w:bottom w:val="none" w:sz="0" w:space="0" w:color="auto"/>
        <w:right w:val="none" w:sz="0" w:space="0" w:color="auto"/>
      </w:divBdr>
    </w:div>
    <w:div w:id="1730304621">
      <w:bodyDiv w:val="1"/>
      <w:marLeft w:val="0"/>
      <w:marRight w:val="0"/>
      <w:marTop w:val="0"/>
      <w:marBottom w:val="0"/>
      <w:divBdr>
        <w:top w:val="none" w:sz="0" w:space="0" w:color="auto"/>
        <w:left w:val="none" w:sz="0" w:space="0" w:color="auto"/>
        <w:bottom w:val="none" w:sz="0" w:space="0" w:color="auto"/>
        <w:right w:val="none" w:sz="0" w:space="0" w:color="auto"/>
      </w:divBdr>
    </w:div>
    <w:div w:id="1762793722">
      <w:bodyDiv w:val="1"/>
      <w:marLeft w:val="0"/>
      <w:marRight w:val="0"/>
      <w:marTop w:val="0"/>
      <w:marBottom w:val="0"/>
      <w:divBdr>
        <w:top w:val="none" w:sz="0" w:space="0" w:color="auto"/>
        <w:left w:val="none" w:sz="0" w:space="0" w:color="auto"/>
        <w:bottom w:val="none" w:sz="0" w:space="0" w:color="auto"/>
        <w:right w:val="none" w:sz="0" w:space="0" w:color="auto"/>
      </w:divBdr>
    </w:div>
    <w:div w:id="1784034271">
      <w:bodyDiv w:val="1"/>
      <w:marLeft w:val="0"/>
      <w:marRight w:val="0"/>
      <w:marTop w:val="0"/>
      <w:marBottom w:val="0"/>
      <w:divBdr>
        <w:top w:val="none" w:sz="0" w:space="0" w:color="auto"/>
        <w:left w:val="none" w:sz="0" w:space="0" w:color="auto"/>
        <w:bottom w:val="none" w:sz="0" w:space="0" w:color="auto"/>
        <w:right w:val="none" w:sz="0" w:space="0" w:color="auto"/>
      </w:divBdr>
    </w:div>
    <w:div w:id="1793552501">
      <w:bodyDiv w:val="1"/>
      <w:marLeft w:val="0"/>
      <w:marRight w:val="0"/>
      <w:marTop w:val="0"/>
      <w:marBottom w:val="0"/>
      <w:divBdr>
        <w:top w:val="none" w:sz="0" w:space="0" w:color="auto"/>
        <w:left w:val="none" w:sz="0" w:space="0" w:color="auto"/>
        <w:bottom w:val="none" w:sz="0" w:space="0" w:color="auto"/>
        <w:right w:val="none" w:sz="0" w:space="0" w:color="auto"/>
      </w:divBdr>
    </w:div>
    <w:div w:id="1849322717">
      <w:bodyDiv w:val="1"/>
      <w:marLeft w:val="0"/>
      <w:marRight w:val="0"/>
      <w:marTop w:val="0"/>
      <w:marBottom w:val="0"/>
      <w:divBdr>
        <w:top w:val="none" w:sz="0" w:space="0" w:color="auto"/>
        <w:left w:val="none" w:sz="0" w:space="0" w:color="auto"/>
        <w:bottom w:val="none" w:sz="0" w:space="0" w:color="auto"/>
        <w:right w:val="none" w:sz="0" w:space="0" w:color="auto"/>
      </w:divBdr>
    </w:div>
    <w:div w:id="1913199527">
      <w:bodyDiv w:val="1"/>
      <w:marLeft w:val="0"/>
      <w:marRight w:val="0"/>
      <w:marTop w:val="0"/>
      <w:marBottom w:val="0"/>
      <w:divBdr>
        <w:top w:val="none" w:sz="0" w:space="0" w:color="auto"/>
        <w:left w:val="none" w:sz="0" w:space="0" w:color="auto"/>
        <w:bottom w:val="none" w:sz="0" w:space="0" w:color="auto"/>
        <w:right w:val="none" w:sz="0" w:space="0" w:color="auto"/>
      </w:divBdr>
    </w:div>
    <w:div w:id="1923442781">
      <w:bodyDiv w:val="1"/>
      <w:marLeft w:val="0"/>
      <w:marRight w:val="0"/>
      <w:marTop w:val="0"/>
      <w:marBottom w:val="0"/>
      <w:divBdr>
        <w:top w:val="none" w:sz="0" w:space="0" w:color="auto"/>
        <w:left w:val="none" w:sz="0" w:space="0" w:color="auto"/>
        <w:bottom w:val="none" w:sz="0" w:space="0" w:color="auto"/>
        <w:right w:val="none" w:sz="0" w:space="0" w:color="auto"/>
      </w:divBdr>
    </w:div>
    <w:div w:id="1935481340">
      <w:bodyDiv w:val="1"/>
      <w:marLeft w:val="0"/>
      <w:marRight w:val="0"/>
      <w:marTop w:val="0"/>
      <w:marBottom w:val="0"/>
      <w:divBdr>
        <w:top w:val="none" w:sz="0" w:space="0" w:color="auto"/>
        <w:left w:val="none" w:sz="0" w:space="0" w:color="auto"/>
        <w:bottom w:val="none" w:sz="0" w:space="0" w:color="auto"/>
        <w:right w:val="none" w:sz="0" w:space="0" w:color="auto"/>
      </w:divBdr>
    </w:div>
    <w:div w:id="1942371291">
      <w:bodyDiv w:val="1"/>
      <w:marLeft w:val="0"/>
      <w:marRight w:val="0"/>
      <w:marTop w:val="0"/>
      <w:marBottom w:val="0"/>
      <w:divBdr>
        <w:top w:val="none" w:sz="0" w:space="0" w:color="auto"/>
        <w:left w:val="none" w:sz="0" w:space="0" w:color="auto"/>
        <w:bottom w:val="none" w:sz="0" w:space="0" w:color="auto"/>
        <w:right w:val="none" w:sz="0" w:space="0" w:color="auto"/>
      </w:divBdr>
    </w:div>
    <w:div w:id="1947804593">
      <w:bodyDiv w:val="1"/>
      <w:marLeft w:val="0"/>
      <w:marRight w:val="0"/>
      <w:marTop w:val="0"/>
      <w:marBottom w:val="0"/>
      <w:divBdr>
        <w:top w:val="none" w:sz="0" w:space="0" w:color="auto"/>
        <w:left w:val="none" w:sz="0" w:space="0" w:color="auto"/>
        <w:bottom w:val="none" w:sz="0" w:space="0" w:color="auto"/>
        <w:right w:val="none" w:sz="0" w:space="0" w:color="auto"/>
      </w:divBdr>
    </w:div>
    <w:div w:id="1963530726">
      <w:bodyDiv w:val="1"/>
      <w:marLeft w:val="0"/>
      <w:marRight w:val="0"/>
      <w:marTop w:val="0"/>
      <w:marBottom w:val="0"/>
      <w:divBdr>
        <w:top w:val="none" w:sz="0" w:space="0" w:color="auto"/>
        <w:left w:val="none" w:sz="0" w:space="0" w:color="auto"/>
        <w:bottom w:val="none" w:sz="0" w:space="0" w:color="auto"/>
        <w:right w:val="none" w:sz="0" w:space="0" w:color="auto"/>
      </w:divBdr>
    </w:div>
    <w:div w:id="1980838517">
      <w:bodyDiv w:val="1"/>
      <w:marLeft w:val="0"/>
      <w:marRight w:val="0"/>
      <w:marTop w:val="0"/>
      <w:marBottom w:val="0"/>
      <w:divBdr>
        <w:top w:val="none" w:sz="0" w:space="0" w:color="auto"/>
        <w:left w:val="none" w:sz="0" w:space="0" w:color="auto"/>
        <w:bottom w:val="none" w:sz="0" w:space="0" w:color="auto"/>
        <w:right w:val="none" w:sz="0" w:space="0" w:color="auto"/>
      </w:divBdr>
    </w:div>
    <w:div w:id="2020891833">
      <w:bodyDiv w:val="1"/>
      <w:marLeft w:val="0"/>
      <w:marRight w:val="0"/>
      <w:marTop w:val="0"/>
      <w:marBottom w:val="0"/>
      <w:divBdr>
        <w:top w:val="none" w:sz="0" w:space="0" w:color="auto"/>
        <w:left w:val="none" w:sz="0" w:space="0" w:color="auto"/>
        <w:bottom w:val="none" w:sz="0" w:space="0" w:color="auto"/>
        <w:right w:val="none" w:sz="0" w:space="0" w:color="auto"/>
      </w:divBdr>
    </w:div>
    <w:div w:id="2124880026">
      <w:bodyDiv w:val="1"/>
      <w:marLeft w:val="0"/>
      <w:marRight w:val="0"/>
      <w:marTop w:val="0"/>
      <w:marBottom w:val="0"/>
      <w:divBdr>
        <w:top w:val="none" w:sz="0" w:space="0" w:color="auto"/>
        <w:left w:val="none" w:sz="0" w:space="0" w:color="auto"/>
        <w:bottom w:val="none" w:sz="0" w:space="0" w:color="auto"/>
        <w:right w:val="none" w:sz="0" w:space="0" w:color="auto"/>
      </w:divBdr>
    </w:div>
    <w:div w:id="2128042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research/reports/2017/12class-size-appendix.docx" TargetMode="External"/><Relationship Id="rId26" Type="http://schemas.openxmlformats.org/officeDocument/2006/relationships/hyperlink" Target="http://www.doe.mass.edu/research/howdoweknow/" TargetMode="External"/><Relationship Id="rId3" Type="http://schemas.openxmlformats.org/officeDocument/2006/relationships/customXml" Target="../customXml/item3.xml"/><Relationship Id="rId21" Type="http://schemas.openxmlformats.org/officeDocument/2006/relationships/hyperlink" Target="http://profiles.doe.mass.ed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5.xml"/><Relationship Id="rId25" Type="http://schemas.openxmlformats.org/officeDocument/2006/relationships/hyperlink" Target="http://profiles.doe.mass.ed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doe.mass.edu/da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dart/"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www.doe.mass.edu/research/rada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research/rada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doe.mass.edu/research/howdoweknow/"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doe.mass.edu/research/reports/2017/12class-size-appendix.doc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DESE-231-38781</_dlc_DocId>
    <_dlc_DocIdUrl xmlns="733efe1c-5bbe-4968-87dc-d400e65c879f">
      <Url>https://sharepoint.doemass.org/ese/webteam/cps/_layouts/DocIdRedir.aspx?ID=DESE-231-38781</Url>
      <Description>DESE-231-38781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44F8D-4DFD-4833-AB40-DEAD86E78D2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BDAB237-E66C-4F89-90E9-97882C31701D}">
  <ds:schemaRefs>
    <ds:schemaRef ds:uri="http://schemas.microsoft.com/sharepoint/v3/contenttype/forms"/>
  </ds:schemaRefs>
</ds:datastoreItem>
</file>

<file path=customXml/itemProps3.xml><?xml version="1.0" encoding="utf-8"?>
<ds:datastoreItem xmlns:ds="http://schemas.openxmlformats.org/officeDocument/2006/customXml" ds:itemID="{314D3C0F-3196-465A-86B5-25688C2C2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0623-25CC-4A3D-A6A7-85D65A647A0E}">
  <ds:schemaRefs>
    <ds:schemaRef ds:uri="http://schemas.microsoft.com/sharepoint/events"/>
  </ds:schemaRefs>
</ds:datastoreItem>
</file>

<file path=customXml/itemProps5.xml><?xml version="1.0" encoding="utf-8"?>
<ds:datastoreItem xmlns:ds="http://schemas.openxmlformats.org/officeDocument/2006/customXml" ds:itemID="{B5D66FD8-BD69-4737-A303-86F86ADD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6539</Words>
  <Characters>37276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Class Size and Resource Allocation Policy Brief</vt:lpstr>
    </vt:vector>
  </TitlesOfParts>
  <Company/>
  <LinksUpToDate>false</LinksUpToDate>
  <CharactersWithSpaces>43728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Size and Resource Allocation Policy Brief</dc:title>
  <dc:subject>Research Brief – September 2017</dc:subject>
  <dc:creator>ESE</dc:creator>
  <cp:lastModifiedBy>Zou, Dong</cp:lastModifiedBy>
  <cp:revision>4</cp:revision>
  <cp:lastPrinted>2017-10-03T19:39:00Z</cp:lastPrinted>
  <dcterms:created xsi:type="dcterms:W3CDTF">2017-12-21T17:00:00Z</dcterms:created>
  <dcterms:modified xsi:type="dcterms:W3CDTF">2017-12-21T20:32:00Z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2017</vt:lpwstr>
  </property>
</Properties>
</file>