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6F37B154" w14:textId="77777777" w:rsidTr="00467254">
        <w:trPr>
          <w:gridAfter w:val="1"/>
          <w:wAfter w:w="1530" w:type="dxa"/>
          <w:trHeight w:val="4932"/>
        </w:trPr>
        <w:tc>
          <w:tcPr>
            <w:tcW w:w="8010" w:type="dxa"/>
            <w:gridSpan w:val="2"/>
          </w:tcPr>
          <w:p w14:paraId="3DBF4E9D" w14:textId="77777777" w:rsidR="005F037D" w:rsidRDefault="00741DF2" w:rsidP="00CE1085">
            <w:r>
              <w:rPr>
                <w:noProof/>
              </w:rPr>
              <w:drawing>
                <wp:inline distT="0" distB="0" distL="0" distR="0" wp14:anchorId="22091E5F" wp14:editId="52DEE439">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FB39EF8" w14:textId="77777777" w:rsidTr="00467254">
        <w:trPr>
          <w:gridAfter w:val="1"/>
          <w:wAfter w:w="1530" w:type="dxa"/>
          <w:cantSplit/>
          <w:trHeight w:val="196"/>
        </w:trPr>
        <w:tc>
          <w:tcPr>
            <w:tcW w:w="990" w:type="dxa"/>
            <w:vMerge w:val="restart"/>
            <w:vAlign w:val="bottom"/>
          </w:tcPr>
          <w:p w14:paraId="469ACA9E" w14:textId="77777777" w:rsidR="005F037D" w:rsidRPr="00274356" w:rsidRDefault="005F037D" w:rsidP="00274356"/>
        </w:tc>
        <w:tc>
          <w:tcPr>
            <w:tcW w:w="7020" w:type="dxa"/>
            <w:vAlign w:val="bottom"/>
          </w:tcPr>
          <w:p w14:paraId="3B5BE6D7" w14:textId="77777777" w:rsidR="005F037D" w:rsidRPr="009A5EBB" w:rsidRDefault="0066690F" w:rsidP="0066690F">
            <w:pPr>
              <w:pStyle w:val="ESEReportName"/>
              <w:rPr>
                <w:rFonts w:ascii="Times New Roman" w:hAnsi="Times New Roman"/>
                <w:sz w:val="40"/>
                <w:szCs w:val="40"/>
              </w:rPr>
            </w:pPr>
            <w:r>
              <w:rPr>
                <w:rFonts w:ascii="Times New Roman" w:hAnsi="Times New Roman"/>
                <w:sz w:val="40"/>
                <w:szCs w:val="40"/>
              </w:rPr>
              <w:t>Fiscal Conditions in R</w:t>
            </w:r>
            <w:r w:rsidR="008F45F6">
              <w:rPr>
                <w:rFonts w:ascii="Times New Roman" w:hAnsi="Times New Roman"/>
                <w:sz w:val="40"/>
                <w:szCs w:val="40"/>
              </w:rPr>
              <w:t xml:space="preserve">ural </w:t>
            </w:r>
            <w:r>
              <w:rPr>
                <w:rFonts w:ascii="Times New Roman" w:hAnsi="Times New Roman"/>
                <w:sz w:val="40"/>
                <w:szCs w:val="40"/>
              </w:rPr>
              <w:t>S</w:t>
            </w:r>
            <w:r w:rsidR="008F45F6">
              <w:rPr>
                <w:rFonts w:ascii="Times New Roman" w:hAnsi="Times New Roman"/>
                <w:sz w:val="40"/>
                <w:szCs w:val="40"/>
              </w:rPr>
              <w:t>chool</w:t>
            </w:r>
            <w:r>
              <w:rPr>
                <w:rFonts w:ascii="Times New Roman" w:hAnsi="Times New Roman"/>
                <w:sz w:val="40"/>
                <w:szCs w:val="40"/>
              </w:rPr>
              <w:t xml:space="preserve"> Districts</w:t>
            </w:r>
          </w:p>
        </w:tc>
      </w:tr>
      <w:tr w:rsidR="005F037D" w14:paraId="3B3A58B1" w14:textId="77777777" w:rsidTr="00467254">
        <w:trPr>
          <w:gridAfter w:val="1"/>
          <w:wAfter w:w="1530" w:type="dxa"/>
          <w:cantSplit/>
          <w:trHeight w:val="235"/>
        </w:trPr>
        <w:tc>
          <w:tcPr>
            <w:tcW w:w="990" w:type="dxa"/>
            <w:vMerge/>
            <w:vAlign w:val="bottom"/>
          </w:tcPr>
          <w:p w14:paraId="38E67A45" w14:textId="77777777" w:rsidR="005F037D" w:rsidRDefault="005F037D">
            <w:pPr>
              <w:spacing w:line="400" w:lineRule="exact"/>
              <w:rPr>
                <w:rFonts w:ascii="Arial" w:hAnsi="Arial"/>
                <w:color w:val="000000"/>
              </w:rPr>
            </w:pPr>
          </w:p>
        </w:tc>
        <w:tc>
          <w:tcPr>
            <w:tcW w:w="7020" w:type="dxa"/>
          </w:tcPr>
          <w:p w14:paraId="7CED6B4D" w14:textId="77777777" w:rsidR="005F037D" w:rsidRPr="00EB1F6F" w:rsidRDefault="00F8156A">
            <w:r>
              <w:pict w14:anchorId="4BE64402">
                <v:rect id="_x0000_i1025" style="width:0;height:1.5pt" o:hrstd="t" o:hr="t" fillcolor="#aaa" stroked="f"/>
              </w:pict>
            </w:r>
          </w:p>
        </w:tc>
      </w:tr>
      <w:tr w:rsidR="005F037D" w14:paraId="0544EEC4" w14:textId="77777777" w:rsidTr="00467254">
        <w:trPr>
          <w:gridAfter w:val="1"/>
          <w:wAfter w:w="1530" w:type="dxa"/>
          <w:cantSplit/>
          <w:trHeight w:val="744"/>
        </w:trPr>
        <w:tc>
          <w:tcPr>
            <w:tcW w:w="990" w:type="dxa"/>
            <w:vMerge/>
            <w:vAlign w:val="bottom"/>
          </w:tcPr>
          <w:p w14:paraId="4869518C" w14:textId="77777777" w:rsidR="005F037D" w:rsidRDefault="005F037D">
            <w:pPr>
              <w:spacing w:line="400" w:lineRule="exact"/>
              <w:rPr>
                <w:rFonts w:ascii="Arial" w:hAnsi="Arial"/>
                <w:color w:val="000000"/>
              </w:rPr>
            </w:pPr>
          </w:p>
        </w:tc>
        <w:tc>
          <w:tcPr>
            <w:tcW w:w="7020" w:type="dxa"/>
          </w:tcPr>
          <w:p w14:paraId="0B6A3A22" w14:textId="77777777" w:rsidR="005F037D" w:rsidRPr="009A5EBB" w:rsidRDefault="008F45F6" w:rsidP="00EB1F6F">
            <w:pPr>
              <w:pStyle w:val="arial9"/>
              <w:rPr>
                <w:rFonts w:ascii="Times New Roman" w:hAnsi="Times New Roman"/>
                <w:sz w:val="20"/>
                <w:szCs w:val="20"/>
              </w:rPr>
            </w:pPr>
            <w:r>
              <w:rPr>
                <w:rFonts w:ascii="Times New Roman" w:hAnsi="Times New Roman"/>
                <w:sz w:val="20"/>
                <w:szCs w:val="20"/>
              </w:rPr>
              <w:t>January, 2018</w:t>
            </w:r>
          </w:p>
        </w:tc>
      </w:tr>
      <w:tr w:rsidR="005F037D" w14:paraId="7B4174B9" w14:textId="77777777" w:rsidTr="00467254">
        <w:trPr>
          <w:gridAfter w:val="1"/>
          <w:wAfter w:w="1530" w:type="dxa"/>
          <w:cantSplit/>
          <w:trHeight w:val="5805"/>
        </w:trPr>
        <w:tc>
          <w:tcPr>
            <w:tcW w:w="990" w:type="dxa"/>
            <w:vMerge/>
            <w:vAlign w:val="bottom"/>
          </w:tcPr>
          <w:p w14:paraId="40888276" w14:textId="77777777" w:rsidR="005F037D" w:rsidRDefault="005F037D">
            <w:pPr>
              <w:spacing w:line="400" w:lineRule="exact"/>
              <w:rPr>
                <w:rFonts w:ascii="Arial" w:hAnsi="Arial"/>
                <w:color w:val="000000"/>
              </w:rPr>
            </w:pPr>
          </w:p>
        </w:tc>
        <w:tc>
          <w:tcPr>
            <w:tcW w:w="7020" w:type="dxa"/>
            <w:vAlign w:val="bottom"/>
          </w:tcPr>
          <w:p w14:paraId="5001B79E"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6CEDFE9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014BD62C"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55641333"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0E2FC8AD" w14:textId="77777777" w:rsidTr="00467254">
        <w:tblPrEx>
          <w:tblCellMar>
            <w:left w:w="108" w:type="dxa"/>
            <w:right w:w="108" w:type="dxa"/>
          </w:tblCellMar>
        </w:tblPrEx>
        <w:trPr>
          <w:trHeight w:val="7605"/>
        </w:trPr>
        <w:tc>
          <w:tcPr>
            <w:tcW w:w="9540" w:type="dxa"/>
            <w:gridSpan w:val="3"/>
          </w:tcPr>
          <w:p w14:paraId="1927E9C6" w14:textId="77777777" w:rsidR="00C118B2" w:rsidRPr="00345DE2" w:rsidRDefault="00741DF2" w:rsidP="00E309C2">
            <w:pPr>
              <w:jc w:val="center"/>
            </w:pPr>
            <w:r>
              <w:rPr>
                <w:noProof/>
              </w:rPr>
              <w:lastRenderedPageBreak/>
              <w:drawing>
                <wp:inline distT="0" distB="0" distL="0" distR="0" wp14:anchorId="5BCBF0BE" wp14:editId="39DF9811">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2B40217B" w14:textId="77777777" w:rsidR="00C118B2" w:rsidRPr="00345DE2" w:rsidRDefault="00C118B2" w:rsidP="00E309C2"/>
          <w:p w14:paraId="56512946" w14:textId="77777777" w:rsidR="00C118B2" w:rsidRPr="00345DE2" w:rsidRDefault="00C118B2" w:rsidP="00E309C2"/>
          <w:p w14:paraId="02A9481D"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340204E" w14:textId="77777777" w:rsidR="00CC22F1" w:rsidRPr="009A5EBB" w:rsidRDefault="00D16C52" w:rsidP="00E309C2">
            <w:pPr>
              <w:pStyle w:val="BoardMembers"/>
              <w:rPr>
                <w:rFonts w:ascii="Times New Roman" w:hAnsi="Times New Roman"/>
                <w:sz w:val="20"/>
              </w:rPr>
            </w:pPr>
            <w:r>
              <w:rPr>
                <w:rFonts w:ascii="Times New Roman" w:hAnsi="Times New Roman"/>
                <w:sz w:val="20"/>
              </w:rPr>
              <w:t>Jeff Wulfson</w:t>
            </w:r>
          </w:p>
          <w:p w14:paraId="3E242AC7" w14:textId="77777777" w:rsidR="00C118B2" w:rsidRPr="009A5EBB" w:rsidRDefault="00D16C52" w:rsidP="00E309C2">
            <w:pPr>
              <w:pStyle w:val="BoardMembers"/>
              <w:rPr>
                <w:rFonts w:ascii="Times New Roman" w:hAnsi="Times New Roman"/>
                <w:sz w:val="20"/>
              </w:rPr>
            </w:pPr>
            <w:r>
              <w:rPr>
                <w:rFonts w:ascii="Times New Roman" w:hAnsi="Times New Roman"/>
                <w:sz w:val="20"/>
              </w:rPr>
              <w:t xml:space="preserve">Acting </w:t>
            </w:r>
            <w:r w:rsidR="00C118B2" w:rsidRPr="009A5EBB">
              <w:rPr>
                <w:rFonts w:ascii="Times New Roman" w:hAnsi="Times New Roman"/>
                <w:sz w:val="20"/>
              </w:rPr>
              <w:t xml:space="preserve">Commissioner </w:t>
            </w:r>
          </w:p>
          <w:p w14:paraId="0C89E7FE" w14:textId="77777777" w:rsidR="007012FA" w:rsidRDefault="007012FA" w:rsidP="00E309C2">
            <w:pPr>
              <w:autoSpaceDE w:val="0"/>
              <w:autoSpaceDN w:val="0"/>
              <w:adjustRightInd w:val="0"/>
              <w:jc w:val="center"/>
              <w:rPr>
                <w:bCs/>
                <w:sz w:val="22"/>
                <w:szCs w:val="22"/>
              </w:rPr>
            </w:pPr>
          </w:p>
          <w:p w14:paraId="2195AAA1" w14:textId="77777777" w:rsidR="00522BFB" w:rsidRDefault="00522BFB" w:rsidP="00E309C2">
            <w:pPr>
              <w:autoSpaceDE w:val="0"/>
              <w:autoSpaceDN w:val="0"/>
              <w:adjustRightInd w:val="0"/>
              <w:jc w:val="center"/>
              <w:rPr>
                <w:bCs/>
                <w:sz w:val="22"/>
                <w:szCs w:val="22"/>
              </w:rPr>
            </w:pPr>
          </w:p>
          <w:p w14:paraId="05BFB48A"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267DC1A4" w14:textId="77777777" w:rsidR="00D16C52" w:rsidRPr="00522BFB" w:rsidRDefault="00D16C52" w:rsidP="00E309C2">
            <w:pPr>
              <w:jc w:val="center"/>
              <w:rPr>
                <w:sz w:val="20"/>
                <w:szCs w:val="20"/>
              </w:rPr>
            </w:pPr>
            <w:r w:rsidRPr="00522BFB">
              <w:rPr>
                <w:sz w:val="20"/>
                <w:szCs w:val="20"/>
              </w:rPr>
              <w:t>Mr. Paul Sagan, Chair, Cambridge</w:t>
            </w:r>
          </w:p>
          <w:p w14:paraId="417A6A33" w14:textId="77777777" w:rsidR="00D16C52" w:rsidRPr="00522BFB" w:rsidRDefault="00D16C52" w:rsidP="00E309C2">
            <w:pPr>
              <w:jc w:val="center"/>
              <w:rPr>
                <w:sz w:val="20"/>
                <w:szCs w:val="20"/>
              </w:rPr>
            </w:pPr>
            <w:r w:rsidRPr="00522BFB">
              <w:rPr>
                <w:sz w:val="20"/>
                <w:szCs w:val="20"/>
              </w:rPr>
              <w:t>Ms. Katherine Craven, Brookline</w:t>
            </w:r>
          </w:p>
          <w:p w14:paraId="1048F428" w14:textId="77777777" w:rsidR="00D16C52" w:rsidRPr="00522BFB" w:rsidRDefault="00D16C52" w:rsidP="00E309C2">
            <w:pPr>
              <w:jc w:val="center"/>
              <w:rPr>
                <w:sz w:val="20"/>
                <w:szCs w:val="20"/>
              </w:rPr>
            </w:pPr>
            <w:r w:rsidRPr="00522BFB">
              <w:rPr>
                <w:sz w:val="20"/>
                <w:szCs w:val="20"/>
              </w:rPr>
              <w:t>Mr. Edward Doherty, Hyde Park</w:t>
            </w:r>
          </w:p>
          <w:p w14:paraId="59CB5CE6" w14:textId="77777777" w:rsidR="00D16C52" w:rsidRPr="00522BFB" w:rsidRDefault="00D16C52" w:rsidP="00E309C2">
            <w:pPr>
              <w:jc w:val="center"/>
              <w:rPr>
                <w:sz w:val="20"/>
                <w:szCs w:val="20"/>
              </w:rPr>
            </w:pPr>
            <w:r w:rsidRPr="00522BFB">
              <w:rPr>
                <w:sz w:val="20"/>
                <w:szCs w:val="20"/>
              </w:rPr>
              <w:t>Ms. Amanda Fernández, Belmont</w:t>
            </w:r>
          </w:p>
          <w:p w14:paraId="69B7D080" w14:textId="77777777" w:rsidR="00D16C52" w:rsidRPr="00522BFB" w:rsidRDefault="00D16C52" w:rsidP="00E309C2">
            <w:pPr>
              <w:jc w:val="center"/>
              <w:rPr>
                <w:sz w:val="20"/>
                <w:szCs w:val="20"/>
              </w:rPr>
            </w:pPr>
            <w:r w:rsidRPr="00522BFB">
              <w:rPr>
                <w:sz w:val="20"/>
                <w:szCs w:val="20"/>
              </w:rPr>
              <w:t>Ms. Margaret McKenna, Boston</w:t>
            </w:r>
          </w:p>
          <w:p w14:paraId="4BC69C62" w14:textId="77777777" w:rsidR="00D16C52" w:rsidRPr="00522BFB" w:rsidRDefault="00D16C52" w:rsidP="00E309C2">
            <w:pPr>
              <w:jc w:val="center"/>
              <w:rPr>
                <w:sz w:val="20"/>
                <w:szCs w:val="20"/>
              </w:rPr>
            </w:pPr>
            <w:r w:rsidRPr="00522BFB">
              <w:rPr>
                <w:sz w:val="20"/>
                <w:szCs w:val="20"/>
              </w:rPr>
              <w:t>Mr. Michael Moriarty, Holyoke</w:t>
            </w:r>
          </w:p>
          <w:p w14:paraId="1D6A4C4C" w14:textId="77777777" w:rsidR="00D16C52" w:rsidRPr="00522BFB" w:rsidRDefault="00D16C52" w:rsidP="00E309C2">
            <w:pPr>
              <w:jc w:val="center"/>
              <w:rPr>
                <w:sz w:val="20"/>
                <w:szCs w:val="20"/>
              </w:rPr>
            </w:pPr>
            <w:r w:rsidRPr="00522BFB">
              <w:rPr>
                <w:sz w:val="20"/>
                <w:szCs w:val="20"/>
              </w:rPr>
              <w:t>Mr. James Morton, Vice Chair, Springfield</w:t>
            </w:r>
          </w:p>
          <w:p w14:paraId="11FDBA48" w14:textId="77777777" w:rsidR="00D16C52" w:rsidRPr="00522BFB" w:rsidRDefault="00D16C52" w:rsidP="00E309C2">
            <w:pPr>
              <w:jc w:val="center"/>
              <w:rPr>
                <w:sz w:val="20"/>
                <w:szCs w:val="20"/>
              </w:rPr>
            </w:pPr>
            <w:r w:rsidRPr="00522BFB">
              <w:rPr>
                <w:sz w:val="20"/>
                <w:szCs w:val="20"/>
              </w:rPr>
              <w:t>Mr. James Peyser, Secretary of Education, Milton</w:t>
            </w:r>
          </w:p>
          <w:p w14:paraId="4DE01840" w14:textId="77777777" w:rsidR="00D16C52" w:rsidRPr="00522BFB" w:rsidRDefault="00D16C52" w:rsidP="00E309C2">
            <w:pPr>
              <w:jc w:val="center"/>
              <w:rPr>
                <w:sz w:val="20"/>
                <w:szCs w:val="20"/>
              </w:rPr>
            </w:pPr>
            <w:r w:rsidRPr="00522BFB">
              <w:rPr>
                <w:sz w:val="20"/>
                <w:szCs w:val="20"/>
              </w:rPr>
              <w:t>Ms. Mary Ann Stewart, Lexington</w:t>
            </w:r>
          </w:p>
          <w:p w14:paraId="290F1CA7" w14:textId="77777777" w:rsidR="00D16C52" w:rsidRPr="00522BFB" w:rsidRDefault="00D16C52" w:rsidP="00E309C2">
            <w:pPr>
              <w:jc w:val="center"/>
              <w:rPr>
                <w:sz w:val="20"/>
                <w:szCs w:val="20"/>
              </w:rPr>
            </w:pPr>
            <w:r w:rsidRPr="00522BFB">
              <w:rPr>
                <w:sz w:val="20"/>
                <w:szCs w:val="20"/>
              </w:rPr>
              <w:t>Ms. Hannah Trimarchi, Chair, Student Advisory Council, Marblehead</w:t>
            </w:r>
          </w:p>
          <w:p w14:paraId="43CAFE7F" w14:textId="77777777" w:rsidR="00D16C52" w:rsidRPr="00522BFB" w:rsidRDefault="00D16C52" w:rsidP="00E309C2">
            <w:pPr>
              <w:jc w:val="center"/>
              <w:rPr>
                <w:sz w:val="20"/>
                <w:szCs w:val="20"/>
              </w:rPr>
            </w:pPr>
            <w:r w:rsidRPr="00522BFB">
              <w:rPr>
                <w:sz w:val="20"/>
                <w:szCs w:val="20"/>
              </w:rPr>
              <w:t>Dr. Martin West, Newton</w:t>
            </w:r>
          </w:p>
          <w:p w14:paraId="5D922115" w14:textId="77777777" w:rsidR="00D16C52" w:rsidRPr="00522BFB" w:rsidRDefault="00D16C52" w:rsidP="00E309C2">
            <w:pPr>
              <w:jc w:val="center"/>
              <w:rPr>
                <w:sz w:val="20"/>
                <w:szCs w:val="20"/>
              </w:rPr>
            </w:pPr>
          </w:p>
          <w:p w14:paraId="4A0BFF64" w14:textId="77777777" w:rsidR="00D16C52" w:rsidRPr="00522BFB" w:rsidRDefault="00D16C52" w:rsidP="00E309C2">
            <w:pPr>
              <w:jc w:val="center"/>
              <w:rPr>
                <w:sz w:val="20"/>
                <w:szCs w:val="20"/>
              </w:rPr>
            </w:pPr>
            <w:r w:rsidRPr="00522BFB">
              <w:rPr>
                <w:sz w:val="20"/>
                <w:szCs w:val="20"/>
              </w:rPr>
              <w:t>Jeff Wulfson, Acting Commissioner and Secretary to the Board</w:t>
            </w:r>
          </w:p>
          <w:p w14:paraId="49517439" w14:textId="77777777" w:rsidR="00D42AD8" w:rsidRDefault="00D42AD8" w:rsidP="00E309C2">
            <w:pPr>
              <w:autoSpaceDE w:val="0"/>
              <w:autoSpaceDN w:val="0"/>
              <w:adjustRightInd w:val="0"/>
              <w:jc w:val="center"/>
              <w:rPr>
                <w:sz w:val="22"/>
                <w:szCs w:val="22"/>
              </w:rPr>
            </w:pPr>
          </w:p>
          <w:p w14:paraId="54E480D4"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5D2F21DA"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7432840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101017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2EA17610" w14:textId="77777777" w:rsidR="00C118B2" w:rsidRPr="009A5EBB" w:rsidRDefault="00C118B2" w:rsidP="00E309C2">
            <w:pPr>
              <w:rPr>
                <w:sz w:val="18"/>
                <w:szCs w:val="18"/>
              </w:rPr>
            </w:pPr>
          </w:p>
          <w:p w14:paraId="033B2320" w14:textId="77777777" w:rsidR="00B61B2F" w:rsidRPr="009A5EBB" w:rsidRDefault="00B61B2F" w:rsidP="00E309C2">
            <w:pPr>
              <w:rPr>
                <w:sz w:val="18"/>
                <w:szCs w:val="18"/>
              </w:rPr>
            </w:pPr>
          </w:p>
          <w:p w14:paraId="0EBF37E7"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D16C52">
              <w:rPr>
                <w:rFonts w:ascii="Times New Roman" w:hAnsi="Times New Roman"/>
                <w:szCs w:val="18"/>
              </w:rPr>
              <w:t>7</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58D05204"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4AE73DAB" w14:textId="77777777" w:rsidR="00C118B2" w:rsidRPr="009A5EBB" w:rsidRDefault="00C118B2" w:rsidP="00E309C2">
            <w:pPr>
              <w:rPr>
                <w:sz w:val="18"/>
                <w:szCs w:val="18"/>
              </w:rPr>
            </w:pPr>
          </w:p>
          <w:p w14:paraId="24359746"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6F91D37" w14:textId="77777777" w:rsidR="00522BFB" w:rsidRPr="009A5EBB" w:rsidRDefault="00522BFB" w:rsidP="00E309C2">
            <w:pPr>
              <w:rPr>
                <w:sz w:val="18"/>
                <w:szCs w:val="18"/>
              </w:rPr>
            </w:pPr>
          </w:p>
          <w:p w14:paraId="0DE29715"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48CABAC6"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246C15F9"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6193B557" w14:textId="77777777" w:rsidR="00C118B2" w:rsidRDefault="00F8156A" w:rsidP="00E309C2">
            <w:pPr>
              <w:pStyle w:val="BoardMembers"/>
              <w:rPr>
                <w:rFonts w:ascii="Times New Roman" w:hAnsi="Times New Roman"/>
                <w:szCs w:val="18"/>
              </w:rPr>
            </w:pPr>
            <w:hyperlink r:id="rId13" w:history="1">
              <w:r w:rsidR="00467254" w:rsidRPr="00B25968">
                <w:rPr>
                  <w:rStyle w:val="Hyperlink"/>
                  <w:rFonts w:ascii="Times New Roman" w:hAnsi="Times New Roman"/>
                  <w:szCs w:val="18"/>
                </w:rPr>
                <w:t>www.doe.mass.edu</w:t>
              </w:r>
            </w:hyperlink>
          </w:p>
          <w:p w14:paraId="7AA0BA2C" w14:textId="77777777" w:rsidR="00467254" w:rsidRPr="009A5EBB" w:rsidRDefault="00467254" w:rsidP="00E309C2">
            <w:pPr>
              <w:pStyle w:val="BoardMembers"/>
              <w:rPr>
                <w:rFonts w:ascii="Times New Roman" w:hAnsi="Times New Roman"/>
                <w:szCs w:val="18"/>
              </w:rPr>
            </w:pPr>
          </w:p>
          <w:p w14:paraId="03131596" w14:textId="77777777" w:rsidR="00C118B2" w:rsidRDefault="00741DF2" w:rsidP="00E309C2">
            <w:pPr>
              <w:jc w:val="center"/>
              <w:rPr>
                <w:sz w:val="18"/>
              </w:rPr>
            </w:pPr>
            <w:r>
              <w:rPr>
                <w:noProof/>
              </w:rPr>
              <w:drawing>
                <wp:inline distT="0" distB="0" distL="0" distR="0" wp14:anchorId="51D9A55B" wp14:editId="25A98474">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A325CA1" w14:textId="77777777" w:rsidR="004D45D4" w:rsidRDefault="004D45D4" w:rsidP="00E309C2">
      <w:pPr>
        <w:ind w:right="720"/>
      </w:pPr>
    </w:p>
    <w:p w14:paraId="59187DC7"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734B1B4C" wp14:editId="51351B5B">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1B9E2DB6"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1E4C609B" w14:textId="45E4A3DD" w:rsidR="00FA0025" w:rsidRPr="00FA0025" w:rsidRDefault="003B6049" w:rsidP="002C2113">
      <w:pPr>
        <w:ind w:left="1260"/>
      </w:pPr>
      <w:r>
        <w:rPr>
          <w:noProof/>
        </w:rPr>
        <mc:AlternateContent>
          <mc:Choice Requires="wps">
            <w:drawing>
              <wp:anchor distT="4294967293" distB="4294967293" distL="114300" distR="114300" simplePos="0" relativeHeight="251657216" behindDoc="0" locked="0" layoutInCell="0" allowOverlap="1" wp14:anchorId="2DA45E47" wp14:editId="7D674659">
                <wp:simplePos x="0" y="0"/>
                <wp:positionH relativeFrom="column">
                  <wp:posOffset>792480</wp:posOffset>
                </wp:positionH>
                <wp:positionV relativeFrom="paragraph">
                  <wp:posOffset>64769</wp:posOffset>
                </wp:positionV>
                <wp:extent cx="5219065" cy="0"/>
                <wp:effectExtent l="0" t="0" r="0" b="0"/>
                <wp:wrapNone/>
                <wp:docPr id="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44D9B99" id="Line 25"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" o:allowincell="f" strokeweight="1pt"/>
            </w:pict>
          </mc:Fallback>
        </mc:AlternateContent>
      </w:r>
    </w:p>
    <w:p w14:paraId="7322EAB4"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1D92F7C6"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2A382E7D" w14:textId="77777777" w:rsidR="00FA0025" w:rsidRPr="00C974A6" w:rsidRDefault="00FA0025" w:rsidP="00FA0025">
      <w:pPr>
        <w:ind w:left="720"/>
        <w:rPr>
          <w:rFonts w:ascii="Arial" w:hAnsi="Arial"/>
          <w:i/>
          <w:sz w:val="16"/>
          <w:szCs w:val="16"/>
        </w:rPr>
      </w:pPr>
    </w:p>
    <w:p w14:paraId="485C36CB"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E253B2" w:rsidRPr="00C974A6" w14:paraId="528345CC" w14:textId="77777777" w:rsidTr="00E253B2">
        <w:tc>
          <w:tcPr>
            <w:tcW w:w="2640" w:type="dxa"/>
          </w:tcPr>
          <w:p w14:paraId="14AEEB3B" w14:textId="77777777" w:rsidR="00E253B2" w:rsidRPr="00FA7DF8" w:rsidRDefault="00E253B2" w:rsidP="00E253B2">
            <w:pPr>
              <w:jc w:val="center"/>
              <w:rPr>
                <w:rFonts w:ascii="Arial" w:hAnsi="Arial" w:cs="Arial"/>
                <w:sz w:val="14"/>
                <w:szCs w:val="14"/>
              </w:rPr>
            </w:pPr>
          </w:p>
          <w:p w14:paraId="1582F5FA" w14:textId="77777777" w:rsidR="00E253B2" w:rsidRDefault="00D16C52" w:rsidP="00E253B2">
            <w:pPr>
              <w:jc w:val="center"/>
              <w:rPr>
                <w:rFonts w:ascii="Arial" w:hAnsi="Arial" w:cs="Arial"/>
                <w:sz w:val="16"/>
                <w:szCs w:val="16"/>
              </w:rPr>
            </w:pPr>
            <w:r>
              <w:rPr>
                <w:rFonts w:ascii="Arial" w:hAnsi="Arial" w:cs="Arial"/>
                <w:sz w:val="16"/>
                <w:szCs w:val="16"/>
              </w:rPr>
              <w:t>Jeff Wulfson</w:t>
            </w:r>
          </w:p>
          <w:p w14:paraId="5C232C7E" w14:textId="77777777" w:rsidR="00E253B2" w:rsidRPr="00E90934" w:rsidRDefault="00D16C52" w:rsidP="00E253B2">
            <w:pPr>
              <w:jc w:val="center"/>
              <w:rPr>
                <w:rFonts w:ascii="Arial" w:hAnsi="Arial"/>
                <w:i/>
                <w:sz w:val="16"/>
                <w:szCs w:val="16"/>
              </w:rPr>
            </w:pPr>
            <w:r>
              <w:rPr>
                <w:rFonts w:ascii="Arial" w:hAnsi="Arial"/>
                <w:i/>
                <w:sz w:val="16"/>
                <w:szCs w:val="16"/>
              </w:rPr>
              <w:t xml:space="preserve">Acting </w:t>
            </w:r>
            <w:r w:rsidR="00E253B2" w:rsidRPr="00E90934">
              <w:rPr>
                <w:rFonts w:ascii="Arial" w:hAnsi="Arial"/>
                <w:i/>
                <w:sz w:val="16"/>
                <w:szCs w:val="16"/>
              </w:rPr>
              <w:t>Commissioner</w:t>
            </w:r>
          </w:p>
        </w:tc>
        <w:tc>
          <w:tcPr>
            <w:tcW w:w="6936" w:type="dxa"/>
          </w:tcPr>
          <w:p w14:paraId="4C6ED236" w14:textId="77777777" w:rsidR="00E253B2" w:rsidRPr="00C974A6" w:rsidRDefault="00E253B2" w:rsidP="00E253B2">
            <w:pPr>
              <w:jc w:val="center"/>
              <w:rPr>
                <w:rFonts w:ascii="Arial" w:hAnsi="Arial"/>
                <w:i/>
                <w:sz w:val="16"/>
                <w:szCs w:val="16"/>
              </w:rPr>
            </w:pPr>
          </w:p>
        </w:tc>
      </w:tr>
    </w:tbl>
    <w:p w14:paraId="11197755" w14:textId="77777777" w:rsidR="00FA0025" w:rsidRPr="00C974A6" w:rsidRDefault="00FA0025" w:rsidP="00FA0025">
      <w:pPr>
        <w:ind w:left="720"/>
        <w:jc w:val="center"/>
        <w:rPr>
          <w:rFonts w:ascii="Arial" w:hAnsi="Arial"/>
          <w:i/>
          <w:sz w:val="16"/>
          <w:szCs w:val="16"/>
        </w:rPr>
      </w:pPr>
    </w:p>
    <w:p w14:paraId="1903B1A7" w14:textId="77777777" w:rsidR="00FA0025" w:rsidRDefault="00FA0025" w:rsidP="00FA0025">
      <w:pPr>
        <w:rPr>
          <w:rFonts w:ascii="Arial" w:hAnsi="Arial"/>
          <w:i/>
          <w:sz w:val="18"/>
        </w:rPr>
      </w:pPr>
    </w:p>
    <w:p w14:paraId="3DC308DE" w14:textId="77777777" w:rsidR="00E253B2" w:rsidRDefault="00E253B2" w:rsidP="00FA0025"/>
    <w:p w14:paraId="7E380523" w14:textId="77777777" w:rsidR="002035B6" w:rsidRDefault="002035B6" w:rsidP="00FA0025"/>
    <w:p w14:paraId="4629FD69" w14:textId="77777777" w:rsidR="00FA0025" w:rsidRDefault="00EC33FB" w:rsidP="00FA0025">
      <w:r>
        <w:t>January 2018</w:t>
      </w:r>
    </w:p>
    <w:p w14:paraId="53EB7BFC" w14:textId="77777777" w:rsidR="00EC33FB" w:rsidRDefault="00EC33FB" w:rsidP="00FA0025"/>
    <w:p w14:paraId="0C006065" w14:textId="77777777" w:rsidR="00C50AB2" w:rsidRDefault="00C50AB2" w:rsidP="00FA0025"/>
    <w:p w14:paraId="057EC11C" w14:textId="77777777" w:rsidR="00EC33FB" w:rsidRDefault="00EC33FB" w:rsidP="00FA0025">
      <w:r>
        <w:t xml:space="preserve">Dear </w:t>
      </w:r>
      <w:r w:rsidR="00DB4E96">
        <w:t>Members of the General Court</w:t>
      </w:r>
      <w:r>
        <w:t>:</w:t>
      </w:r>
    </w:p>
    <w:p w14:paraId="6AC30E69" w14:textId="77777777" w:rsidR="00EC33FB" w:rsidRDefault="00EC33FB" w:rsidP="00FA0025"/>
    <w:p w14:paraId="580CB7AC" w14:textId="77777777" w:rsidR="002613A4" w:rsidRDefault="00EC33FB" w:rsidP="002613A4">
      <w:r>
        <w:t xml:space="preserve">I am pleased to submit this report on the current fiscal conditions in </w:t>
      </w:r>
      <w:r w:rsidR="002539BF">
        <w:t xml:space="preserve">the Commonwealth’s </w:t>
      </w:r>
      <w:r>
        <w:t>rural school districts.</w:t>
      </w:r>
      <w:r w:rsidR="002539BF">
        <w:rPr>
          <w:lang w:bidi="en-US"/>
        </w:rPr>
        <w:t xml:space="preserve"> </w:t>
      </w:r>
      <w:r w:rsidR="002613A4">
        <w:rPr>
          <w:lang w:bidi="en-US"/>
        </w:rPr>
        <w:t xml:space="preserve">This report </w:t>
      </w:r>
      <w:r w:rsidR="00295853">
        <w:rPr>
          <w:lang w:bidi="en-US"/>
        </w:rPr>
        <w:t>examines</w:t>
      </w:r>
      <w:r w:rsidR="002613A4">
        <w:rPr>
          <w:lang w:bidi="en-US"/>
        </w:rPr>
        <w:t xml:space="preserve"> enrollment, staffing, and spending trends as well as local aid, school choice, and charter school tuitions to understand the challenges facing these districts.</w:t>
      </w:r>
    </w:p>
    <w:p w14:paraId="7AEF200A" w14:textId="77777777" w:rsidR="002613A4" w:rsidRDefault="002613A4" w:rsidP="00FA0025"/>
    <w:p w14:paraId="42AD28AD" w14:textId="77777777" w:rsidR="00EC33FB" w:rsidRDefault="00176ABE" w:rsidP="00FA0025">
      <w:r>
        <w:t>Th</w:t>
      </w:r>
      <w:r w:rsidR="00295853">
        <w:t>e</w:t>
      </w:r>
      <w:r>
        <w:t xml:space="preserve"> report </w:t>
      </w:r>
      <w:r w:rsidR="00E444DA">
        <w:t>documents the significant</w:t>
      </w:r>
      <w:r>
        <w:t xml:space="preserve"> e</w:t>
      </w:r>
      <w:r w:rsidR="00D15E1F">
        <w:t xml:space="preserve">nrollment declines </w:t>
      </w:r>
      <w:r>
        <w:t xml:space="preserve">that have occurred </w:t>
      </w:r>
      <w:r w:rsidR="00D15E1F">
        <w:t xml:space="preserve">over the last decade </w:t>
      </w:r>
      <w:r w:rsidR="00E444DA">
        <w:t>that have made it more expensive for rural</w:t>
      </w:r>
      <w:r w:rsidR="00D15E1F">
        <w:t xml:space="preserve"> districts to provide services</w:t>
      </w:r>
      <w:r>
        <w:t>. Certain provisions in the Chapter 70 formula are helping to stabilize funding levels in these districts despite enrollment declines, but steps need to be taken to put these districts on a more sustainable path.</w:t>
      </w:r>
      <w:r w:rsidR="00D15E1F">
        <w:t xml:space="preserve"> </w:t>
      </w:r>
    </w:p>
    <w:p w14:paraId="07FE573B" w14:textId="77777777" w:rsidR="00D15E1F" w:rsidRDefault="00D15E1F" w:rsidP="00FA0025"/>
    <w:p w14:paraId="436538DE" w14:textId="77777777" w:rsidR="00D15E1F" w:rsidRDefault="00D15E1F" w:rsidP="00FA0025">
      <w:r>
        <w:t xml:space="preserve">Changes to the Chapter 70 formula, </w:t>
      </w:r>
      <w:r w:rsidR="00176ABE">
        <w:t>reformulating how</w:t>
      </w:r>
      <w:r>
        <w:t xml:space="preserve"> transportation reimbursements</w:t>
      </w:r>
      <w:r w:rsidR="00176ABE">
        <w:t xml:space="preserve"> are determined</w:t>
      </w:r>
      <w:r>
        <w:t xml:space="preserve">, </w:t>
      </w:r>
      <w:r w:rsidR="00176ABE">
        <w:t xml:space="preserve">and </w:t>
      </w:r>
      <w:r>
        <w:t>provid</w:t>
      </w:r>
      <w:r w:rsidR="00176ABE">
        <w:t>ing</w:t>
      </w:r>
      <w:r>
        <w:t xml:space="preserve"> resources and ince</w:t>
      </w:r>
      <w:r w:rsidR="00176ABE">
        <w:t xml:space="preserve">ntives to encourage districts to expand existing regional districts or share services more broadly are all options that the Commonwealth can promote. </w:t>
      </w:r>
    </w:p>
    <w:p w14:paraId="1D436C99" w14:textId="77777777" w:rsidR="002613A4" w:rsidRDefault="002613A4" w:rsidP="00FA0025"/>
    <w:p w14:paraId="3EA9FC27" w14:textId="77777777" w:rsidR="00D15E1F" w:rsidRDefault="00176ABE" w:rsidP="00FA0025">
      <w:r>
        <w:t xml:space="preserve">As an agency, we look forward to supporting the </w:t>
      </w:r>
      <w:r w:rsidR="00E444DA">
        <w:t>L</w:t>
      </w:r>
      <w:r>
        <w:t>egislature as it works to address these issues.</w:t>
      </w:r>
    </w:p>
    <w:p w14:paraId="1A3B4474" w14:textId="77777777" w:rsidR="00176ABE" w:rsidRDefault="00176ABE" w:rsidP="00FA0025"/>
    <w:p w14:paraId="6EBDD946" w14:textId="77777777" w:rsidR="00D15E1F" w:rsidRDefault="00D15E1F" w:rsidP="00FA0025">
      <w:r>
        <w:t>Please contact me if you have any questions.</w:t>
      </w:r>
    </w:p>
    <w:p w14:paraId="0445490C" w14:textId="77777777" w:rsidR="00D15E1F" w:rsidRDefault="00D15E1F" w:rsidP="00FA0025"/>
    <w:p w14:paraId="710FF326" w14:textId="77777777" w:rsidR="00D15E1F" w:rsidRDefault="00E444DA" w:rsidP="00FA0025">
      <w:r>
        <w:t>Sincerely</w:t>
      </w:r>
      <w:r w:rsidR="00D15E1F">
        <w:t>,</w:t>
      </w:r>
    </w:p>
    <w:p w14:paraId="0BEFF5F0" w14:textId="77777777" w:rsidR="00D15E1F" w:rsidRDefault="00D15E1F" w:rsidP="00FA0025"/>
    <w:p w14:paraId="0FBAB8DB" w14:textId="77777777" w:rsidR="00D15E1F" w:rsidRDefault="00D15E1F" w:rsidP="00FA0025"/>
    <w:p w14:paraId="095253AC" w14:textId="77777777" w:rsidR="00D15E1F" w:rsidRDefault="00D15E1F" w:rsidP="00FA0025"/>
    <w:p w14:paraId="3660A41C" w14:textId="77777777" w:rsidR="00E444DA" w:rsidRDefault="00E444DA" w:rsidP="00FA0025">
      <w:r>
        <w:t>Jeff Wulfson</w:t>
      </w:r>
    </w:p>
    <w:p w14:paraId="3484899C" w14:textId="77777777" w:rsidR="00DB4E96" w:rsidRDefault="00D15E1F" w:rsidP="00FA0025">
      <w:r>
        <w:t>Acting Commissioner</w:t>
      </w:r>
    </w:p>
    <w:p w14:paraId="5B9FEB6E" w14:textId="77777777" w:rsidR="00DB4E96" w:rsidRDefault="00DB4E96" w:rsidP="00FA0025">
      <w:pPr>
        <w:sectPr w:rsidR="00DB4E96" w:rsidSect="007102D5">
          <w:endnotePr>
            <w:numFmt w:val="decimal"/>
          </w:endnotePr>
          <w:type w:val="continuous"/>
          <w:pgSz w:w="12240" w:h="15840"/>
          <w:pgMar w:top="1440" w:right="1440" w:bottom="1440" w:left="1440" w:header="1440" w:footer="1440" w:gutter="0"/>
          <w:cols w:space="720"/>
          <w:noEndnote/>
          <w:docGrid w:linePitch="326"/>
        </w:sectPr>
      </w:pPr>
    </w:p>
    <w:p w14:paraId="2117B8EC"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261E0709" w14:textId="77777777" w:rsidR="00CA785D" w:rsidRDefault="006F20A2">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503258026" w:history="1">
        <w:r w:rsidR="00CA785D" w:rsidRPr="00594C0F">
          <w:rPr>
            <w:rStyle w:val="Hyperlink"/>
            <w:noProof/>
          </w:rPr>
          <w:t>Introduction</w:t>
        </w:r>
        <w:r w:rsidR="00CA785D">
          <w:rPr>
            <w:noProof/>
            <w:webHidden/>
          </w:rPr>
          <w:tab/>
        </w:r>
        <w:r>
          <w:rPr>
            <w:noProof/>
            <w:webHidden/>
          </w:rPr>
          <w:fldChar w:fldCharType="begin"/>
        </w:r>
        <w:r w:rsidR="00CA785D">
          <w:rPr>
            <w:noProof/>
            <w:webHidden/>
          </w:rPr>
          <w:instrText xml:space="preserve"> PAGEREF _Toc503258026 \h </w:instrText>
        </w:r>
        <w:r>
          <w:rPr>
            <w:noProof/>
            <w:webHidden/>
          </w:rPr>
        </w:r>
        <w:r>
          <w:rPr>
            <w:noProof/>
            <w:webHidden/>
          </w:rPr>
          <w:fldChar w:fldCharType="separate"/>
        </w:r>
        <w:r w:rsidR="00CA785D">
          <w:rPr>
            <w:noProof/>
            <w:webHidden/>
          </w:rPr>
          <w:t>1</w:t>
        </w:r>
        <w:r>
          <w:rPr>
            <w:noProof/>
            <w:webHidden/>
          </w:rPr>
          <w:fldChar w:fldCharType="end"/>
        </w:r>
      </w:hyperlink>
    </w:p>
    <w:p w14:paraId="69009AD1" w14:textId="77777777" w:rsidR="00CA785D" w:rsidRDefault="00F8156A">
      <w:pPr>
        <w:pStyle w:val="TOC1"/>
        <w:rPr>
          <w:rFonts w:asciiTheme="minorHAnsi" w:eastAsiaTheme="minorEastAsia" w:hAnsiTheme="minorHAnsi" w:cstheme="minorBidi"/>
          <w:b w:val="0"/>
          <w:noProof/>
          <w:sz w:val="22"/>
          <w:szCs w:val="22"/>
        </w:rPr>
      </w:pPr>
      <w:hyperlink w:anchor="_Toc503258027" w:history="1">
        <w:r w:rsidR="00CA785D" w:rsidRPr="00594C0F">
          <w:rPr>
            <w:rStyle w:val="Hyperlink"/>
            <w:noProof/>
            <w:lang w:bidi="en-US"/>
          </w:rPr>
          <w:t>Defining rural districts</w:t>
        </w:r>
        <w:r w:rsidR="00CA785D">
          <w:rPr>
            <w:noProof/>
            <w:webHidden/>
          </w:rPr>
          <w:tab/>
        </w:r>
        <w:r w:rsidR="006F20A2">
          <w:rPr>
            <w:noProof/>
            <w:webHidden/>
          </w:rPr>
          <w:fldChar w:fldCharType="begin"/>
        </w:r>
        <w:r w:rsidR="00CA785D">
          <w:rPr>
            <w:noProof/>
            <w:webHidden/>
          </w:rPr>
          <w:instrText xml:space="preserve"> PAGEREF _Toc503258027 \h </w:instrText>
        </w:r>
        <w:r w:rsidR="006F20A2">
          <w:rPr>
            <w:noProof/>
            <w:webHidden/>
          </w:rPr>
        </w:r>
        <w:r w:rsidR="006F20A2">
          <w:rPr>
            <w:noProof/>
            <w:webHidden/>
          </w:rPr>
          <w:fldChar w:fldCharType="separate"/>
        </w:r>
        <w:r w:rsidR="00CA785D">
          <w:rPr>
            <w:noProof/>
            <w:webHidden/>
          </w:rPr>
          <w:t>2</w:t>
        </w:r>
        <w:r w:rsidR="006F20A2">
          <w:rPr>
            <w:noProof/>
            <w:webHidden/>
          </w:rPr>
          <w:fldChar w:fldCharType="end"/>
        </w:r>
      </w:hyperlink>
    </w:p>
    <w:p w14:paraId="574026C1" w14:textId="77777777" w:rsidR="00CA785D" w:rsidRDefault="00F8156A">
      <w:pPr>
        <w:pStyle w:val="TOC1"/>
        <w:rPr>
          <w:rFonts w:asciiTheme="minorHAnsi" w:eastAsiaTheme="minorEastAsia" w:hAnsiTheme="minorHAnsi" w:cstheme="minorBidi"/>
          <w:b w:val="0"/>
          <w:noProof/>
          <w:sz w:val="22"/>
          <w:szCs w:val="22"/>
        </w:rPr>
      </w:pPr>
      <w:hyperlink w:anchor="_Toc503258028" w:history="1">
        <w:r w:rsidR="00CA785D" w:rsidRPr="00594C0F">
          <w:rPr>
            <w:rStyle w:val="Hyperlink"/>
            <w:noProof/>
            <w:lang w:bidi="en-US"/>
          </w:rPr>
          <w:t>Enrollment and staffing trends</w:t>
        </w:r>
        <w:r w:rsidR="00CA785D">
          <w:rPr>
            <w:noProof/>
            <w:webHidden/>
          </w:rPr>
          <w:tab/>
        </w:r>
        <w:r w:rsidR="006F20A2">
          <w:rPr>
            <w:noProof/>
            <w:webHidden/>
          </w:rPr>
          <w:fldChar w:fldCharType="begin"/>
        </w:r>
        <w:r w:rsidR="00CA785D">
          <w:rPr>
            <w:noProof/>
            <w:webHidden/>
          </w:rPr>
          <w:instrText xml:space="preserve"> PAGEREF _Toc503258028 \h </w:instrText>
        </w:r>
        <w:r w:rsidR="006F20A2">
          <w:rPr>
            <w:noProof/>
            <w:webHidden/>
          </w:rPr>
        </w:r>
        <w:r w:rsidR="006F20A2">
          <w:rPr>
            <w:noProof/>
            <w:webHidden/>
          </w:rPr>
          <w:fldChar w:fldCharType="separate"/>
        </w:r>
        <w:r w:rsidR="00CA785D">
          <w:rPr>
            <w:noProof/>
            <w:webHidden/>
          </w:rPr>
          <w:t>3</w:t>
        </w:r>
        <w:r w:rsidR="006F20A2">
          <w:rPr>
            <w:noProof/>
            <w:webHidden/>
          </w:rPr>
          <w:fldChar w:fldCharType="end"/>
        </w:r>
      </w:hyperlink>
    </w:p>
    <w:p w14:paraId="531BAA5B" w14:textId="77777777" w:rsidR="00CA785D" w:rsidRDefault="00F8156A">
      <w:pPr>
        <w:pStyle w:val="TOC1"/>
        <w:rPr>
          <w:rFonts w:asciiTheme="minorHAnsi" w:eastAsiaTheme="minorEastAsia" w:hAnsiTheme="minorHAnsi" w:cstheme="minorBidi"/>
          <w:b w:val="0"/>
          <w:noProof/>
          <w:sz w:val="22"/>
          <w:szCs w:val="22"/>
        </w:rPr>
      </w:pPr>
      <w:hyperlink w:anchor="_Toc503258029" w:history="1">
        <w:r w:rsidR="00CA785D" w:rsidRPr="00594C0F">
          <w:rPr>
            <w:rStyle w:val="Hyperlink"/>
            <w:noProof/>
            <w:lang w:bidi="en-US"/>
          </w:rPr>
          <w:t>Spending trends</w:t>
        </w:r>
        <w:r w:rsidR="00CA785D">
          <w:rPr>
            <w:noProof/>
            <w:webHidden/>
          </w:rPr>
          <w:tab/>
        </w:r>
        <w:r w:rsidR="006F20A2">
          <w:rPr>
            <w:noProof/>
            <w:webHidden/>
          </w:rPr>
          <w:fldChar w:fldCharType="begin"/>
        </w:r>
        <w:r w:rsidR="00CA785D">
          <w:rPr>
            <w:noProof/>
            <w:webHidden/>
          </w:rPr>
          <w:instrText xml:space="preserve"> PAGEREF _Toc503258029 \h </w:instrText>
        </w:r>
        <w:r w:rsidR="006F20A2">
          <w:rPr>
            <w:noProof/>
            <w:webHidden/>
          </w:rPr>
        </w:r>
        <w:r w:rsidR="006F20A2">
          <w:rPr>
            <w:noProof/>
            <w:webHidden/>
          </w:rPr>
          <w:fldChar w:fldCharType="separate"/>
        </w:r>
        <w:r w:rsidR="00CA785D">
          <w:rPr>
            <w:noProof/>
            <w:webHidden/>
          </w:rPr>
          <w:t>5</w:t>
        </w:r>
        <w:r w:rsidR="006F20A2">
          <w:rPr>
            <w:noProof/>
            <w:webHidden/>
          </w:rPr>
          <w:fldChar w:fldCharType="end"/>
        </w:r>
      </w:hyperlink>
    </w:p>
    <w:p w14:paraId="676342A4" w14:textId="77777777" w:rsidR="00CA785D" w:rsidRDefault="00F8156A">
      <w:pPr>
        <w:pStyle w:val="TOC1"/>
        <w:rPr>
          <w:rFonts w:asciiTheme="minorHAnsi" w:eastAsiaTheme="minorEastAsia" w:hAnsiTheme="minorHAnsi" w:cstheme="minorBidi"/>
          <w:b w:val="0"/>
          <w:noProof/>
          <w:sz w:val="22"/>
          <w:szCs w:val="22"/>
        </w:rPr>
      </w:pPr>
      <w:hyperlink w:anchor="_Toc503258030" w:history="1">
        <w:r w:rsidR="00CA785D" w:rsidRPr="00594C0F">
          <w:rPr>
            <w:rStyle w:val="Hyperlink"/>
            <w:noProof/>
            <w:lang w:bidi="en-US"/>
          </w:rPr>
          <w:t>Transportation spending</w:t>
        </w:r>
        <w:r w:rsidR="00CA785D">
          <w:rPr>
            <w:noProof/>
            <w:webHidden/>
          </w:rPr>
          <w:tab/>
        </w:r>
        <w:r w:rsidR="006F20A2">
          <w:rPr>
            <w:noProof/>
            <w:webHidden/>
          </w:rPr>
          <w:fldChar w:fldCharType="begin"/>
        </w:r>
        <w:r w:rsidR="00CA785D">
          <w:rPr>
            <w:noProof/>
            <w:webHidden/>
          </w:rPr>
          <w:instrText xml:space="preserve"> PAGEREF _Toc503258030 \h </w:instrText>
        </w:r>
        <w:r w:rsidR="006F20A2">
          <w:rPr>
            <w:noProof/>
            <w:webHidden/>
          </w:rPr>
        </w:r>
        <w:r w:rsidR="006F20A2">
          <w:rPr>
            <w:noProof/>
            <w:webHidden/>
          </w:rPr>
          <w:fldChar w:fldCharType="separate"/>
        </w:r>
        <w:r w:rsidR="00CA785D">
          <w:rPr>
            <w:noProof/>
            <w:webHidden/>
          </w:rPr>
          <w:t>10</w:t>
        </w:r>
        <w:r w:rsidR="006F20A2">
          <w:rPr>
            <w:noProof/>
            <w:webHidden/>
          </w:rPr>
          <w:fldChar w:fldCharType="end"/>
        </w:r>
      </w:hyperlink>
    </w:p>
    <w:p w14:paraId="660088C2" w14:textId="77777777" w:rsidR="00CA785D" w:rsidRDefault="00F8156A">
      <w:pPr>
        <w:pStyle w:val="TOC1"/>
        <w:rPr>
          <w:rFonts w:asciiTheme="minorHAnsi" w:eastAsiaTheme="minorEastAsia" w:hAnsiTheme="minorHAnsi" w:cstheme="minorBidi"/>
          <w:b w:val="0"/>
          <w:noProof/>
          <w:sz w:val="22"/>
          <w:szCs w:val="22"/>
        </w:rPr>
      </w:pPr>
      <w:hyperlink w:anchor="_Toc503258031" w:history="1">
        <w:r w:rsidR="00CA785D" w:rsidRPr="00594C0F">
          <w:rPr>
            <w:rStyle w:val="Hyperlink"/>
            <w:noProof/>
            <w:lang w:bidi="en-US"/>
          </w:rPr>
          <w:t>Local aid</w:t>
        </w:r>
        <w:r w:rsidR="00CA785D">
          <w:rPr>
            <w:noProof/>
            <w:webHidden/>
          </w:rPr>
          <w:tab/>
        </w:r>
        <w:r w:rsidR="006F20A2">
          <w:rPr>
            <w:noProof/>
            <w:webHidden/>
          </w:rPr>
          <w:fldChar w:fldCharType="begin"/>
        </w:r>
        <w:r w:rsidR="00CA785D">
          <w:rPr>
            <w:noProof/>
            <w:webHidden/>
          </w:rPr>
          <w:instrText xml:space="preserve"> PAGEREF _Toc503258031 \h </w:instrText>
        </w:r>
        <w:r w:rsidR="006F20A2">
          <w:rPr>
            <w:noProof/>
            <w:webHidden/>
          </w:rPr>
        </w:r>
        <w:r w:rsidR="006F20A2">
          <w:rPr>
            <w:noProof/>
            <w:webHidden/>
          </w:rPr>
          <w:fldChar w:fldCharType="separate"/>
        </w:r>
        <w:r w:rsidR="00CA785D">
          <w:rPr>
            <w:noProof/>
            <w:webHidden/>
          </w:rPr>
          <w:t>10</w:t>
        </w:r>
        <w:r w:rsidR="006F20A2">
          <w:rPr>
            <w:noProof/>
            <w:webHidden/>
          </w:rPr>
          <w:fldChar w:fldCharType="end"/>
        </w:r>
      </w:hyperlink>
    </w:p>
    <w:p w14:paraId="3D8B6BFE" w14:textId="77777777" w:rsidR="00CA785D" w:rsidRDefault="00F8156A">
      <w:pPr>
        <w:pStyle w:val="TOC1"/>
        <w:rPr>
          <w:rFonts w:asciiTheme="minorHAnsi" w:eastAsiaTheme="minorEastAsia" w:hAnsiTheme="minorHAnsi" w:cstheme="minorBidi"/>
          <w:b w:val="0"/>
          <w:noProof/>
          <w:sz w:val="22"/>
          <w:szCs w:val="22"/>
        </w:rPr>
      </w:pPr>
      <w:hyperlink w:anchor="_Toc503258032" w:history="1">
        <w:r w:rsidR="00CA785D" w:rsidRPr="00594C0F">
          <w:rPr>
            <w:rStyle w:val="Hyperlink"/>
            <w:noProof/>
            <w:lang w:bidi="en-US"/>
          </w:rPr>
          <w:t>School choice</w:t>
        </w:r>
        <w:r w:rsidR="00CA785D">
          <w:rPr>
            <w:noProof/>
            <w:webHidden/>
          </w:rPr>
          <w:tab/>
        </w:r>
        <w:r w:rsidR="006F20A2">
          <w:rPr>
            <w:noProof/>
            <w:webHidden/>
          </w:rPr>
          <w:fldChar w:fldCharType="begin"/>
        </w:r>
        <w:r w:rsidR="00CA785D">
          <w:rPr>
            <w:noProof/>
            <w:webHidden/>
          </w:rPr>
          <w:instrText xml:space="preserve"> PAGEREF _Toc503258032 \h </w:instrText>
        </w:r>
        <w:r w:rsidR="006F20A2">
          <w:rPr>
            <w:noProof/>
            <w:webHidden/>
          </w:rPr>
        </w:r>
        <w:r w:rsidR="006F20A2">
          <w:rPr>
            <w:noProof/>
            <w:webHidden/>
          </w:rPr>
          <w:fldChar w:fldCharType="separate"/>
        </w:r>
        <w:r w:rsidR="00CA785D">
          <w:rPr>
            <w:noProof/>
            <w:webHidden/>
          </w:rPr>
          <w:t>14</w:t>
        </w:r>
        <w:r w:rsidR="006F20A2">
          <w:rPr>
            <w:noProof/>
            <w:webHidden/>
          </w:rPr>
          <w:fldChar w:fldCharType="end"/>
        </w:r>
      </w:hyperlink>
    </w:p>
    <w:p w14:paraId="28BAD03B" w14:textId="77777777" w:rsidR="00CA785D" w:rsidRDefault="00F8156A">
      <w:pPr>
        <w:pStyle w:val="TOC1"/>
        <w:rPr>
          <w:rFonts w:asciiTheme="minorHAnsi" w:eastAsiaTheme="minorEastAsia" w:hAnsiTheme="minorHAnsi" w:cstheme="minorBidi"/>
          <w:b w:val="0"/>
          <w:noProof/>
          <w:sz w:val="22"/>
          <w:szCs w:val="22"/>
        </w:rPr>
      </w:pPr>
      <w:hyperlink w:anchor="_Toc503258033" w:history="1">
        <w:r w:rsidR="00CA785D" w:rsidRPr="00594C0F">
          <w:rPr>
            <w:rStyle w:val="Hyperlink"/>
            <w:noProof/>
            <w:lang w:bidi="en-US"/>
          </w:rPr>
          <w:t>Charter schools</w:t>
        </w:r>
        <w:r w:rsidR="00CA785D">
          <w:rPr>
            <w:noProof/>
            <w:webHidden/>
          </w:rPr>
          <w:tab/>
        </w:r>
        <w:r w:rsidR="006F20A2">
          <w:rPr>
            <w:noProof/>
            <w:webHidden/>
          </w:rPr>
          <w:fldChar w:fldCharType="begin"/>
        </w:r>
        <w:r w:rsidR="00CA785D">
          <w:rPr>
            <w:noProof/>
            <w:webHidden/>
          </w:rPr>
          <w:instrText xml:space="preserve"> PAGEREF _Toc503258033 \h </w:instrText>
        </w:r>
        <w:r w:rsidR="006F20A2">
          <w:rPr>
            <w:noProof/>
            <w:webHidden/>
          </w:rPr>
        </w:r>
        <w:r w:rsidR="006F20A2">
          <w:rPr>
            <w:noProof/>
            <w:webHidden/>
          </w:rPr>
          <w:fldChar w:fldCharType="separate"/>
        </w:r>
        <w:r w:rsidR="00CA785D">
          <w:rPr>
            <w:noProof/>
            <w:webHidden/>
          </w:rPr>
          <w:t>16</w:t>
        </w:r>
        <w:r w:rsidR="006F20A2">
          <w:rPr>
            <w:noProof/>
            <w:webHidden/>
          </w:rPr>
          <w:fldChar w:fldCharType="end"/>
        </w:r>
      </w:hyperlink>
    </w:p>
    <w:p w14:paraId="21D342EC" w14:textId="77777777" w:rsidR="00CA785D" w:rsidRDefault="00F8156A">
      <w:pPr>
        <w:pStyle w:val="TOC1"/>
        <w:rPr>
          <w:rFonts w:asciiTheme="minorHAnsi" w:eastAsiaTheme="minorEastAsia" w:hAnsiTheme="minorHAnsi" w:cstheme="minorBidi"/>
          <w:b w:val="0"/>
          <w:noProof/>
          <w:sz w:val="22"/>
          <w:szCs w:val="22"/>
        </w:rPr>
      </w:pPr>
      <w:hyperlink w:anchor="_Toc503258034" w:history="1">
        <w:r w:rsidR="00CA785D" w:rsidRPr="00594C0F">
          <w:rPr>
            <w:rStyle w:val="Hyperlink"/>
            <w:noProof/>
            <w:lang w:bidi="en-US"/>
          </w:rPr>
          <w:t>Future Directions</w:t>
        </w:r>
        <w:r w:rsidR="00CA785D">
          <w:rPr>
            <w:noProof/>
            <w:webHidden/>
          </w:rPr>
          <w:tab/>
        </w:r>
        <w:r w:rsidR="006F20A2">
          <w:rPr>
            <w:noProof/>
            <w:webHidden/>
          </w:rPr>
          <w:fldChar w:fldCharType="begin"/>
        </w:r>
        <w:r w:rsidR="00CA785D">
          <w:rPr>
            <w:noProof/>
            <w:webHidden/>
          </w:rPr>
          <w:instrText xml:space="preserve"> PAGEREF _Toc503258034 \h </w:instrText>
        </w:r>
        <w:r w:rsidR="006F20A2">
          <w:rPr>
            <w:noProof/>
            <w:webHidden/>
          </w:rPr>
        </w:r>
        <w:r w:rsidR="006F20A2">
          <w:rPr>
            <w:noProof/>
            <w:webHidden/>
          </w:rPr>
          <w:fldChar w:fldCharType="separate"/>
        </w:r>
        <w:r w:rsidR="00CA785D">
          <w:rPr>
            <w:noProof/>
            <w:webHidden/>
          </w:rPr>
          <w:t>17</w:t>
        </w:r>
        <w:r w:rsidR="006F20A2">
          <w:rPr>
            <w:noProof/>
            <w:webHidden/>
          </w:rPr>
          <w:fldChar w:fldCharType="end"/>
        </w:r>
      </w:hyperlink>
    </w:p>
    <w:p w14:paraId="40BB2942" w14:textId="77777777" w:rsidR="00CA785D" w:rsidRDefault="00F8156A">
      <w:pPr>
        <w:pStyle w:val="TOC2"/>
        <w:tabs>
          <w:tab w:val="right" w:leader="dot" w:pos="9350"/>
        </w:tabs>
        <w:rPr>
          <w:rFonts w:asciiTheme="minorHAnsi" w:eastAsiaTheme="minorEastAsia" w:hAnsiTheme="minorHAnsi" w:cstheme="minorBidi"/>
          <w:noProof/>
          <w:sz w:val="22"/>
          <w:szCs w:val="22"/>
        </w:rPr>
      </w:pPr>
      <w:hyperlink w:anchor="_Toc503258035" w:history="1">
        <w:r w:rsidR="00CA785D" w:rsidRPr="00594C0F">
          <w:rPr>
            <w:rStyle w:val="Hyperlink"/>
            <w:noProof/>
            <w:lang w:bidi="en-US"/>
          </w:rPr>
          <w:t>Local aid changes</w:t>
        </w:r>
        <w:r w:rsidR="00CA785D">
          <w:rPr>
            <w:noProof/>
            <w:webHidden/>
          </w:rPr>
          <w:tab/>
        </w:r>
        <w:r w:rsidR="006F20A2">
          <w:rPr>
            <w:noProof/>
            <w:webHidden/>
          </w:rPr>
          <w:fldChar w:fldCharType="begin"/>
        </w:r>
        <w:r w:rsidR="00CA785D">
          <w:rPr>
            <w:noProof/>
            <w:webHidden/>
          </w:rPr>
          <w:instrText xml:space="preserve"> PAGEREF _Toc503258035 \h </w:instrText>
        </w:r>
        <w:r w:rsidR="006F20A2">
          <w:rPr>
            <w:noProof/>
            <w:webHidden/>
          </w:rPr>
        </w:r>
        <w:r w:rsidR="006F20A2">
          <w:rPr>
            <w:noProof/>
            <w:webHidden/>
          </w:rPr>
          <w:fldChar w:fldCharType="separate"/>
        </w:r>
        <w:r w:rsidR="00CA785D">
          <w:rPr>
            <w:noProof/>
            <w:webHidden/>
          </w:rPr>
          <w:t>17</w:t>
        </w:r>
        <w:r w:rsidR="006F20A2">
          <w:rPr>
            <w:noProof/>
            <w:webHidden/>
          </w:rPr>
          <w:fldChar w:fldCharType="end"/>
        </w:r>
      </w:hyperlink>
    </w:p>
    <w:p w14:paraId="672A946D" w14:textId="77777777" w:rsidR="00CA785D" w:rsidRDefault="00F8156A">
      <w:pPr>
        <w:pStyle w:val="TOC2"/>
        <w:tabs>
          <w:tab w:val="right" w:leader="dot" w:pos="9350"/>
        </w:tabs>
        <w:rPr>
          <w:rFonts w:asciiTheme="minorHAnsi" w:eastAsiaTheme="minorEastAsia" w:hAnsiTheme="minorHAnsi" w:cstheme="minorBidi"/>
          <w:noProof/>
          <w:sz w:val="22"/>
          <w:szCs w:val="22"/>
        </w:rPr>
      </w:pPr>
      <w:hyperlink w:anchor="_Toc503258036" w:history="1">
        <w:r w:rsidR="00CA785D" w:rsidRPr="00594C0F">
          <w:rPr>
            <w:rStyle w:val="Hyperlink"/>
            <w:noProof/>
            <w:lang w:bidi="en-US"/>
          </w:rPr>
          <w:t>Regional models</w:t>
        </w:r>
        <w:r w:rsidR="00CA785D">
          <w:rPr>
            <w:noProof/>
            <w:webHidden/>
          </w:rPr>
          <w:tab/>
        </w:r>
        <w:r w:rsidR="006F20A2">
          <w:rPr>
            <w:noProof/>
            <w:webHidden/>
          </w:rPr>
          <w:fldChar w:fldCharType="begin"/>
        </w:r>
        <w:r w:rsidR="00CA785D">
          <w:rPr>
            <w:noProof/>
            <w:webHidden/>
          </w:rPr>
          <w:instrText xml:space="preserve"> PAGEREF _Toc503258036 \h </w:instrText>
        </w:r>
        <w:r w:rsidR="006F20A2">
          <w:rPr>
            <w:noProof/>
            <w:webHidden/>
          </w:rPr>
        </w:r>
        <w:r w:rsidR="006F20A2">
          <w:rPr>
            <w:noProof/>
            <w:webHidden/>
          </w:rPr>
          <w:fldChar w:fldCharType="separate"/>
        </w:r>
        <w:r w:rsidR="00CA785D">
          <w:rPr>
            <w:noProof/>
            <w:webHidden/>
          </w:rPr>
          <w:t>18</w:t>
        </w:r>
        <w:r w:rsidR="006F20A2">
          <w:rPr>
            <w:noProof/>
            <w:webHidden/>
          </w:rPr>
          <w:fldChar w:fldCharType="end"/>
        </w:r>
      </w:hyperlink>
    </w:p>
    <w:p w14:paraId="678D166D" w14:textId="77777777" w:rsidR="00CA785D" w:rsidRDefault="00F8156A">
      <w:pPr>
        <w:pStyle w:val="TOC2"/>
        <w:tabs>
          <w:tab w:val="right" w:leader="dot" w:pos="9350"/>
        </w:tabs>
        <w:rPr>
          <w:rFonts w:asciiTheme="minorHAnsi" w:eastAsiaTheme="minorEastAsia" w:hAnsiTheme="minorHAnsi" w:cstheme="minorBidi"/>
          <w:noProof/>
          <w:sz w:val="22"/>
          <w:szCs w:val="22"/>
        </w:rPr>
      </w:pPr>
      <w:hyperlink w:anchor="_Toc503258037" w:history="1">
        <w:r w:rsidR="00CA785D" w:rsidRPr="00594C0F">
          <w:rPr>
            <w:rStyle w:val="Hyperlink"/>
            <w:noProof/>
            <w:lang w:bidi="en-US"/>
          </w:rPr>
          <w:t>Regional incentives</w:t>
        </w:r>
        <w:r w:rsidR="00CA785D">
          <w:rPr>
            <w:noProof/>
            <w:webHidden/>
          </w:rPr>
          <w:tab/>
        </w:r>
        <w:r w:rsidR="006F20A2">
          <w:rPr>
            <w:noProof/>
            <w:webHidden/>
          </w:rPr>
          <w:fldChar w:fldCharType="begin"/>
        </w:r>
        <w:r w:rsidR="00CA785D">
          <w:rPr>
            <w:noProof/>
            <w:webHidden/>
          </w:rPr>
          <w:instrText xml:space="preserve"> PAGEREF _Toc503258037 \h </w:instrText>
        </w:r>
        <w:r w:rsidR="006F20A2">
          <w:rPr>
            <w:noProof/>
            <w:webHidden/>
          </w:rPr>
        </w:r>
        <w:r w:rsidR="006F20A2">
          <w:rPr>
            <w:noProof/>
            <w:webHidden/>
          </w:rPr>
          <w:fldChar w:fldCharType="separate"/>
        </w:r>
        <w:r w:rsidR="00CA785D">
          <w:rPr>
            <w:noProof/>
            <w:webHidden/>
          </w:rPr>
          <w:t>20</w:t>
        </w:r>
        <w:r w:rsidR="006F20A2">
          <w:rPr>
            <w:noProof/>
            <w:webHidden/>
          </w:rPr>
          <w:fldChar w:fldCharType="end"/>
        </w:r>
      </w:hyperlink>
    </w:p>
    <w:p w14:paraId="2AA244F7" w14:textId="77777777" w:rsidR="00CA785D" w:rsidRDefault="00F8156A">
      <w:pPr>
        <w:pStyle w:val="TOC1"/>
        <w:rPr>
          <w:rFonts w:asciiTheme="minorHAnsi" w:eastAsiaTheme="minorEastAsia" w:hAnsiTheme="minorHAnsi" w:cstheme="minorBidi"/>
          <w:b w:val="0"/>
          <w:noProof/>
          <w:sz w:val="22"/>
          <w:szCs w:val="22"/>
        </w:rPr>
      </w:pPr>
      <w:hyperlink w:anchor="_Toc503258038" w:history="1">
        <w:r w:rsidR="00CA785D" w:rsidRPr="00594C0F">
          <w:rPr>
            <w:rStyle w:val="Hyperlink"/>
            <w:noProof/>
            <w:lang w:bidi="en-US"/>
          </w:rPr>
          <w:t>Appendix A: Rural district data</w:t>
        </w:r>
        <w:r w:rsidR="00CA785D">
          <w:rPr>
            <w:noProof/>
            <w:webHidden/>
          </w:rPr>
          <w:tab/>
        </w:r>
        <w:r w:rsidR="006F20A2">
          <w:rPr>
            <w:noProof/>
            <w:webHidden/>
          </w:rPr>
          <w:fldChar w:fldCharType="begin"/>
        </w:r>
        <w:r w:rsidR="00CA785D">
          <w:rPr>
            <w:noProof/>
            <w:webHidden/>
          </w:rPr>
          <w:instrText xml:space="preserve"> PAGEREF _Toc503258038 \h </w:instrText>
        </w:r>
        <w:r w:rsidR="006F20A2">
          <w:rPr>
            <w:noProof/>
            <w:webHidden/>
          </w:rPr>
        </w:r>
        <w:r w:rsidR="006F20A2">
          <w:rPr>
            <w:noProof/>
            <w:webHidden/>
          </w:rPr>
          <w:fldChar w:fldCharType="separate"/>
        </w:r>
        <w:r w:rsidR="00CA785D">
          <w:rPr>
            <w:noProof/>
            <w:webHidden/>
          </w:rPr>
          <w:t>22</w:t>
        </w:r>
        <w:r w:rsidR="006F20A2">
          <w:rPr>
            <w:noProof/>
            <w:webHidden/>
          </w:rPr>
          <w:fldChar w:fldCharType="end"/>
        </w:r>
      </w:hyperlink>
    </w:p>
    <w:p w14:paraId="2E3C8AC1" w14:textId="77777777" w:rsidR="003F3636" w:rsidRDefault="006F20A2">
      <w:r>
        <w:fldChar w:fldCharType="end"/>
      </w:r>
    </w:p>
    <w:p w14:paraId="63A3CB7A" w14:textId="77777777" w:rsidR="00FD2C86" w:rsidRDefault="00FD2C86">
      <w:pPr>
        <w:sectPr w:rsidR="00FD2C86" w:rsidSect="007102D5">
          <w:pgSz w:w="12240" w:h="15840"/>
          <w:pgMar w:top="1440" w:right="1440" w:bottom="1440" w:left="1440" w:header="720" w:footer="720" w:gutter="0"/>
          <w:cols w:space="720"/>
          <w:docGrid w:linePitch="326"/>
        </w:sectPr>
      </w:pPr>
    </w:p>
    <w:p w14:paraId="1DC1FE75" w14:textId="77777777" w:rsidR="00144CB4" w:rsidRPr="009A5EBB" w:rsidRDefault="00144CB4" w:rsidP="005B4B63">
      <w:pPr>
        <w:pStyle w:val="Heading1"/>
      </w:pPr>
      <w:bookmarkStart w:id="0" w:name="_Toc503258026"/>
      <w:r w:rsidRPr="005B4B63">
        <w:lastRenderedPageBreak/>
        <w:t>Introduction</w:t>
      </w:r>
      <w:bookmarkEnd w:id="0"/>
    </w:p>
    <w:p w14:paraId="364BA100" w14:textId="77777777" w:rsidR="00144CB4" w:rsidRDefault="00144CB4" w:rsidP="00144CB4">
      <w:r>
        <w:t xml:space="preserve">The Department of Elementary and Secondary Education respectfully submits this </w:t>
      </w:r>
      <w:r w:rsidR="005F309E">
        <w:t>r</w:t>
      </w:r>
      <w:r>
        <w:t xml:space="preserve">eport to the </w:t>
      </w:r>
      <w:r w:rsidR="00E444DA">
        <w:t>L</w:t>
      </w:r>
      <w:r>
        <w:t xml:space="preserve">egislature pursuant to </w:t>
      </w:r>
      <w:r w:rsidR="00843E35" w:rsidRPr="00843E35">
        <w:t xml:space="preserve">Chapter </w:t>
      </w:r>
      <w:r w:rsidR="007C28DC">
        <w:t xml:space="preserve">47 </w:t>
      </w:r>
      <w:r>
        <w:t xml:space="preserve">of the Acts of </w:t>
      </w:r>
      <w:r w:rsidR="00741A9A">
        <w:t>2017</w:t>
      </w:r>
      <w:r>
        <w:t>:</w:t>
      </w:r>
    </w:p>
    <w:p w14:paraId="0E6C5651" w14:textId="77777777" w:rsidR="00144CB4" w:rsidRDefault="00144CB4" w:rsidP="00144CB4"/>
    <w:p w14:paraId="6D3828AE" w14:textId="77777777" w:rsidR="00741A9A" w:rsidRPr="00741A9A" w:rsidRDefault="00741A9A" w:rsidP="00741A9A">
      <w:pPr>
        <w:rPr>
          <w:i/>
          <w:lang w:bidi="en-US"/>
        </w:rPr>
      </w:pPr>
      <w:r w:rsidRPr="00741A9A">
        <w:rPr>
          <w:i/>
          <w:lang w:bidi="en-US"/>
        </w:rPr>
        <w:t>SECTION 127</w:t>
      </w:r>
      <w:r w:rsidR="00FA4415">
        <w:rPr>
          <w:i/>
          <w:lang w:bidi="en-US"/>
        </w:rPr>
        <w:t xml:space="preserve">. </w:t>
      </w:r>
      <w:r w:rsidRPr="00741A9A">
        <w:rPr>
          <w:i/>
          <w:lang w:bidi="en-US"/>
        </w:rPr>
        <w:t xml:space="preserve"> The department of elementary and secondary education shall conduct a feasibility study relative to establishing a formula for aid to be distributed to rural school districts. The formula shall include, but not be limited to, such criteria as total student enrollment, density of student enrollment per square mile, per capita income and other factors pertaining to rural school district funding. The department shall report the results of the study to the chairs of the joint committee on education, the house and senate chairs of the committees on ways and means and the rural policy advisory commission, established in </w:t>
      </w:r>
      <w:hyperlink r:id="rId16" w:tgtFrame="_blank" w:history="1">
        <w:r w:rsidRPr="00741A9A">
          <w:rPr>
            <w:rStyle w:val="Hyperlink"/>
            <w:i/>
            <w:lang w:bidi="en-US"/>
          </w:rPr>
          <w:t>section 66 of chapter 23A</w:t>
        </w:r>
      </w:hyperlink>
      <w:r w:rsidRPr="00741A9A">
        <w:rPr>
          <w:i/>
          <w:lang w:bidi="en-US"/>
        </w:rPr>
        <w:t xml:space="preserve"> of the General Laws, on or before January 1, 2018.</w:t>
      </w:r>
    </w:p>
    <w:p w14:paraId="1E7D9173" w14:textId="77777777" w:rsidR="00741A9A" w:rsidRDefault="00741A9A" w:rsidP="00741A9A">
      <w:pPr>
        <w:rPr>
          <w:lang w:bidi="en-US"/>
        </w:rPr>
      </w:pPr>
    </w:p>
    <w:p w14:paraId="5241B487" w14:textId="77777777" w:rsidR="00741A9A" w:rsidRDefault="008F45F6" w:rsidP="00741A9A">
      <w:pPr>
        <w:rPr>
          <w:lang w:bidi="en-US"/>
        </w:rPr>
      </w:pPr>
      <w:r>
        <w:rPr>
          <w:lang w:bidi="en-US"/>
        </w:rPr>
        <w:t>This report looks at the curr</w:t>
      </w:r>
      <w:r w:rsidR="00874083">
        <w:rPr>
          <w:lang w:bidi="en-US"/>
        </w:rPr>
        <w:t>ent fiscal conditions in rural</w:t>
      </w:r>
      <w:r>
        <w:rPr>
          <w:lang w:bidi="en-US"/>
        </w:rPr>
        <w:t xml:space="preserve"> school districts </w:t>
      </w:r>
      <w:r w:rsidR="00A80720">
        <w:rPr>
          <w:lang w:bidi="en-US"/>
        </w:rPr>
        <w:t>across the state</w:t>
      </w:r>
      <w:r w:rsidR="00050211">
        <w:rPr>
          <w:lang w:bidi="en-US"/>
        </w:rPr>
        <w:t>, e</w:t>
      </w:r>
      <w:r w:rsidR="0066690F">
        <w:rPr>
          <w:lang w:bidi="en-US"/>
        </w:rPr>
        <w:t>xamin</w:t>
      </w:r>
      <w:r w:rsidR="00050211">
        <w:rPr>
          <w:lang w:bidi="en-US"/>
        </w:rPr>
        <w:t>ing</w:t>
      </w:r>
      <w:r>
        <w:rPr>
          <w:lang w:bidi="en-US"/>
        </w:rPr>
        <w:t xml:space="preserve"> enrollment, staffing, </w:t>
      </w:r>
      <w:r w:rsidR="002D15D9">
        <w:rPr>
          <w:lang w:bidi="en-US"/>
        </w:rPr>
        <w:t xml:space="preserve">and </w:t>
      </w:r>
      <w:r>
        <w:rPr>
          <w:lang w:bidi="en-US"/>
        </w:rPr>
        <w:t>spending</w:t>
      </w:r>
      <w:r w:rsidR="002D15D9">
        <w:rPr>
          <w:lang w:bidi="en-US"/>
        </w:rPr>
        <w:t xml:space="preserve"> trends as well as</w:t>
      </w:r>
      <w:r w:rsidR="004B5E79">
        <w:rPr>
          <w:lang w:bidi="en-US"/>
        </w:rPr>
        <w:t xml:space="preserve"> local aid, school choice</w:t>
      </w:r>
      <w:r w:rsidR="002D15D9">
        <w:rPr>
          <w:lang w:bidi="en-US"/>
        </w:rPr>
        <w:t>, and</w:t>
      </w:r>
      <w:r w:rsidR="004B5E79">
        <w:rPr>
          <w:lang w:bidi="en-US"/>
        </w:rPr>
        <w:t xml:space="preserve"> charter school tuition</w:t>
      </w:r>
      <w:r w:rsidR="002D15D9">
        <w:rPr>
          <w:lang w:bidi="en-US"/>
        </w:rPr>
        <w:t>s</w:t>
      </w:r>
      <w:r>
        <w:rPr>
          <w:lang w:bidi="en-US"/>
        </w:rPr>
        <w:t xml:space="preserve"> </w:t>
      </w:r>
      <w:r w:rsidR="00111153">
        <w:rPr>
          <w:lang w:bidi="en-US"/>
        </w:rPr>
        <w:t xml:space="preserve">to understand the challenges </w:t>
      </w:r>
      <w:r w:rsidR="00614526">
        <w:rPr>
          <w:lang w:bidi="en-US"/>
        </w:rPr>
        <w:t>fac</w:t>
      </w:r>
      <w:r w:rsidR="008F7A5E">
        <w:rPr>
          <w:lang w:bidi="en-US"/>
        </w:rPr>
        <w:t>ing these districts</w:t>
      </w:r>
      <w:r>
        <w:rPr>
          <w:lang w:bidi="en-US"/>
        </w:rPr>
        <w:t>.</w:t>
      </w:r>
      <w:r w:rsidR="00111153">
        <w:rPr>
          <w:lang w:bidi="en-US"/>
        </w:rPr>
        <w:t xml:space="preserve"> </w:t>
      </w:r>
      <w:r w:rsidR="00614526">
        <w:rPr>
          <w:lang w:bidi="en-US"/>
        </w:rPr>
        <w:t>Among the findings</w:t>
      </w:r>
      <w:r w:rsidR="0066690F">
        <w:rPr>
          <w:lang w:bidi="en-US"/>
        </w:rPr>
        <w:t>:</w:t>
      </w:r>
    </w:p>
    <w:p w14:paraId="3DB79162" w14:textId="77777777" w:rsidR="00741A9A" w:rsidRPr="00741A9A" w:rsidRDefault="00741A9A" w:rsidP="00741A9A">
      <w:pPr>
        <w:rPr>
          <w:lang w:bidi="en-US"/>
        </w:rPr>
      </w:pPr>
    </w:p>
    <w:p w14:paraId="46513D7C" w14:textId="77777777" w:rsidR="00741A9A" w:rsidRDefault="0066690F" w:rsidP="00C927FE">
      <w:pPr>
        <w:numPr>
          <w:ilvl w:val="0"/>
          <w:numId w:val="7"/>
        </w:numPr>
        <w:spacing w:after="240"/>
        <w:rPr>
          <w:lang w:bidi="en-US"/>
        </w:rPr>
      </w:pPr>
      <w:r>
        <w:rPr>
          <w:lang w:bidi="en-US"/>
        </w:rPr>
        <w:t>Over the last ten years, e</w:t>
      </w:r>
      <w:r w:rsidR="00741A9A" w:rsidRPr="00741A9A">
        <w:rPr>
          <w:lang w:bidi="en-US"/>
        </w:rPr>
        <w:t>nrollment declin</w:t>
      </w:r>
      <w:r>
        <w:rPr>
          <w:lang w:bidi="en-US"/>
        </w:rPr>
        <w:t>ed</w:t>
      </w:r>
      <w:r w:rsidR="00741A9A" w:rsidRPr="00741A9A">
        <w:rPr>
          <w:lang w:bidi="en-US"/>
        </w:rPr>
        <w:t xml:space="preserve"> in rural districts, while it remained flat </w:t>
      </w:r>
      <w:r w:rsidR="00111153">
        <w:rPr>
          <w:lang w:bidi="en-US"/>
        </w:rPr>
        <w:t xml:space="preserve">on average </w:t>
      </w:r>
      <w:r w:rsidR="00050211">
        <w:rPr>
          <w:lang w:bidi="en-US"/>
        </w:rPr>
        <w:t xml:space="preserve">across </w:t>
      </w:r>
      <w:r w:rsidR="008804E7">
        <w:rPr>
          <w:lang w:bidi="en-US"/>
        </w:rPr>
        <w:t>the rest of the state</w:t>
      </w:r>
      <w:r w:rsidR="00050211">
        <w:rPr>
          <w:lang w:bidi="en-US"/>
        </w:rPr>
        <w:t>.</w:t>
      </w:r>
    </w:p>
    <w:p w14:paraId="35B09291" w14:textId="77777777" w:rsidR="00741A9A" w:rsidRPr="00741A9A" w:rsidRDefault="00741A9A" w:rsidP="00C927FE">
      <w:pPr>
        <w:numPr>
          <w:ilvl w:val="0"/>
          <w:numId w:val="7"/>
        </w:numPr>
        <w:spacing w:after="240"/>
        <w:rPr>
          <w:lang w:bidi="en-US"/>
        </w:rPr>
      </w:pPr>
      <w:r w:rsidRPr="00741A9A">
        <w:rPr>
          <w:lang w:bidi="en-US"/>
        </w:rPr>
        <w:t xml:space="preserve">Rural districts employ more </w:t>
      </w:r>
      <w:r w:rsidR="0066690F">
        <w:rPr>
          <w:lang w:bidi="en-US"/>
        </w:rPr>
        <w:t>teachers and paraprofessionals</w:t>
      </w:r>
      <w:r w:rsidRPr="00741A9A">
        <w:rPr>
          <w:lang w:bidi="en-US"/>
        </w:rPr>
        <w:t xml:space="preserve"> </w:t>
      </w:r>
      <w:r w:rsidR="0053528A">
        <w:rPr>
          <w:lang w:bidi="en-US"/>
        </w:rPr>
        <w:t xml:space="preserve">per 100 students than </w:t>
      </w:r>
      <w:r w:rsidR="00111153">
        <w:rPr>
          <w:lang w:bidi="en-US"/>
        </w:rPr>
        <w:t>other</w:t>
      </w:r>
      <w:r w:rsidRPr="00741A9A">
        <w:rPr>
          <w:lang w:bidi="en-US"/>
        </w:rPr>
        <w:t xml:space="preserve"> districts</w:t>
      </w:r>
      <w:r w:rsidR="0053528A">
        <w:rPr>
          <w:lang w:bidi="en-US"/>
        </w:rPr>
        <w:t>.</w:t>
      </w:r>
    </w:p>
    <w:p w14:paraId="51F39A51" w14:textId="77777777" w:rsidR="00741A9A" w:rsidRDefault="00741A9A" w:rsidP="00C927FE">
      <w:pPr>
        <w:numPr>
          <w:ilvl w:val="0"/>
          <w:numId w:val="7"/>
        </w:numPr>
        <w:spacing w:after="240"/>
        <w:rPr>
          <w:lang w:bidi="en-US"/>
        </w:rPr>
      </w:pPr>
      <w:r w:rsidRPr="00741A9A">
        <w:rPr>
          <w:lang w:bidi="en-US"/>
        </w:rPr>
        <w:t>While total spending gr</w:t>
      </w:r>
      <w:r w:rsidR="009C0081">
        <w:rPr>
          <w:lang w:bidi="en-US"/>
        </w:rPr>
        <w:t>e</w:t>
      </w:r>
      <w:r w:rsidRPr="00741A9A">
        <w:rPr>
          <w:lang w:bidi="en-US"/>
        </w:rPr>
        <w:t xml:space="preserve">w at a faster rate in </w:t>
      </w:r>
      <w:r w:rsidR="00111153">
        <w:rPr>
          <w:lang w:bidi="en-US"/>
        </w:rPr>
        <w:t>non-rural districts</w:t>
      </w:r>
      <w:r w:rsidRPr="00741A9A">
        <w:rPr>
          <w:lang w:bidi="en-US"/>
        </w:rPr>
        <w:t>, average per pupil costs gr</w:t>
      </w:r>
      <w:r w:rsidR="009C0081">
        <w:rPr>
          <w:lang w:bidi="en-US"/>
        </w:rPr>
        <w:t>ew</w:t>
      </w:r>
      <w:r w:rsidRPr="00741A9A">
        <w:rPr>
          <w:lang w:bidi="en-US"/>
        </w:rPr>
        <w:t xml:space="preserve"> more quickly in rural districts</w:t>
      </w:r>
      <w:r w:rsidR="009C0081">
        <w:rPr>
          <w:lang w:bidi="en-US"/>
        </w:rPr>
        <w:t>, due to declining enrollment and rising costs</w:t>
      </w:r>
      <w:r w:rsidR="0053528A">
        <w:rPr>
          <w:lang w:bidi="en-US"/>
        </w:rPr>
        <w:t>.</w:t>
      </w:r>
    </w:p>
    <w:p w14:paraId="097406DF" w14:textId="77777777" w:rsidR="008804E7" w:rsidRDefault="008804E7" w:rsidP="00C927FE">
      <w:pPr>
        <w:numPr>
          <w:ilvl w:val="0"/>
          <w:numId w:val="7"/>
        </w:numPr>
        <w:spacing w:after="240"/>
        <w:rPr>
          <w:lang w:bidi="en-US"/>
        </w:rPr>
      </w:pPr>
      <w:r>
        <w:rPr>
          <w:lang w:bidi="en-US"/>
        </w:rPr>
        <w:t>Rural districts spend 50 percent more per pupil on transportation costs than districts across the rest of the state.</w:t>
      </w:r>
    </w:p>
    <w:p w14:paraId="43384CA3" w14:textId="77777777" w:rsidR="0066690F" w:rsidRDefault="0066690F" w:rsidP="00C927FE">
      <w:pPr>
        <w:numPr>
          <w:ilvl w:val="0"/>
          <w:numId w:val="7"/>
        </w:numPr>
        <w:spacing w:after="240"/>
        <w:rPr>
          <w:lang w:bidi="en-US"/>
        </w:rPr>
      </w:pPr>
      <w:r>
        <w:rPr>
          <w:lang w:bidi="en-US"/>
        </w:rPr>
        <w:t xml:space="preserve">There are </w:t>
      </w:r>
      <w:r w:rsidR="007E5DF3">
        <w:rPr>
          <w:lang w:bidi="en-US"/>
        </w:rPr>
        <w:t xml:space="preserve">several </w:t>
      </w:r>
      <w:r w:rsidR="008804E7">
        <w:rPr>
          <w:lang w:bidi="en-US"/>
        </w:rPr>
        <w:t>elements</w:t>
      </w:r>
      <w:r>
        <w:rPr>
          <w:lang w:bidi="en-US"/>
        </w:rPr>
        <w:t xml:space="preserve"> in the Chapter 70 </w:t>
      </w:r>
      <w:r w:rsidR="007E5DF3">
        <w:rPr>
          <w:lang w:bidi="en-US"/>
        </w:rPr>
        <w:t xml:space="preserve">state aid </w:t>
      </w:r>
      <w:r>
        <w:rPr>
          <w:lang w:bidi="en-US"/>
        </w:rPr>
        <w:t xml:space="preserve">formula that </w:t>
      </w:r>
      <w:r w:rsidR="00517558">
        <w:rPr>
          <w:lang w:bidi="en-US"/>
        </w:rPr>
        <w:t xml:space="preserve">stabilize </w:t>
      </w:r>
      <w:r>
        <w:rPr>
          <w:lang w:bidi="en-US"/>
        </w:rPr>
        <w:t xml:space="preserve">spending in rural districts, including the </w:t>
      </w:r>
      <w:r w:rsidR="009C0081">
        <w:rPr>
          <w:lang w:bidi="en-US"/>
        </w:rPr>
        <w:t>w</w:t>
      </w:r>
      <w:r>
        <w:rPr>
          <w:lang w:bidi="en-US"/>
        </w:rPr>
        <w:t xml:space="preserve">age </w:t>
      </w:r>
      <w:r w:rsidR="009C0081">
        <w:rPr>
          <w:lang w:bidi="en-US"/>
        </w:rPr>
        <w:t>a</w:t>
      </w:r>
      <w:r>
        <w:rPr>
          <w:lang w:bidi="en-US"/>
        </w:rPr>
        <w:t xml:space="preserve">djustment </w:t>
      </w:r>
      <w:r w:rsidR="009C0081">
        <w:rPr>
          <w:lang w:bidi="en-US"/>
        </w:rPr>
        <w:t>f</w:t>
      </w:r>
      <w:r>
        <w:rPr>
          <w:lang w:bidi="en-US"/>
        </w:rPr>
        <w:t>actor</w:t>
      </w:r>
      <w:r w:rsidR="0053528A">
        <w:rPr>
          <w:lang w:bidi="en-US"/>
        </w:rPr>
        <w:t xml:space="preserve"> (WAF</w:t>
      </w:r>
      <w:r w:rsidR="00517558">
        <w:rPr>
          <w:lang w:bidi="en-US"/>
        </w:rPr>
        <w:t xml:space="preserve">), the </w:t>
      </w:r>
      <w:r>
        <w:rPr>
          <w:lang w:bidi="en-US"/>
        </w:rPr>
        <w:t xml:space="preserve">hold harmless provision, and </w:t>
      </w:r>
      <w:r w:rsidR="008804E7">
        <w:rPr>
          <w:lang w:bidi="en-US"/>
        </w:rPr>
        <w:t xml:space="preserve">teacher salary rates in the </w:t>
      </w:r>
      <w:r w:rsidR="007B2372">
        <w:rPr>
          <w:lang w:bidi="en-US"/>
        </w:rPr>
        <w:t xml:space="preserve">foundation budget </w:t>
      </w:r>
      <w:r w:rsidR="008804E7">
        <w:rPr>
          <w:lang w:bidi="en-US"/>
        </w:rPr>
        <w:t xml:space="preserve">that are higher than what rural districts pay </w:t>
      </w:r>
      <w:r w:rsidR="00111153">
        <w:rPr>
          <w:lang w:bidi="en-US"/>
        </w:rPr>
        <w:t>on average</w:t>
      </w:r>
      <w:r w:rsidR="007E5DF3">
        <w:rPr>
          <w:lang w:bidi="en-US"/>
        </w:rPr>
        <w:t xml:space="preserve">. </w:t>
      </w:r>
    </w:p>
    <w:p w14:paraId="61E0E8D2" w14:textId="77777777" w:rsidR="00741A9A" w:rsidRDefault="00741A9A" w:rsidP="00C927FE">
      <w:pPr>
        <w:numPr>
          <w:ilvl w:val="0"/>
          <w:numId w:val="7"/>
        </w:numPr>
        <w:spacing w:after="240"/>
        <w:rPr>
          <w:lang w:bidi="en-US"/>
        </w:rPr>
      </w:pPr>
      <w:r w:rsidRPr="00741A9A">
        <w:rPr>
          <w:lang w:bidi="en-US"/>
        </w:rPr>
        <w:t>As enrollment declines, some rural districts are relying more on school choice as a revenue source</w:t>
      </w:r>
      <w:r w:rsidR="0053528A">
        <w:rPr>
          <w:lang w:bidi="en-US"/>
        </w:rPr>
        <w:t xml:space="preserve"> to support operating expenditures.</w:t>
      </w:r>
    </w:p>
    <w:p w14:paraId="0C50B7CE" w14:textId="77777777" w:rsidR="009C3F85" w:rsidRPr="00741A9A" w:rsidRDefault="00C060FD" w:rsidP="00C927FE">
      <w:pPr>
        <w:numPr>
          <w:ilvl w:val="0"/>
          <w:numId w:val="7"/>
        </w:numPr>
        <w:spacing w:after="240"/>
        <w:rPr>
          <w:lang w:bidi="en-US"/>
        </w:rPr>
      </w:pPr>
      <w:r>
        <w:rPr>
          <w:lang w:bidi="en-US"/>
        </w:rPr>
        <w:t>Charter school tuitions have not grown as quickly in rural districts as they have for the rest of the state.</w:t>
      </w:r>
    </w:p>
    <w:p w14:paraId="0FA80273" w14:textId="77777777" w:rsidR="00B1372C" w:rsidRDefault="00B1372C" w:rsidP="0066690F">
      <w:pPr>
        <w:rPr>
          <w:lang w:bidi="en-US"/>
        </w:rPr>
      </w:pPr>
      <w:r>
        <w:rPr>
          <w:lang w:bidi="en-US"/>
        </w:rPr>
        <w:t>R</w:t>
      </w:r>
      <w:r w:rsidRPr="00741A9A">
        <w:rPr>
          <w:lang w:bidi="en-US"/>
        </w:rPr>
        <w:t xml:space="preserve">ural districts face unique challenges that impact </w:t>
      </w:r>
      <w:r>
        <w:rPr>
          <w:lang w:bidi="en-US"/>
        </w:rPr>
        <w:t>their ability to deliver services. Some of these</w:t>
      </w:r>
      <w:r w:rsidRPr="00741A9A">
        <w:rPr>
          <w:lang w:bidi="en-US"/>
        </w:rPr>
        <w:t xml:space="preserve"> challenges </w:t>
      </w:r>
      <w:r>
        <w:rPr>
          <w:lang w:bidi="en-US"/>
        </w:rPr>
        <w:t>are</w:t>
      </w:r>
      <w:r w:rsidRPr="00741A9A">
        <w:rPr>
          <w:lang w:bidi="en-US"/>
        </w:rPr>
        <w:t xml:space="preserve"> mitigated by hold harmless and other provisions in the </w:t>
      </w:r>
      <w:r>
        <w:rPr>
          <w:lang w:bidi="en-US"/>
        </w:rPr>
        <w:t xml:space="preserve">Chapter 70 </w:t>
      </w:r>
      <w:r w:rsidRPr="00741A9A">
        <w:rPr>
          <w:lang w:bidi="en-US"/>
        </w:rPr>
        <w:t xml:space="preserve">formula that </w:t>
      </w:r>
      <w:r>
        <w:rPr>
          <w:lang w:bidi="en-US"/>
        </w:rPr>
        <w:t>maintained funding for rural districts despite declining enrollments, but more needs to be done to find efficiencies that will put these districts on a more sustainable footing so that they can meet the needs of their students.</w:t>
      </w:r>
    </w:p>
    <w:p w14:paraId="3B72BA7D" w14:textId="77777777" w:rsidR="00741A9A" w:rsidRDefault="00B1372C" w:rsidP="0066690F">
      <w:pPr>
        <w:rPr>
          <w:lang w:bidi="en-US"/>
        </w:rPr>
      </w:pPr>
      <w:r>
        <w:rPr>
          <w:lang w:bidi="en-US"/>
        </w:rPr>
        <w:lastRenderedPageBreak/>
        <w:t xml:space="preserve">These issues and how to address them are gaining more attention statewide. </w:t>
      </w:r>
      <w:r w:rsidR="008F7A5E">
        <w:rPr>
          <w:lang w:bidi="en-US"/>
        </w:rPr>
        <w:t xml:space="preserve">The Office of the State Auditor recently released a report </w:t>
      </w:r>
      <w:r w:rsidR="002D15D9">
        <w:rPr>
          <w:lang w:bidi="en-US"/>
        </w:rPr>
        <w:t>focused on the</w:t>
      </w:r>
      <w:r w:rsidR="008F7A5E">
        <w:rPr>
          <w:lang w:bidi="en-US"/>
        </w:rPr>
        <w:t xml:space="preserve"> challenges faced by regional school districts</w:t>
      </w:r>
      <w:r w:rsidR="002D15D9">
        <w:rPr>
          <w:lang w:bidi="en-US"/>
        </w:rPr>
        <w:t>. While this report looked at regions and did not distinguish between rural and non-rural districts</w:t>
      </w:r>
      <w:r w:rsidR="008804E7">
        <w:rPr>
          <w:lang w:bidi="en-US"/>
        </w:rPr>
        <w:t xml:space="preserve">, </w:t>
      </w:r>
      <w:r w:rsidR="002D15D9">
        <w:rPr>
          <w:lang w:bidi="en-US"/>
        </w:rPr>
        <w:t>it</w:t>
      </w:r>
      <w:r w:rsidR="008F7A5E">
        <w:rPr>
          <w:lang w:bidi="en-US"/>
        </w:rPr>
        <w:t xml:space="preserve"> highlight</w:t>
      </w:r>
      <w:r w:rsidR="002D15D9">
        <w:rPr>
          <w:lang w:bidi="en-US"/>
        </w:rPr>
        <w:t>s some of the same issues addressed</w:t>
      </w:r>
      <w:r w:rsidR="008F7A5E">
        <w:rPr>
          <w:lang w:bidi="en-US"/>
        </w:rPr>
        <w:t xml:space="preserve"> in this report</w:t>
      </w:r>
      <w:r w:rsidR="002D15D9">
        <w:rPr>
          <w:lang w:bidi="en-US"/>
        </w:rPr>
        <w:t>, including</w:t>
      </w:r>
      <w:r w:rsidR="008F7A5E">
        <w:rPr>
          <w:lang w:bidi="en-US"/>
        </w:rPr>
        <w:t xml:space="preserve"> declining enrollment, fiscal constraints, governance</w:t>
      </w:r>
      <w:r w:rsidR="008804E7">
        <w:rPr>
          <w:lang w:bidi="en-US"/>
        </w:rPr>
        <w:t xml:space="preserve"> challenges</w:t>
      </w:r>
      <w:r w:rsidR="008F7A5E">
        <w:rPr>
          <w:lang w:bidi="en-US"/>
        </w:rPr>
        <w:t xml:space="preserve">, and </w:t>
      </w:r>
      <w:r w:rsidR="008804E7">
        <w:rPr>
          <w:lang w:bidi="en-US"/>
        </w:rPr>
        <w:t xml:space="preserve">high </w:t>
      </w:r>
      <w:r w:rsidR="008F7A5E">
        <w:rPr>
          <w:lang w:bidi="en-US"/>
        </w:rPr>
        <w:t>transportation</w:t>
      </w:r>
      <w:r w:rsidR="008804E7">
        <w:rPr>
          <w:lang w:bidi="en-US"/>
        </w:rPr>
        <w:t xml:space="preserve"> costs</w:t>
      </w:r>
      <w:r w:rsidR="008F7A5E">
        <w:rPr>
          <w:lang w:bidi="en-US"/>
        </w:rPr>
        <w:t>. The auditor’s report found that regional school districts are less able to meet the needs of their students and recommended a number of steps to address these issues, including directing more aid to regional school districts, increasing the state’s reimbursement of regional transportation, reviewing and updating regional agreements, and implementing the Foundation Budget Review Commission recommendations from 2015.</w:t>
      </w:r>
      <w:r w:rsidR="008F7A5E">
        <w:rPr>
          <w:rStyle w:val="FootnoteReference"/>
          <w:lang w:bidi="en-US"/>
        </w:rPr>
        <w:footnoteReference w:id="1"/>
      </w:r>
    </w:p>
    <w:p w14:paraId="3B69168A" w14:textId="77777777" w:rsidR="005B4B63" w:rsidRDefault="005B4B63" w:rsidP="005B4B63">
      <w:pPr>
        <w:pStyle w:val="Heading1"/>
        <w:rPr>
          <w:lang w:bidi="en-US"/>
        </w:rPr>
      </w:pPr>
      <w:bookmarkStart w:id="1" w:name="_Toc503258027"/>
      <w:r>
        <w:rPr>
          <w:lang w:bidi="en-US"/>
        </w:rPr>
        <w:t>Defining rural districts</w:t>
      </w:r>
      <w:bookmarkEnd w:id="1"/>
    </w:p>
    <w:p w14:paraId="499290C3" w14:textId="77777777" w:rsidR="00CC07C8" w:rsidRDefault="00BB607A" w:rsidP="00E73EEA">
      <w:pPr>
        <w:rPr>
          <w:lang w:bidi="en-US"/>
        </w:rPr>
      </w:pPr>
      <w:r>
        <w:rPr>
          <w:lang w:bidi="en-US"/>
        </w:rPr>
        <w:t xml:space="preserve">There is no </w:t>
      </w:r>
      <w:r w:rsidR="00662816">
        <w:rPr>
          <w:lang w:bidi="en-US"/>
        </w:rPr>
        <w:t xml:space="preserve">consensus </w:t>
      </w:r>
      <w:r>
        <w:rPr>
          <w:lang w:bidi="en-US"/>
        </w:rPr>
        <w:t xml:space="preserve">definition of </w:t>
      </w:r>
      <w:r w:rsidR="008804E7">
        <w:rPr>
          <w:lang w:bidi="en-US"/>
        </w:rPr>
        <w:t xml:space="preserve">a </w:t>
      </w:r>
      <w:r>
        <w:rPr>
          <w:lang w:bidi="en-US"/>
        </w:rPr>
        <w:t>rural school district. What may be rural in one state would appear to be less rural in another state. As one of the mo</w:t>
      </w:r>
      <w:r w:rsidR="00CC07C8">
        <w:rPr>
          <w:lang w:bidi="en-US"/>
        </w:rPr>
        <w:t>st</w:t>
      </w:r>
      <w:r>
        <w:rPr>
          <w:lang w:bidi="en-US"/>
        </w:rPr>
        <w:t xml:space="preserve"> densely populated states in the country, Massachusetts has few rural areas, though </w:t>
      </w:r>
      <w:r w:rsidR="00CC07C8">
        <w:rPr>
          <w:lang w:bidi="en-US"/>
        </w:rPr>
        <w:t xml:space="preserve">there are parts of the state with lower student </w:t>
      </w:r>
      <w:r w:rsidR="0053528A">
        <w:rPr>
          <w:lang w:bidi="en-US"/>
        </w:rPr>
        <w:t>densities that face challenges</w:t>
      </w:r>
      <w:r w:rsidR="00CC07C8">
        <w:rPr>
          <w:lang w:bidi="en-US"/>
        </w:rPr>
        <w:t xml:space="preserve"> in </w:t>
      </w:r>
      <w:r w:rsidR="0053528A">
        <w:rPr>
          <w:lang w:bidi="en-US"/>
        </w:rPr>
        <w:t>achieving economies of scale</w:t>
      </w:r>
      <w:r w:rsidR="00CC07C8">
        <w:rPr>
          <w:lang w:bidi="en-US"/>
        </w:rPr>
        <w:t xml:space="preserve">. The definition for rural school districts that we are using for this study focuses on these </w:t>
      </w:r>
      <w:r w:rsidR="00517558">
        <w:rPr>
          <w:lang w:bidi="en-US"/>
        </w:rPr>
        <w:t>areas</w:t>
      </w:r>
      <w:r w:rsidR="00CC07C8">
        <w:rPr>
          <w:lang w:bidi="en-US"/>
        </w:rPr>
        <w:t>.</w:t>
      </w:r>
    </w:p>
    <w:p w14:paraId="16C86082" w14:textId="77777777" w:rsidR="00CC07C8" w:rsidRDefault="00CC07C8" w:rsidP="00E73EEA">
      <w:pPr>
        <w:rPr>
          <w:lang w:bidi="en-US"/>
        </w:rPr>
      </w:pPr>
    </w:p>
    <w:p w14:paraId="202B22A3" w14:textId="77777777" w:rsidR="00741A9A" w:rsidRDefault="00CC07C8" w:rsidP="00D44AB9">
      <w:pPr>
        <w:rPr>
          <w:lang w:bidi="en-US"/>
        </w:rPr>
      </w:pPr>
      <w:r>
        <w:rPr>
          <w:lang w:bidi="en-US"/>
        </w:rPr>
        <w:t>For this report we define</w:t>
      </w:r>
      <w:r w:rsidR="00111153">
        <w:rPr>
          <w:lang w:bidi="en-US"/>
        </w:rPr>
        <w:t>d</w:t>
      </w:r>
      <w:r>
        <w:rPr>
          <w:lang w:bidi="en-US"/>
        </w:rPr>
        <w:t xml:space="preserve"> rural districts as municipal and academic regional school districts with </w:t>
      </w:r>
      <w:r w:rsidR="00D3101E">
        <w:rPr>
          <w:lang w:bidi="en-US"/>
        </w:rPr>
        <w:t xml:space="preserve">student densities of </w:t>
      </w:r>
      <w:r>
        <w:rPr>
          <w:lang w:bidi="en-US"/>
        </w:rPr>
        <w:t xml:space="preserve">less than </w:t>
      </w:r>
      <w:r w:rsidR="00D3101E">
        <w:rPr>
          <w:lang w:bidi="en-US"/>
        </w:rPr>
        <w:t xml:space="preserve">21 </w:t>
      </w:r>
      <w:r>
        <w:rPr>
          <w:lang w:bidi="en-US"/>
        </w:rPr>
        <w:t>students per square mile</w:t>
      </w:r>
      <w:r w:rsidR="00971AAF">
        <w:rPr>
          <w:lang w:bidi="en-US"/>
        </w:rPr>
        <w:t>,</w:t>
      </w:r>
      <w:r w:rsidR="00BF61F5">
        <w:rPr>
          <w:lang w:bidi="en-US"/>
        </w:rPr>
        <w:t xml:space="preserve"> </w:t>
      </w:r>
      <w:r w:rsidR="00874083">
        <w:rPr>
          <w:lang w:bidi="en-US"/>
        </w:rPr>
        <w:t>based on foundation enrollment</w:t>
      </w:r>
      <w:r w:rsidR="00D3101E">
        <w:rPr>
          <w:lang w:bidi="en-US"/>
        </w:rPr>
        <w:t>, which is less than one third of the state average</w:t>
      </w:r>
      <w:r>
        <w:rPr>
          <w:lang w:bidi="en-US"/>
        </w:rPr>
        <w:t>.</w:t>
      </w:r>
      <w:r w:rsidR="000B0142">
        <w:rPr>
          <w:rStyle w:val="FootnoteReference"/>
          <w:lang w:bidi="en-US"/>
        </w:rPr>
        <w:footnoteReference w:id="2"/>
      </w:r>
      <w:r w:rsidR="00D3101E" w:rsidDel="00D3101E">
        <w:rPr>
          <w:lang w:bidi="en-US"/>
        </w:rPr>
        <w:t xml:space="preserve"> </w:t>
      </w:r>
      <w:r>
        <w:rPr>
          <w:lang w:bidi="en-US"/>
        </w:rPr>
        <w:t>We exclude</w:t>
      </w:r>
      <w:r w:rsidR="00111153">
        <w:rPr>
          <w:lang w:bidi="en-US"/>
        </w:rPr>
        <w:t>d</w:t>
      </w:r>
      <w:r>
        <w:rPr>
          <w:lang w:bidi="en-US"/>
        </w:rPr>
        <w:t xml:space="preserve"> regional vocational </w:t>
      </w:r>
      <w:r w:rsidR="00D44AB9">
        <w:rPr>
          <w:lang w:bidi="en-US"/>
        </w:rPr>
        <w:t xml:space="preserve">and agricultural </w:t>
      </w:r>
      <w:r>
        <w:rPr>
          <w:lang w:bidi="en-US"/>
        </w:rPr>
        <w:t xml:space="preserve">districts from this definition because </w:t>
      </w:r>
      <w:r w:rsidR="00D44AB9">
        <w:rPr>
          <w:lang w:bidi="en-US"/>
        </w:rPr>
        <w:t xml:space="preserve">they serve smaller student populations from large </w:t>
      </w:r>
      <w:r w:rsidR="00517558">
        <w:rPr>
          <w:lang w:bidi="en-US"/>
        </w:rPr>
        <w:t xml:space="preserve">geographic </w:t>
      </w:r>
      <w:r w:rsidR="00D44AB9">
        <w:rPr>
          <w:lang w:bidi="en-US"/>
        </w:rPr>
        <w:t>areas, regardless of where they are located</w:t>
      </w:r>
      <w:r w:rsidR="00971AAF">
        <w:rPr>
          <w:lang w:bidi="en-US"/>
        </w:rPr>
        <w:t>.</w:t>
      </w:r>
      <w:r w:rsidR="00D44AB9">
        <w:rPr>
          <w:lang w:bidi="en-US"/>
        </w:rPr>
        <w:t xml:space="preserve"> We also use</w:t>
      </w:r>
      <w:r w:rsidR="00111153">
        <w:rPr>
          <w:lang w:bidi="en-US"/>
        </w:rPr>
        <w:t>d</w:t>
      </w:r>
      <w:r w:rsidR="00D44AB9">
        <w:rPr>
          <w:lang w:bidi="en-US"/>
        </w:rPr>
        <w:t xml:space="preserve"> locale codes from the National Center for Education Statistics </w:t>
      </w:r>
      <w:r w:rsidR="0053528A">
        <w:rPr>
          <w:lang w:bidi="en-US"/>
        </w:rPr>
        <w:t xml:space="preserve">(NCES) </w:t>
      </w:r>
      <w:r w:rsidR="00D44AB9">
        <w:rPr>
          <w:lang w:bidi="en-US"/>
        </w:rPr>
        <w:t>to exclude districts designated as suburban, meaning that they are closer to an urbanized area, even if they met the student density criteria.</w:t>
      </w:r>
      <w:r w:rsidR="00D44AB9">
        <w:rPr>
          <w:rStyle w:val="FootnoteReference"/>
          <w:lang w:bidi="en-US"/>
        </w:rPr>
        <w:footnoteReference w:id="3"/>
      </w:r>
      <w:r w:rsidR="00D44AB9">
        <w:rPr>
          <w:lang w:bidi="en-US"/>
        </w:rPr>
        <w:t xml:space="preserve"> </w:t>
      </w:r>
      <w:r w:rsidR="00741A9A" w:rsidRPr="00741A9A">
        <w:rPr>
          <w:lang w:bidi="en-US"/>
        </w:rPr>
        <w:t>We did not consider ability to pay when defining rural districts, opting instead to look at enrollment, staffing</w:t>
      </w:r>
      <w:r w:rsidR="00B967B8">
        <w:rPr>
          <w:lang w:bidi="en-US"/>
        </w:rPr>
        <w:t xml:space="preserve">, and spending patterns </w:t>
      </w:r>
      <w:r w:rsidR="00741A9A" w:rsidRPr="00741A9A">
        <w:rPr>
          <w:lang w:bidi="en-US"/>
        </w:rPr>
        <w:t>independent of wealth.</w:t>
      </w:r>
    </w:p>
    <w:p w14:paraId="31DC7EAA" w14:textId="77777777" w:rsidR="00D44AB9" w:rsidRPr="00741A9A" w:rsidRDefault="00D44AB9" w:rsidP="00D44AB9">
      <w:pPr>
        <w:rPr>
          <w:lang w:bidi="en-US"/>
        </w:rPr>
      </w:pPr>
    </w:p>
    <w:p w14:paraId="72F4031E" w14:textId="77777777" w:rsidR="00741A9A" w:rsidRDefault="00D44AB9" w:rsidP="00D44AB9">
      <w:pPr>
        <w:rPr>
          <w:lang w:bidi="en-US"/>
        </w:rPr>
      </w:pPr>
      <w:r>
        <w:rPr>
          <w:lang w:bidi="en-US"/>
        </w:rPr>
        <w:t xml:space="preserve">Using these criteria, there are 54 </w:t>
      </w:r>
      <w:r w:rsidR="00741A9A" w:rsidRPr="00741A9A">
        <w:rPr>
          <w:lang w:bidi="en-US"/>
        </w:rPr>
        <w:t xml:space="preserve">districts </w:t>
      </w:r>
      <w:r w:rsidR="00E25025">
        <w:rPr>
          <w:lang w:bidi="en-US"/>
        </w:rPr>
        <w:t>across</w:t>
      </w:r>
      <w:r w:rsidR="00B967B8">
        <w:rPr>
          <w:lang w:bidi="en-US"/>
        </w:rPr>
        <w:t xml:space="preserve"> the Commonwealth</w:t>
      </w:r>
      <w:r w:rsidR="00E25025">
        <w:rPr>
          <w:lang w:bidi="en-US"/>
        </w:rPr>
        <w:t xml:space="preserve"> i</w:t>
      </w:r>
      <w:r w:rsidR="004E0EF2">
        <w:rPr>
          <w:lang w:bidi="en-US"/>
        </w:rPr>
        <w:t>n both the eastern and western parts</w:t>
      </w:r>
      <w:r w:rsidR="00E25025">
        <w:rPr>
          <w:lang w:bidi="en-US"/>
        </w:rPr>
        <w:t xml:space="preserve"> of the </w:t>
      </w:r>
      <w:r w:rsidR="004E0EF2">
        <w:rPr>
          <w:lang w:bidi="en-US"/>
        </w:rPr>
        <w:t>state that</w:t>
      </w:r>
      <w:r w:rsidR="00B967B8">
        <w:rPr>
          <w:lang w:bidi="en-US"/>
        </w:rPr>
        <w:t xml:space="preserve"> me</w:t>
      </w:r>
      <w:r w:rsidR="00A048AF">
        <w:rPr>
          <w:lang w:bidi="en-US"/>
        </w:rPr>
        <w:t>e</w:t>
      </w:r>
      <w:r w:rsidR="00B967B8">
        <w:rPr>
          <w:lang w:bidi="en-US"/>
        </w:rPr>
        <w:t xml:space="preserve">t the definition of a rural school district. </w:t>
      </w:r>
      <w:r w:rsidR="00A048AF">
        <w:rPr>
          <w:lang w:bidi="en-US"/>
        </w:rPr>
        <w:t xml:space="preserve">Forty </w:t>
      </w:r>
      <w:r w:rsidR="00E444DA">
        <w:rPr>
          <w:lang w:bidi="en-US"/>
        </w:rPr>
        <w:t>of the 54 are single-</w:t>
      </w:r>
      <w:r w:rsidR="00741A9A" w:rsidRPr="00741A9A">
        <w:rPr>
          <w:lang w:bidi="en-US"/>
        </w:rPr>
        <w:t>school districts</w:t>
      </w:r>
      <w:r w:rsidR="00C74DDA">
        <w:rPr>
          <w:lang w:bidi="en-US"/>
        </w:rPr>
        <w:t>, including</w:t>
      </w:r>
      <w:r w:rsidR="00741A9A" w:rsidRPr="00741A9A">
        <w:rPr>
          <w:lang w:bidi="en-US"/>
        </w:rPr>
        <w:t xml:space="preserve"> </w:t>
      </w:r>
      <w:r w:rsidR="00971AAF">
        <w:rPr>
          <w:lang w:bidi="en-US"/>
        </w:rPr>
        <w:t>3</w:t>
      </w:r>
      <w:r w:rsidR="00437D88">
        <w:rPr>
          <w:lang w:bidi="en-US"/>
        </w:rPr>
        <w:t xml:space="preserve">1 </w:t>
      </w:r>
      <w:r w:rsidR="00971AAF">
        <w:rPr>
          <w:lang w:bidi="en-US"/>
        </w:rPr>
        <w:t xml:space="preserve">municipal </w:t>
      </w:r>
      <w:r w:rsidR="00741A9A" w:rsidRPr="00741A9A">
        <w:rPr>
          <w:lang w:bidi="en-US"/>
        </w:rPr>
        <w:t>elementary distric</w:t>
      </w:r>
      <w:r w:rsidR="00C74DDA">
        <w:rPr>
          <w:lang w:bidi="en-US"/>
        </w:rPr>
        <w:t xml:space="preserve">ts, </w:t>
      </w:r>
      <w:r w:rsidR="00971AAF">
        <w:rPr>
          <w:lang w:bidi="en-US"/>
        </w:rPr>
        <w:t>4 regional elementary districts</w:t>
      </w:r>
      <w:r w:rsidR="00C74DDA">
        <w:rPr>
          <w:lang w:bidi="en-US"/>
        </w:rPr>
        <w:t xml:space="preserve">, and 5 regional middle-high school districts. There are 14 districts with two or more schools, including one municipal </w:t>
      </w:r>
      <w:r w:rsidR="000E5031">
        <w:rPr>
          <w:lang w:bidi="en-US"/>
        </w:rPr>
        <w:t>K</w:t>
      </w:r>
      <w:r w:rsidR="00B1372C">
        <w:rPr>
          <w:lang w:bidi="en-US"/>
        </w:rPr>
        <w:t>–</w:t>
      </w:r>
      <w:r w:rsidR="000E5031">
        <w:rPr>
          <w:lang w:bidi="en-US"/>
        </w:rPr>
        <w:t xml:space="preserve">12 </w:t>
      </w:r>
      <w:r w:rsidR="00C74DDA">
        <w:rPr>
          <w:lang w:bidi="en-US"/>
        </w:rPr>
        <w:t>district</w:t>
      </w:r>
      <w:r w:rsidR="000E5031">
        <w:rPr>
          <w:lang w:bidi="en-US"/>
        </w:rPr>
        <w:t>, 8 regional K</w:t>
      </w:r>
      <w:r w:rsidR="00B1372C">
        <w:rPr>
          <w:lang w:bidi="en-US"/>
        </w:rPr>
        <w:t>–</w:t>
      </w:r>
      <w:r w:rsidR="000E5031">
        <w:rPr>
          <w:lang w:bidi="en-US"/>
        </w:rPr>
        <w:t xml:space="preserve">12 districts, </w:t>
      </w:r>
      <w:r w:rsidR="00C74DDA">
        <w:rPr>
          <w:lang w:bidi="en-US"/>
        </w:rPr>
        <w:t xml:space="preserve">and </w:t>
      </w:r>
      <w:r w:rsidR="000E5031">
        <w:rPr>
          <w:lang w:bidi="en-US"/>
        </w:rPr>
        <w:t>4</w:t>
      </w:r>
      <w:r w:rsidR="00C74DDA">
        <w:rPr>
          <w:lang w:bidi="en-US"/>
        </w:rPr>
        <w:t xml:space="preserve"> regional </w:t>
      </w:r>
      <w:r w:rsidR="000E5031">
        <w:rPr>
          <w:lang w:bidi="en-US"/>
        </w:rPr>
        <w:t xml:space="preserve">middle-high school </w:t>
      </w:r>
      <w:r w:rsidR="00C74DDA">
        <w:rPr>
          <w:lang w:bidi="en-US"/>
        </w:rPr>
        <w:t xml:space="preserve">districts. </w:t>
      </w:r>
      <w:r w:rsidR="005B6D52">
        <w:rPr>
          <w:lang w:bidi="en-US"/>
        </w:rPr>
        <w:t>Each of these districts</w:t>
      </w:r>
      <w:r w:rsidR="00111153">
        <w:rPr>
          <w:lang w:bidi="en-US"/>
        </w:rPr>
        <w:t xml:space="preserve"> are </w:t>
      </w:r>
      <w:r w:rsidR="005B6D52">
        <w:rPr>
          <w:lang w:bidi="en-US"/>
        </w:rPr>
        <w:t>independent</w:t>
      </w:r>
      <w:r w:rsidR="00111153">
        <w:rPr>
          <w:lang w:bidi="en-US"/>
        </w:rPr>
        <w:t xml:space="preserve"> and have their</w:t>
      </w:r>
      <w:r w:rsidR="005B6D52">
        <w:rPr>
          <w:lang w:bidi="en-US"/>
        </w:rPr>
        <w:t xml:space="preserve"> own elected school committee</w:t>
      </w:r>
      <w:r w:rsidR="00111153">
        <w:rPr>
          <w:lang w:bidi="en-US"/>
        </w:rPr>
        <w:t>s</w:t>
      </w:r>
      <w:r w:rsidR="005B6D52">
        <w:rPr>
          <w:lang w:bidi="en-US"/>
        </w:rPr>
        <w:t>, though 42 of the 54 district</w:t>
      </w:r>
      <w:r w:rsidR="008804E7">
        <w:rPr>
          <w:lang w:bidi="en-US"/>
        </w:rPr>
        <w:t>s</w:t>
      </w:r>
      <w:r w:rsidR="00111153">
        <w:rPr>
          <w:lang w:bidi="en-US"/>
        </w:rPr>
        <w:t xml:space="preserve"> belong to one of 13 s</w:t>
      </w:r>
      <w:r w:rsidR="00D15AC6">
        <w:rPr>
          <w:lang w:bidi="en-US"/>
        </w:rPr>
        <w:t>upervisory</w:t>
      </w:r>
      <w:r w:rsidR="00111153">
        <w:rPr>
          <w:lang w:bidi="en-US"/>
        </w:rPr>
        <w:t xml:space="preserve"> unions that</w:t>
      </w:r>
      <w:r w:rsidR="005B6D52">
        <w:rPr>
          <w:lang w:bidi="en-US"/>
        </w:rPr>
        <w:t xml:space="preserve"> share a superintendent and </w:t>
      </w:r>
      <w:r w:rsidR="00111153">
        <w:rPr>
          <w:lang w:bidi="en-US"/>
        </w:rPr>
        <w:t>central office</w:t>
      </w:r>
      <w:r w:rsidR="005B6D52">
        <w:rPr>
          <w:lang w:bidi="en-US"/>
        </w:rPr>
        <w:t xml:space="preserve"> administrati</w:t>
      </w:r>
      <w:r w:rsidR="00111153">
        <w:rPr>
          <w:lang w:bidi="en-US"/>
        </w:rPr>
        <w:t>on</w:t>
      </w:r>
      <w:r w:rsidR="005B6D52">
        <w:rPr>
          <w:lang w:bidi="en-US"/>
        </w:rPr>
        <w:t xml:space="preserve">. </w:t>
      </w:r>
      <w:r w:rsidR="000E5031">
        <w:rPr>
          <w:lang w:bidi="en-US"/>
        </w:rPr>
        <w:t xml:space="preserve">For more information on these districts see </w:t>
      </w:r>
      <w:r w:rsidR="00D15AC6">
        <w:rPr>
          <w:lang w:bidi="en-US"/>
        </w:rPr>
        <w:t>A</w:t>
      </w:r>
      <w:r w:rsidR="00111153">
        <w:rPr>
          <w:lang w:bidi="en-US"/>
        </w:rPr>
        <w:t>ppendix A</w:t>
      </w:r>
      <w:r w:rsidR="00150381">
        <w:rPr>
          <w:lang w:bidi="en-US"/>
        </w:rPr>
        <w:t>.</w:t>
      </w:r>
      <w:r w:rsidR="00C74DDA">
        <w:rPr>
          <w:lang w:bidi="en-US"/>
        </w:rPr>
        <w:t xml:space="preserve"> </w:t>
      </w:r>
    </w:p>
    <w:p w14:paraId="16287B0E" w14:textId="77777777" w:rsidR="005B4B63" w:rsidRDefault="00CC07C8" w:rsidP="00CC07C8">
      <w:pPr>
        <w:pStyle w:val="Heading1"/>
        <w:rPr>
          <w:lang w:bidi="en-US"/>
        </w:rPr>
      </w:pPr>
      <w:bookmarkStart w:id="2" w:name="_Toc503258028"/>
      <w:r>
        <w:rPr>
          <w:lang w:bidi="en-US"/>
        </w:rPr>
        <w:lastRenderedPageBreak/>
        <w:t>Enrollment and staffing trends</w:t>
      </w:r>
      <w:bookmarkEnd w:id="2"/>
    </w:p>
    <w:p w14:paraId="2A0583F5" w14:textId="77777777" w:rsidR="00BF3179" w:rsidRDefault="00BF3179" w:rsidP="00CC07C8">
      <w:pPr>
        <w:rPr>
          <w:lang w:bidi="en-US"/>
        </w:rPr>
      </w:pPr>
      <w:r>
        <w:rPr>
          <w:lang w:bidi="en-US"/>
        </w:rPr>
        <w:t xml:space="preserve">Since 2008, </w:t>
      </w:r>
      <w:r w:rsidR="00111153">
        <w:rPr>
          <w:lang w:bidi="en-US"/>
        </w:rPr>
        <w:t>enrollment</w:t>
      </w:r>
      <w:r w:rsidR="005B469E">
        <w:rPr>
          <w:lang w:bidi="en-US"/>
        </w:rPr>
        <w:t xml:space="preserve"> declined at a faster rate in rural districts</w:t>
      </w:r>
      <w:r w:rsidR="00662816">
        <w:rPr>
          <w:lang w:bidi="en-US"/>
        </w:rPr>
        <w:t xml:space="preserve"> than it did across the rest of the state</w:t>
      </w:r>
      <w:r>
        <w:rPr>
          <w:lang w:bidi="en-US"/>
        </w:rPr>
        <w:t>,</w:t>
      </w:r>
      <w:r w:rsidR="00111153">
        <w:rPr>
          <w:lang w:bidi="en-US"/>
        </w:rPr>
        <w:t xml:space="preserve"> while</w:t>
      </w:r>
      <w:r w:rsidR="00EB34ED">
        <w:rPr>
          <w:lang w:bidi="en-US"/>
        </w:rPr>
        <w:t xml:space="preserve"> staffi</w:t>
      </w:r>
      <w:r w:rsidR="00220F82">
        <w:rPr>
          <w:lang w:bidi="en-US"/>
        </w:rPr>
        <w:t>ng levels</w:t>
      </w:r>
      <w:r w:rsidR="00111153">
        <w:rPr>
          <w:lang w:bidi="en-US"/>
        </w:rPr>
        <w:t xml:space="preserve"> </w:t>
      </w:r>
      <w:r w:rsidR="00220F82">
        <w:rPr>
          <w:lang w:bidi="en-US"/>
        </w:rPr>
        <w:t>remained consistently higher, as measured by the number of staff per 100 students</w:t>
      </w:r>
      <w:r w:rsidR="00EB34ED">
        <w:rPr>
          <w:lang w:bidi="en-US"/>
        </w:rPr>
        <w:t>.</w:t>
      </w:r>
    </w:p>
    <w:p w14:paraId="30A40680" w14:textId="77777777" w:rsidR="00BF3179" w:rsidRDefault="00BF3179" w:rsidP="00CC07C8">
      <w:pPr>
        <w:rPr>
          <w:lang w:bidi="en-US"/>
        </w:rPr>
      </w:pPr>
    </w:p>
    <w:p w14:paraId="1F9A34B1" w14:textId="77777777" w:rsidR="00741A9A" w:rsidRDefault="004E0EF2" w:rsidP="00CC07C8">
      <w:pPr>
        <w:rPr>
          <w:lang w:bidi="en-US"/>
        </w:rPr>
      </w:pPr>
      <w:r>
        <w:rPr>
          <w:lang w:bidi="en-US"/>
        </w:rPr>
        <w:t>During the 2016–2017 school year there were 26,219 students enrolled in the 54 rural school districts, representing 2.9 percent</w:t>
      </w:r>
      <w:r w:rsidR="005B469E">
        <w:rPr>
          <w:lang w:bidi="en-US"/>
        </w:rPr>
        <w:t xml:space="preserve"> of total statewide enrollment. </w:t>
      </w:r>
      <w:r w:rsidR="00E25025">
        <w:rPr>
          <w:lang w:bidi="en-US"/>
        </w:rPr>
        <w:t>Between 2008 and 2017,</w:t>
      </w:r>
      <w:r w:rsidR="00741A9A" w:rsidRPr="00741A9A">
        <w:rPr>
          <w:lang w:bidi="en-US"/>
        </w:rPr>
        <w:t xml:space="preserve"> enrollment in rural districts declined by </w:t>
      </w:r>
      <w:r w:rsidR="005B469E">
        <w:rPr>
          <w:lang w:bidi="en-US"/>
        </w:rPr>
        <w:t>4,289 students</w:t>
      </w:r>
      <w:r w:rsidR="00517558">
        <w:rPr>
          <w:lang w:bidi="en-US"/>
        </w:rPr>
        <w:t>,</w:t>
      </w:r>
      <w:r w:rsidR="005B469E">
        <w:rPr>
          <w:lang w:bidi="en-US"/>
        </w:rPr>
        <w:t xml:space="preserve"> or </w:t>
      </w:r>
      <w:r w:rsidR="00741A9A" w:rsidRPr="00741A9A">
        <w:rPr>
          <w:lang w:bidi="en-US"/>
        </w:rPr>
        <w:t>14</w:t>
      </w:r>
      <w:r w:rsidR="00B967B8">
        <w:rPr>
          <w:lang w:bidi="en-US"/>
        </w:rPr>
        <w:t xml:space="preserve"> percent</w:t>
      </w:r>
      <w:r w:rsidR="00517558">
        <w:rPr>
          <w:lang w:bidi="en-US"/>
        </w:rPr>
        <w:t>,</w:t>
      </w:r>
      <w:r w:rsidR="00741A9A" w:rsidRPr="00741A9A">
        <w:rPr>
          <w:lang w:bidi="en-US"/>
        </w:rPr>
        <w:t xml:space="preserve"> compared to</w:t>
      </w:r>
      <w:r w:rsidR="003C3673">
        <w:rPr>
          <w:lang w:bidi="en-US"/>
        </w:rPr>
        <w:t xml:space="preserve"> a decline of</w:t>
      </w:r>
      <w:r w:rsidR="00741A9A" w:rsidRPr="00741A9A">
        <w:rPr>
          <w:lang w:bidi="en-US"/>
        </w:rPr>
        <w:t xml:space="preserve"> </w:t>
      </w:r>
      <w:r w:rsidR="005B469E">
        <w:rPr>
          <w:lang w:bidi="en-US"/>
        </w:rPr>
        <w:t>24,125 students</w:t>
      </w:r>
      <w:r w:rsidR="00517558">
        <w:rPr>
          <w:lang w:bidi="en-US"/>
        </w:rPr>
        <w:t>,</w:t>
      </w:r>
      <w:r w:rsidR="005B469E">
        <w:rPr>
          <w:lang w:bidi="en-US"/>
        </w:rPr>
        <w:t xml:space="preserve"> or </w:t>
      </w:r>
      <w:r w:rsidR="00741A9A" w:rsidRPr="00741A9A">
        <w:rPr>
          <w:lang w:bidi="en-US"/>
        </w:rPr>
        <w:t>2.7</w:t>
      </w:r>
      <w:r w:rsidR="00B967B8">
        <w:rPr>
          <w:lang w:bidi="en-US"/>
        </w:rPr>
        <w:t xml:space="preserve"> percent</w:t>
      </w:r>
      <w:r w:rsidR="00517558">
        <w:rPr>
          <w:lang w:bidi="en-US"/>
        </w:rPr>
        <w:t>,</w:t>
      </w:r>
      <w:r w:rsidR="00741A9A" w:rsidRPr="00741A9A">
        <w:rPr>
          <w:lang w:bidi="en-US"/>
        </w:rPr>
        <w:t xml:space="preserve"> in districts</w:t>
      </w:r>
      <w:r w:rsidR="003C3673">
        <w:rPr>
          <w:lang w:bidi="en-US"/>
        </w:rPr>
        <w:t xml:space="preserve"> across the rest of the state</w:t>
      </w:r>
      <w:r w:rsidR="00CC07C8">
        <w:rPr>
          <w:lang w:bidi="en-US"/>
        </w:rPr>
        <w:t xml:space="preserve">. </w:t>
      </w:r>
      <w:r w:rsidR="00741A9A" w:rsidRPr="00741A9A">
        <w:rPr>
          <w:lang w:bidi="en-US"/>
        </w:rPr>
        <w:t xml:space="preserve">Some rural districts lost </w:t>
      </w:r>
      <w:r w:rsidR="00E25025">
        <w:rPr>
          <w:lang w:bidi="en-US"/>
        </w:rPr>
        <w:t>more than 25</w:t>
      </w:r>
      <w:r w:rsidR="00B967B8">
        <w:rPr>
          <w:lang w:bidi="en-US"/>
        </w:rPr>
        <w:t xml:space="preserve"> percent</w:t>
      </w:r>
      <w:r w:rsidR="00741A9A" w:rsidRPr="00741A9A">
        <w:rPr>
          <w:lang w:bidi="en-US"/>
        </w:rPr>
        <w:t xml:space="preserve"> of their enr</w:t>
      </w:r>
      <w:r w:rsidR="00B967B8">
        <w:rPr>
          <w:lang w:bidi="en-US"/>
        </w:rPr>
        <w:t>ollment over this period, including</w:t>
      </w:r>
      <w:r w:rsidR="00E25025">
        <w:rPr>
          <w:lang w:bidi="en-US"/>
        </w:rPr>
        <w:t xml:space="preserve"> Erving, Lanesborough, Provincetown, Shutesbury, Gateway</w:t>
      </w:r>
      <w:r w:rsidR="00E25025">
        <w:rPr>
          <w:rStyle w:val="FootnoteReference"/>
          <w:lang w:bidi="en-US"/>
        </w:rPr>
        <w:footnoteReference w:id="4"/>
      </w:r>
      <w:r w:rsidR="00E25025">
        <w:rPr>
          <w:lang w:bidi="en-US"/>
        </w:rPr>
        <w:t>, and Quabbin.</w:t>
      </w:r>
    </w:p>
    <w:p w14:paraId="79E43C1F" w14:textId="77777777" w:rsidR="00B967B8" w:rsidRDefault="00B967B8" w:rsidP="00CC07C8">
      <w:pPr>
        <w:rPr>
          <w:lang w:bidi="en-US"/>
        </w:rPr>
      </w:pPr>
    </w:p>
    <w:p w14:paraId="43E35897" w14:textId="77777777" w:rsidR="00220F82" w:rsidRDefault="00220F82" w:rsidP="005B469E">
      <w:pPr>
        <w:rPr>
          <w:lang w:bidi="en-US"/>
        </w:rPr>
      </w:pPr>
      <w:r>
        <w:rPr>
          <w:lang w:bidi="en-US"/>
        </w:rPr>
        <w:t>Overall</w:t>
      </w:r>
      <w:r w:rsidR="003E5D14">
        <w:rPr>
          <w:lang w:bidi="en-US"/>
        </w:rPr>
        <w:t>,</w:t>
      </w:r>
      <w:r>
        <w:rPr>
          <w:lang w:bidi="en-US"/>
        </w:rPr>
        <w:t xml:space="preserve"> </w:t>
      </w:r>
      <w:r w:rsidR="004E17F2">
        <w:rPr>
          <w:lang w:bidi="en-US"/>
        </w:rPr>
        <w:t xml:space="preserve">teaching </w:t>
      </w:r>
      <w:r>
        <w:rPr>
          <w:lang w:bidi="en-US"/>
        </w:rPr>
        <w:t xml:space="preserve">staff also declined </w:t>
      </w:r>
      <w:r w:rsidR="003C3673">
        <w:rPr>
          <w:lang w:bidi="en-US"/>
        </w:rPr>
        <w:t xml:space="preserve">at a </w:t>
      </w:r>
      <w:r>
        <w:rPr>
          <w:lang w:bidi="en-US"/>
        </w:rPr>
        <w:t xml:space="preserve">faster </w:t>
      </w:r>
      <w:r w:rsidR="003C3673">
        <w:rPr>
          <w:lang w:bidi="en-US"/>
        </w:rPr>
        <w:t xml:space="preserve">rate </w:t>
      </w:r>
      <w:r>
        <w:rPr>
          <w:lang w:bidi="en-US"/>
        </w:rPr>
        <w:t xml:space="preserve">in rural districts </w:t>
      </w:r>
      <w:r w:rsidR="004E17F2">
        <w:rPr>
          <w:lang w:bidi="en-US"/>
        </w:rPr>
        <w:t>than in</w:t>
      </w:r>
      <w:r w:rsidR="002040C8">
        <w:rPr>
          <w:lang w:bidi="en-US"/>
        </w:rPr>
        <w:t xml:space="preserve"> all other</w:t>
      </w:r>
      <w:r>
        <w:rPr>
          <w:lang w:bidi="en-US"/>
        </w:rPr>
        <w:t xml:space="preserve"> districts. Between 2008 and 2017 the </w:t>
      </w:r>
      <w:r w:rsidR="00C312F8">
        <w:rPr>
          <w:lang w:bidi="en-US"/>
        </w:rPr>
        <w:t xml:space="preserve">total number of teachers employed in rural districts declined from 2,501 to 2,215, a </w:t>
      </w:r>
      <w:r w:rsidR="00944004">
        <w:rPr>
          <w:lang w:bidi="en-US"/>
        </w:rPr>
        <w:t>reduction</w:t>
      </w:r>
      <w:r w:rsidR="00C312F8">
        <w:rPr>
          <w:lang w:bidi="en-US"/>
        </w:rPr>
        <w:t xml:space="preserve"> of 286 teachers or 11.4 percent. </w:t>
      </w:r>
      <w:r w:rsidR="00944004">
        <w:rPr>
          <w:lang w:bidi="en-US"/>
        </w:rPr>
        <w:t>While the n</w:t>
      </w:r>
      <w:r w:rsidR="00C312F8">
        <w:rPr>
          <w:lang w:bidi="en-US"/>
        </w:rPr>
        <w:t>umber of teachers employed</w:t>
      </w:r>
      <w:r w:rsidR="008804E7">
        <w:rPr>
          <w:lang w:bidi="en-US"/>
        </w:rPr>
        <w:t xml:space="preserve"> across</w:t>
      </w:r>
      <w:r w:rsidR="00517558">
        <w:rPr>
          <w:lang w:bidi="en-US"/>
        </w:rPr>
        <w:t xml:space="preserve"> the</w:t>
      </w:r>
      <w:r w:rsidR="00B55150">
        <w:rPr>
          <w:lang w:bidi="en-US"/>
        </w:rPr>
        <w:t xml:space="preserve"> rest of the state</w:t>
      </w:r>
      <w:r w:rsidR="00C312F8">
        <w:rPr>
          <w:lang w:bidi="en-US"/>
        </w:rPr>
        <w:t xml:space="preserve"> </w:t>
      </w:r>
      <w:r w:rsidR="00C812BD">
        <w:rPr>
          <w:lang w:bidi="en-US"/>
        </w:rPr>
        <w:t>fell</w:t>
      </w:r>
      <w:r w:rsidR="00944004">
        <w:rPr>
          <w:lang w:bidi="en-US"/>
        </w:rPr>
        <w:t xml:space="preserve"> </w:t>
      </w:r>
      <w:r w:rsidR="004E17F2">
        <w:rPr>
          <w:lang w:bidi="en-US"/>
        </w:rPr>
        <w:t>during</w:t>
      </w:r>
      <w:r w:rsidR="00944004">
        <w:rPr>
          <w:lang w:bidi="en-US"/>
        </w:rPr>
        <w:t xml:space="preserve"> the </w:t>
      </w:r>
      <w:r w:rsidR="004E17F2">
        <w:rPr>
          <w:lang w:bidi="en-US"/>
        </w:rPr>
        <w:t>Great Recession</w:t>
      </w:r>
      <w:r w:rsidR="00944004">
        <w:rPr>
          <w:lang w:bidi="en-US"/>
        </w:rPr>
        <w:t>, dipping from 66,258 in 2008 to 64,087 in 2011, these districts return</w:t>
      </w:r>
      <w:r w:rsidR="00C812BD">
        <w:rPr>
          <w:lang w:bidi="en-US"/>
        </w:rPr>
        <w:t xml:space="preserve">ed </w:t>
      </w:r>
      <w:r w:rsidR="00944004">
        <w:rPr>
          <w:lang w:bidi="en-US"/>
        </w:rPr>
        <w:t>to pre-recession staffing levels by 2017, when they employed 66,261 teachers.</w:t>
      </w:r>
      <w:r>
        <w:rPr>
          <w:lang w:bidi="en-US"/>
        </w:rPr>
        <w:t xml:space="preserve"> </w:t>
      </w:r>
    </w:p>
    <w:p w14:paraId="03CA5EEB" w14:textId="77777777" w:rsidR="00220F82" w:rsidRDefault="00220F82" w:rsidP="005B469E">
      <w:pPr>
        <w:rPr>
          <w:lang w:bidi="en-US"/>
        </w:rPr>
      </w:pPr>
    </w:p>
    <w:p w14:paraId="05A80A7B" w14:textId="77777777" w:rsidR="00741A9A" w:rsidRPr="00741A9A" w:rsidRDefault="00944004" w:rsidP="005B469E">
      <w:pPr>
        <w:rPr>
          <w:lang w:bidi="en-US"/>
        </w:rPr>
      </w:pPr>
      <w:r>
        <w:rPr>
          <w:lang w:bidi="en-US"/>
        </w:rPr>
        <w:t xml:space="preserve">Despite declines in the overall numbers of </w:t>
      </w:r>
      <w:r w:rsidR="00C812BD">
        <w:rPr>
          <w:lang w:bidi="en-US"/>
        </w:rPr>
        <w:t>teachers</w:t>
      </w:r>
      <w:r w:rsidR="00C312F8">
        <w:rPr>
          <w:lang w:bidi="en-US"/>
        </w:rPr>
        <w:t xml:space="preserve">, staffing </w:t>
      </w:r>
      <w:r w:rsidR="003E5D14">
        <w:rPr>
          <w:lang w:bidi="en-US"/>
        </w:rPr>
        <w:t xml:space="preserve">measured </w:t>
      </w:r>
      <w:r w:rsidR="00E444DA">
        <w:rPr>
          <w:lang w:bidi="en-US"/>
        </w:rPr>
        <w:t>by</w:t>
      </w:r>
      <w:r w:rsidR="003E5D14">
        <w:rPr>
          <w:lang w:bidi="en-US"/>
        </w:rPr>
        <w:t xml:space="preserve"> the number of teachers employed per 100 students remained relatively stable in</w:t>
      </w:r>
      <w:r>
        <w:rPr>
          <w:lang w:bidi="en-US"/>
        </w:rPr>
        <w:t xml:space="preserve"> rural and</w:t>
      </w:r>
      <w:r w:rsidR="003E5D14">
        <w:rPr>
          <w:lang w:bidi="en-US"/>
        </w:rPr>
        <w:t xml:space="preserve"> non-rural districts</w:t>
      </w:r>
      <w:r w:rsidR="00C312F8">
        <w:rPr>
          <w:lang w:bidi="en-US"/>
        </w:rPr>
        <w:t xml:space="preserve">. </w:t>
      </w:r>
      <w:r>
        <w:rPr>
          <w:lang w:bidi="en-US"/>
        </w:rPr>
        <w:t xml:space="preserve">Between 2008 and 2017 </w:t>
      </w:r>
      <w:r w:rsidR="00205068">
        <w:rPr>
          <w:lang w:bidi="en-US"/>
        </w:rPr>
        <w:t xml:space="preserve">staffing levels in rural districts ranged </w:t>
      </w:r>
      <w:r w:rsidR="00EB34ED">
        <w:rPr>
          <w:lang w:bidi="en-US"/>
        </w:rPr>
        <w:t xml:space="preserve">between 8.1 and 8.5 teachers per 100 students compared to 7.0 and 7.5 teachers per 100 students </w:t>
      </w:r>
      <w:r w:rsidR="00B55150">
        <w:rPr>
          <w:lang w:bidi="en-US"/>
        </w:rPr>
        <w:t xml:space="preserve">in </w:t>
      </w:r>
      <w:r w:rsidR="00C812BD">
        <w:rPr>
          <w:lang w:bidi="en-US"/>
        </w:rPr>
        <w:t>all other</w:t>
      </w:r>
      <w:r w:rsidR="00EB34ED">
        <w:rPr>
          <w:lang w:bidi="en-US"/>
        </w:rPr>
        <w:t xml:space="preserve"> district</w:t>
      </w:r>
      <w:r w:rsidR="00F324AE">
        <w:rPr>
          <w:lang w:bidi="en-US"/>
        </w:rPr>
        <w:t xml:space="preserve">s, a difference of </w:t>
      </w:r>
      <w:r w:rsidR="00741A9A" w:rsidRPr="00741A9A">
        <w:rPr>
          <w:lang w:bidi="en-US"/>
        </w:rPr>
        <w:t xml:space="preserve">1.0 </w:t>
      </w:r>
      <w:r w:rsidR="00EB34ED">
        <w:rPr>
          <w:lang w:bidi="en-US"/>
        </w:rPr>
        <w:t>full-time equivalent (FTE) teachers</w:t>
      </w:r>
      <w:r w:rsidR="00741A9A" w:rsidRPr="00741A9A">
        <w:rPr>
          <w:lang w:bidi="en-US"/>
        </w:rPr>
        <w:t xml:space="preserve"> </w:t>
      </w:r>
      <w:r w:rsidR="00F324AE">
        <w:rPr>
          <w:lang w:bidi="en-US"/>
        </w:rPr>
        <w:t>in any given year</w:t>
      </w:r>
      <w:r w:rsidR="008804E7">
        <w:rPr>
          <w:lang w:bidi="en-US"/>
        </w:rPr>
        <w:t xml:space="preserve">, see </w:t>
      </w:r>
      <w:r w:rsidR="00B1372C">
        <w:rPr>
          <w:lang w:bidi="en-US"/>
        </w:rPr>
        <w:t>F</w:t>
      </w:r>
      <w:r w:rsidR="008804E7">
        <w:rPr>
          <w:lang w:bidi="en-US"/>
        </w:rPr>
        <w:t>igure 1</w:t>
      </w:r>
      <w:r w:rsidR="00EB34ED">
        <w:rPr>
          <w:lang w:bidi="en-US"/>
        </w:rPr>
        <w:t>.</w:t>
      </w:r>
      <w:r w:rsidR="00741A9A" w:rsidRPr="00741A9A">
        <w:rPr>
          <w:lang w:bidi="en-US"/>
        </w:rPr>
        <w:t xml:space="preserve"> </w:t>
      </w:r>
      <w:r w:rsidR="001B1067">
        <w:rPr>
          <w:lang w:bidi="en-US"/>
        </w:rPr>
        <w:t>This equates</w:t>
      </w:r>
      <w:r w:rsidR="00F324AE">
        <w:rPr>
          <w:lang w:bidi="en-US"/>
        </w:rPr>
        <w:t xml:space="preserve"> to</w:t>
      </w:r>
      <w:r w:rsidR="00741A9A" w:rsidRPr="00741A9A">
        <w:rPr>
          <w:lang w:bidi="en-US"/>
        </w:rPr>
        <w:t xml:space="preserve"> </w:t>
      </w:r>
      <w:r w:rsidR="00EB34ED">
        <w:rPr>
          <w:lang w:bidi="en-US"/>
        </w:rPr>
        <w:t xml:space="preserve">249 </w:t>
      </w:r>
      <w:r w:rsidR="00F324AE">
        <w:rPr>
          <w:lang w:bidi="en-US"/>
        </w:rPr>
        <w:t>more</w:t>
      </w:r>
      <w:r w:rsidR="00741A9A" w:rsidRPr="00741A9A">
        <w:rPr>
          <w:lang w:bidi="en-US"/>
        </w:rPr>
        <w:t xml:space="preserve"> teachers</w:t>
      </w:r>
      <w:r w:rsidR="001B1067">
        <w:rPr>
          <w:lang w:bidi="en-US"/>
        </w:rPr>
        <w:t xml:space="preserve"> in rural districts accounting for</w:t>
      </w:r>
      <w:r w:rsidR="00E444DA">
        <w:rPr>
          <w:lang w:bidi="en-US"/>
        </w:rPr>
        <w:t xml:space="preserve"> </w:t>
      </w:r>
      <w:r w:rsidR="00741A9A" w:rsidRPr="00741A9A">
        <w:rPr>
          <w:lang w:bidi="en-US"/>
        </w:rPr>
        <w:t>$</w:t>
      </w:r>
      <w:r w:rsidR="00B55150">
        <w:rPr>
          <w:lang w:bidi="en-US"/>
        </w:rPr>
        <w:t>17</w:t>
      </w:r>
      <w:r w:rsidR="00741A9A" w:rsidRPr="00741A9A">
        <w:rPr>
          <w:lang w:bidi="en-US"/>
        </w:rPr>
        <w:t xml:space="preserve"> </w:t>
      </w:r>
      <w:r w:rsidR="00B55150">
        <w:rPr>
          <w:lang w:bidi="en-US"/>
        </w:rPr>
        <w:t xml:space="preserve">million </w:t>
      </w:r>
      <w:r w:rsidR="00741A9A" w:rsidRPr="00741A9A">
        <w:rPr>
          <w:lang w:bidi="en-US"/>
        </w:rPr>
        <w:t>in s</w:t>
      </w:r>
      <w:r w:rsidR="003C3673">
        <w:rPr>
          <w:lang w:bidi="en-US"/>
        </w:rPr>
        <w:t>alaries</w:t>
      </w:r>
      <w:r w:rsidR="00741A9A" w:rsidRPr="00741A9A">
        <w:rPr>
          <w:lang w:bidi="en-US"/>
        </w:rPr>
        <w:t xml:space="preserve">, not </w:t>
      </w:r>
      <w:r w:rsidR="001B1067">
        <w:rPr>
          <w:lang w:bidi="en-US"/>
        </w:rPr>
        <w:t>including</w:t>
      </w:r>
      <w:r w:rsidR="00741A9A" w:rsidRPr="00741A9A">
        <w:rPr>
          <w:lang w:bidi="en-US"/>
        </w:rPr>
        <w:t xml:space="preserve"> health insurance</w:t>
      </w:r>
      <w:r w:rsidR="00A47545">
        <w:rPr>
          <w:lang w:bidi="en-US"/>
        </w:rPr>
        <w:t>.</w:t>
      </w:r>
      <w:r w:rsidR="001B1067">
        <w:rPr>
          <w:rStyle w:val="FootnoteReference"/>
          <w:lang w:bidi="en-US"/>
        </w:rPr>
        <w:footnoteReference w:id="5"/>
      </w:r>
      <w:r w:rsidR="003C3673">
        <w:rPr>
          <w:lang w:bidi="en-US"/>
        </w:rPr>
        <w:t xml:space="preserve"> Rural districts generally have smaller numbers of students in each grade level</w:t>
      </w:r>
      <w:r w:rsidR="008804E7">
        <w:rPr>
          <w:lang w:bidi="en-US"/>
        </w:rPr>
        <w:t xml:space="preserve"> and</w:t>
      </w:r>
      <w:r w:rsidR="003C3673">
        <w:rPr>
          <w:lang w:bidi="en-US"/>
        </w:rPr>
        <w:t xml:space="preserve"> maintain a fixed number of staff to support a class at each gra</w:t>
      </w:r>
      <w:r w:rsidR="00662816">
        <w:rPr>
          <w:lang w:bidi="en-US"/>
        </w:rPr>
        <w:t>d</w:t>
      </w:r>
      <w:r w:rsidR="003C3673">
        <w:rPr>
          <w:lang w:bidi="en-US"/>
        </w:rPr>
        <w:t>e. This contributes to a consistently higher proportion of staff relative to students regardless of class size.</w:t>
      </w:r>
      <w:r w:rsidR="00A47545">
        <w:rPr>
          <w:lang w:bidi="en-US"/>
        </w:rPr>
        <w:t xml:space="preserve"> </w:t>
      </w:r>
    </w:p>
    <w:p w14:paraId="1AA6D180" w14:textId="77777777" w:rsidR="005B469E" w:rsidRDefault="005B469E" w:rsidP="005B469E">
      <w:pPr>
        <w:rPr>
          <w:lang w:bidi="en-US"/>
        </w:rPr>
      </w:pPr>
    </w:p>
    <w:p w14:paraId="0CBFD38D" w14:textId="77777777" w:rsidR="00A47545" w:rsidRDefault="00A01863" w:rsidP="00A47545">
      <w:pPr>
        <w:jc w:val="center"/>
        <w:rPr>
          <w:lang w:bidi="en-US"/>
        </w:rPr>
      </w:pPr>
      <w:r w:rsidRPr="00A01863">
        <w:rPr>
          <w:noProof/>
        </w:rPr>
        <w:lastRenderedPageBreak/>
        <w:drawing>
          <wp:inline distT="0" distB="0" distL="0" distR="0" wp14:anchorId="15C18B48" wp14:editId="3D09198E">
            <wp:extent cx="4198620" cy="2735580"/>
            <wp:effectExtent l="0" t="0" r="0" b="0"/>
            <wp:docPr id="9" name="Chart 1" descr="Figure 1: Teachers per 100 students&#10;   &#10; Rural All other districts&#10;2008 8.2 7.3&#10;2009 8.2 7.3&#10;2010 8.1 7.3&#10;2011 8.2 7.1&#10;2012 8.3 7.2&#10;2013 8.3 7.3&#10;2014 8.4 7.3&#10;2015 8.2 7.5&#10;2016 8.5 7.0&#10;2017 8.4 7.5&#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23769B" w14:textId="77777777" w:rsidR="00A47545" w:rsidRDefault="00A47545" w:rsidP="005B469E">
      <w:pPr>
        <w:rPr>
          <w:lang w:bidi="en-US"/>
        </w:rPr>
      </w:pPr>
    </w:p>
    <w:p w14:paraId="0989DC7F" w14:textId="77777777" w:rsidR="00702034" w:rsidRDefault="00702034" w:rsidP="005B469E">
      <w:pPr>
        <w:rPr>
          <w:lang w:bidi="en-US"/>
        </w:rPr>
      </w:pPr>
      <w:r>
        <w:rPr>
          <w:lang w:bidi="en-US"/>
        </w:rPr>
        <w:t>While rural districts saw a decline in the total number of teachers employed in the las</w:t>
      </w:r>
      <w:r w:rsidR="008A73FE">
        <w:rPr>
          <w:lang w:bidi="en-US"/>
        </w:rPr>
        <w:t xml:space="preserve">t ten years, the number of paraprofessionals remained unchanged. </w:t>
      </w:r>
      <w:r w:rsidR="0053528A">
        <w:rPr>
          <w:lang w:bidi="en-US"/>
        </w:rPr>
        <w:t xml:space="preserve">Rural districts employed 1,067 paraprofessionals in 2008 and 1,036 in 2017, with very little fluctuation </w:t>
      </w:r>
      <w:r w:rsidR="00B55150">
        <w:rPr>
          <w:lang w:bidi="en-US"/>
        </w:rPr>
        <w:t>in</w:t>
      </w:r>
      <w:r w:rsidR="0053528A">
        <w:rPr>
          <w:lang w:bidi="en-US"/>
        </w:rPr>
        <w:t xml:space="preserve"> the intervening years. Over the same period, non-rural districts saw their paraprofessional staffing levels increase steadily, even during the recession, growing f</w:t>
      </w:r>
      <w:r w:rsidR="00B55150">
        <w:rPr>
          <w:lang w:bidi="en-US"/>
        </w:rPr>
        <w:t>r</w:t>
      </w:r>
      <w:r w:rsidR="0053528A">
        <w:rPr>
          <w:lang w:bidi="en-US"/>
        </w:rPr>
        <w:t xml:space="preserve">om </w:t>
      </w:r>
      <w:r w:rsidR="0053528A" w:rsidRPr="0053528A">
        <w:rPr>
          <w:lang w:bidi="en-US"/>
        </w:rPr>
        <w:t>19,991</w:t>
      </w:r>
      <w:r w:rsidR="0053528A">
        <w:rPr>
          <w:lang w:bidi="en-US"/>
        </w:rPr>
        <w:t xml:space="preserve"> in 2018 to </w:t>
      </w:r>
      <w:r w:rsidR="0053528A" w:rsidRPr="0053528A">
        <w:rPr>
          <w:lang w:bidi="en-US"/>
        </w:rPr>
        <w:t>23,448</w:t>
      </w:r>
      <w:r w:rsidR="0053528A">
        <w:rPr>
          <w:lang w:bidi="en-US"/>
        </w:rPr>
        <w:t xml:space="preserve"> in 2017, an increase of 17.3 percent.</w:t>
      </w:r>
    </w:p>
    <w:p w14:paraId="08DCB2DB" w14:textId="77777777" w:rsidR="00EA4798" w:rsidRDefault="00EA4798" w:rsidP="005B469E">
      <w:pPr>
        <w:rPr>
          <w:lang w:bidi="en-US"/>
        </w:rPr>
      </w:pPr>
    </w:p>
    <w:p w14:paraId="15C63050" w14:textId="77777777" w:rsidR="00741A9A" w:rsidRDefault="00511655" w:rsidP="005B469E">
      <w:pPr>
        <w:rPr>
          <w:lang w:bidi="en-US"/>
        </w:rPr>
      </w:pPr>
      <w:r>
        <w:rPr>
          <w:lang w:bidi="en-US"/>
        </w:rPr>
        <w:t>Similar to teacher staffing levels, r</w:t>
      </w:r>
      <w:r w:rsidR="00F1385C">
        <w:rPr>
          <w:lang w:bidi="en-US"/>
        </w:rPr>
        <w:t xml:space="preserve">ural districts </w:t>
      </w:r>
      <w:r w:rsidR="00741A9A" w:rsidRPr="00741A9A">
        <w:rPr>
          <w:lang w:bidi="en-US"/>
        </w:rPr>
        <w:t>employ more paraprofessionals</w:t>
      </w:r>
      <w:r w:rsidR="00290842">
        <w:rPr>
          <w:lang w:bidi="en-US"/>
        </w:rPr>
        <w:t xml:space="preserve"> relative to</w:t>
      </w:r>
      <w:r w:rsidR="00741A9A" w:rsidRPr="00741A9A">
        <w:rPr>
          <w:lang w:bidi="en-US"/>
        </w:rPr>
        <w:t xml:space="preserve"> non-rural districts</w:t>
      </w:r>
      <w:r w:rsidR="00290842">
        <w:rPr>
          <w:lang w:bidi="en-US"/>
        </w:rPr>
        <w:t xml:space="preserve">. </w:t>
      </w:r>
      <w:r w:rsidR="00EA4798">
        <w:rPr>
          <w:lang w:bidi="en-US"/>
        </w:rPr>
        <w:t xml:space="preserve">Between 2008 and 2017 </w:t>
      </w:r>
      <w:r w:rsidR="00205068">
        <w:rPr>
          <w:lang w:bidi="en-US"/>
        </w:rPr>
        <w:t>staffing levels in rural districts ranged</w:t>
      </w:r>
      <w:r w:rsidR="00EA4798">
        <w:rPr>
          <w:lang w:bidi="en-US"/>
        </w:rPr>
        <w:t xml:space="preserve"> </w:t>
      </w:r>
      <w:r w:rsidR="00290842">
        <w:rPr>
          <w:lang w:bidi="en-US"/>
        </w:rPr>
        <w:t>b</w:t>
      </w:r>
      <w:r w:rsidR="00EA4798">
        <w:rPr>
          <w:lang w:bidi="en-US"/>
        </w:rPr>
        <w:t>etween 3.5 and 4.0 paraprofessional per 100</w:t>
      </w:r>
      <w:r w:rsidR="00FE38D5">
        <w:rPr>
          <w:lang w:bidi="en-US"/>
        </w:rPr>
        <w:t xml:space="preserve"> students</w:t>
      </w:r>
      <w:r w:rsidR="00EA4798">
        <w:rPr>
          <w:lang w:bidi="en-US"/>
        </w:rPr>
        <w:t xml:space="preserve"> </w:t>
      </w:r>
      <w:r w:rsidR="00205068">
        <w:rPr>
          <w:lang w:bidi="en-US"/>
        </w:rPr>
        <w:t>compared to</w:t>
      </w:r>
      <w:r w:rsidR="00EA4798">
        <w:rPr>
          <w:lang w:bidi="en-US"/>
        </w:rPr>
        <w:t xml:space="preserve"> 2.2 to 2.7 </w:t>
      </w:r>
      <w:r w:rsidR="00290842">
        <w:rPr>
          <w:lang w:bidi="en-US"/>
        </w:rPr>
        <w:t>paraprofessional</w:t>
      </w:r>
      <w:r w:rsidR="00C74614">
        <w:rPr>
          <w:lang w:bidi="en-US"/>
        </w:rPr>
        <w:t>s</w:t>
      </w:r>
      <w:r w:rsidR="00F51C2E">
        <w:rPr>
          <w:lang w:bidi="en-US"/>
        </w:rPr>
        <w:t xml:space="preserve"> per 100 students</w:t>
      </w:r>
      <w:r w:rsidR="00205068">
        <w:rPr>
          <w:lang w:bidi="en-US"/>
        </w:rPr>
        <w:t xml:space="preserve"> in all other districts</w:t>
      </w:r>
      <w:r w:rsidR="00290842">
        <w:rPr>
          <w:lang w:bidi="en-US"/>
        </w:rPr>
        <w:t>, a difference of more than 1.0 FTEs in any given year, see Figure 2</w:t>
      </w:r>
      <w:r w:rsidR="00EA4798">
        <w:rPr>
          <w:lang w:bidi="en-US"/>
        </w:rPr>
        <w:t>.</w:t>
      </w:r>
      <w:r w:rsidR="00F95AFD">
        <w:rPr>
          <w:lang w:bidi="en-US"/>
        </w:rPr>
        <w:t xml:space="preserve"> </w:t>
      </w:r>
      <w:r w:rsidR="00EA4798">
        <w:rPr>
          <w:lang w:bidi="en-US"/>
        </w:rPr>
        <w:t xml:space="preserve">Looking at the reasons why, it is more likely due to </w:t>
      </w:r>
      <w:r w:rsidR="00662816">
        <w:rPr>
          <w:lang w:bidi="en-US"/>
        </w:rPr>
        <w:t xml:space="preserve">district </w:t>
      </w:r>
      <w:r w:rsidR="00EA4798">
        <w:rPr>
          <w:lang w:bidi="en-US"/>
        </w:rPr>
        <w:t>size than student need</w:t>
      </w:r>
      <w:r>
        <w:rPr>
          <w:lang w:bidi="en-US"/>
        </w:rPr>
        <w:t>s</w:t>
      </w:r>
      <w:r w:rsidR="00EA4798">
        <w:rPr>
          <w:lang w:bidi="en-US"/>
        </w:rPr>
        <w:t xml:space="preserve">. Paraprofessionals are </w:t>
      </w:r>
      <w:r>
        <w:rPr>
          <w:lang w:bidi="en-US"/>
        </w:rPr>
        <w:t>usually hired</w:t>
      </w:r>
      <w:r w:rsidR="00EA4798">
        <w:rPr>
          <w:lang w:bidi="en-US"/>
        </w:rPr>
        <w:t xml:space="preserve"> to </w:t>
      </w:r>
      <w:r>
        <w:rPr>
          <w:lang w:bidi="en-US"/>
        </w:rPr>
        <w:t>support</w:t>
      </w:r>
      <w:r w:rsidR="00EA4798">
        <w:rPr>
          <w:lang w:bidi="en-US"/>
        </w:rPr>
        <w:t xml:space="preserve"> students </w:t>
      </w:r>
      <w:r>
        <w:rPr>
          <w:lang w:bidi="en-US"/>
        </w:rPr>
        <w:t>with disabilities</w:t>
      </w:r>
      <w:r w:rsidR="00EA4798">
        <w:rPr>
          <w:lang w:bidi="en-US"/>
        </w:rPr>
        <w:t xml:space="preserve">, but </w:t>
      </w:r>
      <w:r w:rsidR="00B770B2">
        <w:rPr>
          <w:lang w:bidi="en-US"/>
        </w:rPr>
        <w:t xml:space="preserve">there is little difference in the percentages of students with disabilities </w:t>
      </w:r>
      <w:r w:rsidR="00D605F7">
        <w:rPr>
          <w:lang w:bidi="en-US"/>
        </w:rPr>
        <w:t xml:space="preserve">in </w:t>
      </w:r>
      <w:r w:rsidR="00B770B2">
        <w:rPr>
          <w:lang w:bidi="en-US"/>
        </w:rPr>
        <w:t>rural and non-rural districts</w:t>
      </w:r>
      <w:r w:rsidR="00741A9A" w:rsidRPr="00741A9A">
        <w:rPr>
          <w:lang w:bidi="en-US"/>
        </w:rPr>
        <w:t>, 17.3</w:t>
      </w:r>
      <w:r w:rsidR="008A73FE">
        <w:rPr>
          <w:lang w:bidi="en-US"/>
        </w:rPr>
        <w:t xml:space="preserve"> percent</w:t>
      </w:r>
      <w:r w:rsidR="00741A9A" w:rsidRPr="00741A9A">
        <w:rPr>
          <w:lang w:bidi="en-US"/>
        </w:rPr>
        <w:t xml:space="preserve"> and 17.7</w:t>
      </w:r>
      <w:r w:rsidR="008A73FE">
        <w:rPr>
          <w:lang w:bidi="en-US"/>
        </w:rPr>
        <w:t xml:space="preserve"> percent</w:t>
      </w:r>
      <w:r w:rsidR="00741A9A" w:rsidRPr="00741A9A">
        <w:rPr>
          <w:lang w:bidi="en-US"/>
        </w:rPr>
        <w:t xml:space="preserve"> respectively.</w:t>
      </w:r>
      <w:r w:rsidR="005B469E">
        <w:rPr>
          <w:lang w:bidi="en-US"/>
        </w:rPr>
        <w:t xml:space="preserve"> </w:t>
      </w:r>
      <w:r w:rsidR="00F57203">
        <w:rPr>
          <w:lang w:bidi="en-US"/>
        </w:rPr>
        <w:t>R</w:t>
      </w:r>
      <w:r w:rsidR="00AD6D8B" w:rsidRPr="00713A73">
        <w:rPr>
          <w:lang w:bidi="en-US"/>
        </w:rPr>
        <w:t>ural</w:t>
      </w:r>
      <w:r w:rsidR="00741A9A" w:rsidRPr="00713A73">
        <w:rPr>
          <w:lang w:bidi="en-US"/>
        </w:rPr>
        <w:t xml:space="preserve"> districts</w:t>
      </w:r>
      <w:r w:rsidR="00FA75E9">
        <w:rPr>
          <w:lang w:bidi="en-US"/>
        </w:rPr>
        <w:t xml:space="preserve"> </w:t>
      </w:r>
      <w:r w:rsidR="00FE38D5">
        <w:rPr>
          <w:lang w:bidi="en-US"/>
        </w:rPr>
        <w:t xml:space="preserve">may </w:t>
      </w:r>
      <w:r w:rsidR="00AD6D8B" w:rsidRPr="00713A73">
        <w:rPr>
          <w:lang w:bidi="en-US"/>
        </w:rPr>
        <w:t>employ</w:t>
      </w:r>
      <w:r w:rsidR="00741A9A" w:rsidRPr="00713A73">
        <w:rPr>
          <w:lang w:bidi="en-US"/>
        </w:rPr>
        <w:t xml:space="preserve"> </w:t>
      </w:r>
      <w:r w:rsidR="00AB3B8F">
        <w:rPr>
          <w:lang w:bidi="en-US"/>
        </w:rPr>
        <w:t>more</w:t>
      </w:r>
      <w:r w:rsidR="00741A9A" w:rsidRPr="00713A73">
        <w:rPr>
          <w:lang w:bidi="en-US"/>
        </w:rPr>
        <w:t xml:space="preserve"> </w:t>
      </w:r>
      <w:r w:rsidR="001B1067" w:rsidRPr="00713A73">
        <w:rPr>
          <w:lang w:bidi="en-US"/>
        </w:rPr>
        <w:t>paraprofessionals</w:t>
      </w:r>
      <w:r w:rsidR="007B0B9C">
        <w:rPr>
          <w:lang w:bidi="en-US"/>
        </w:rPr>
        <w:t xml:space="preserve"> </w:t>
      </w:r>
      <w:r w:rsidR="00F57203">
        <w:rPr>
          <w:lang w:bidi="en-US"/>
        </w:rPr>
        <w:t xml:space="preserve">relative to other districts </w:t>
      </w:r>
      <w:r w:rsidR="00F51C2E">
        <w:rPr>
          <w:lang w:bidi="en-US"/>
        </w:rPr>
        <w:t xml:space="preserve">because </w:t>
      </w:r>
      <w:r w:rsidR="00562482">
        <w:rPr>
          <w:lang w:bidi="en-US"/>
        </w:rPr>
        <w:t>they operate smaller schools</w:t>
      </w:r>
      <w:r w:rsidR="00290842">
        <w:rPr>
          <w:lang w:bidi="en-US"/>
        </w:rPr>
        <w:t xml:space="preserve"> that require them to hire </w:t>
      </w:r>
      <w:r w:rsidR="00C74614">
        <w:rPr>
          <w:lang w:bidi="en-US"/>
        </w:rPr>
        <w:t xml:space="preserve">more </w:t>
      </w:r>
      <w:r w:rsidR="00290842">
        <w:rPr>
          <w:lang w:bidi="en-US"/>
        </w:rPr>
        <w:t xml:space="preserve">staff </w:t>
      </w:r>
      <w:r w:rsidR="00C74614">
        <w:rPr>
          <w:lang w:bidi="en-US"/>
        </w:rPr>
        <w:t>than they might otherwise need if they served their students in fewer buildings</w:t>
      </w:r>
      <w:r w:rsidR="00F51C2E">
        <w:rPr>
          <w:lang w:bidi="en-US"/>
        </w:rPr>
        <w:t>.</w:t>
      </w:r>
    </w:p>
    <w:p w14:paraId="6F381BBE" w14:textId="77777777" w:rsidR="00F95AFD" w:rsidRDefault="00A01863" w:rsidP="00F95AFD">
      <w:pPr>
        <w:pStyle w:val="Heading1"/>
        <w:jc w:val="center"/>
        <w:rPr>
          <w:lang w:bidi="en-US"/>
        </w:rPr>
      </w:pPr>
      <w:r w:rsidRPr="00A01863">
        <w:rPr>
          <w:noProof/>
        </w:rPr>
        <w:lastRenderedPageBreak/>
        <w:drawing>
          <wp:inline distT="0" distB="0" distL="0" distR="0" wp14:anchorId="2126329B" wp14:editId="51702BDD">
            <wp:extent cx="4198620" cy="2735580"/>
            <wp:effectExtent l="0" t="0" r="0" b="0"/>
            <wp:docPr id="10" name="Chart 2" descr="Figure 2: Paraprofessionals per 100 students&#10;&#10; Rural All other districts&#10;2008 3.5 2.2&#10;2009 3.6 2.3&#10;2010 3.6 2.3&#10;2011 3.6 2.3&#10;2012 3.6 2.4&#10;2013 3.7 2.5&#10;2014 3.9 2.5&#10;2015 3.8 2.5&#10;2016 4.0 2.4&#10;2017 4.0 2.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8D2815" w14:textId="77777777" w:rsidR="00A47545" w:rsidRDefault="00220F82" w:rsidP="00220F82">
      <w:pPr>
        <w:pStyle w:val="Heading1"/>
        <w:rPr>
          <w:lang w:bidi="en-US"/>
        </w:rPr>
      </w:pPr>
      <w:bookmarkStart w:id="3" w:name="_Toc503258029"/>
      <w:r>
        <w:rPr>
          <w:lang w:bidi="en-US"/>
        </w:rPr>
        <w:t>Spending trends</w:t>
      </w:r>
      <w:bookmarkEnd w:id="3"/>
    </w:p>
    <w:p w14:paraId="00478261" w14:textId="77777777" w:rsidR="00741A9A" w:rsidRPr="00741A9A" w:rsidRDefault="000F6F74" w:rsidP="00220F82">
      <w:pPr>
        <w:rPr>
          <w:lang w:bidi="en-US"/>
        </w:rPr>
      </w:pPr>
      <w:r>
        <w:rPr>
          <w:lang w:bidi="en-US"/>
        </w:rPr>
        <w:t>Over the last 10 years, total</w:t>
      </w:r>
      <w:r w:rsidR="00872FD8">
        <w:rPr>
          <w:lang w:bidi="en-US"/>
        </w:rPr>
        <w:t xml:space="preserve"> </w:t>
      </w:r>
      <w:r w:rsidR="00741A9A" w:rsidRPr="00741A9A">
        <w:rPr>
          <w:lang w:bidi="en-US"/>
        </w:rPr>
        <w:t xml:space="preserve">spending in rural districts </w:t>
      </w:r>
      <w:r w:rsidR="00872FD8">
        <w:rPr>
          <w:lang w:bidi="en-US"/>
        </w:rPr>
        <w:t>did</w:t>
      </w:r>
      <w:r w:rsidR="00741A9A" w:rsidRPr="00741A9A">
        <w:rPr>
          <w:lang w:bidi="en-US"/>
        </w:rPr>
        <w:t xml:space="preserve"> not grow as quickly as </w:t>
      </w:r>
      <w:r w:rsidR="00872FD8">
        <w:rPr>
          <w:lang w:bidi="en-US"/>
        </w:rPr>
        <w:t>it did</w:t>
      </w:r>
      <w:r w:rsidR="00741A9A" w:rsidRPr="00741A9A">
        <w:rPr>
          <w:lang w:bidi="en-US"/>
        </w:rPr>
        <w:t xml:space="preserve"> </w:t>
      </w:r>
      <w:r>
        <w:rPr>
          <w:lang w:bidi="en-US"/>
        </w:rPr>
        <w:t xml:space="preserve">in the rest of the state, but </w:t>
      </w:r>
      <w:r w:rsidR="00626520">
        <w:rPr>
          <w:lang w:bidi="en-US"/>
        </w:rPr>
        <w:t xml:space="preserve">declining enrollment and </w:t>
      </w:r>
      <w:r w:rsidR="00F27857">
        <w:rPr>
          <w:lang w:bidi="en-US"/>
        </w:rPr>
        <w:t>increasing</w:t>
      </w:r>
      <w:r w:rsidR="00626520">
        <w:rPr>
          <w:lang w:bidi="en-US"/>
        </w:rPr>
        <w:t xml:space="preserve"> health insurance </w:t>
      </w:r>
      <w:r w:rsidR="00F27857">
        <w:rPr>
          <w:lang w:bidi="en-US"/>
        </w:rPr>
        <w:t xml:space="preserve">spending </w:t>
      </w:r>
      <w:r w:rsidR="00626520">
        <w:rPr>
          <w:lang w:bidi="en-US"/>
        </w:rPr>
        <w:t>are driving up average per pupil costs</w:t>
      </w:r>
      <w:r w:rsidR="00741A9A" w:rsidRPr="00741A9A">
        <w:rPr>
          <w:lang w:bidi="en-US"/>
        </w:rPr>
        <w:t>. Between fiscal years 2008 and 2016</w:t>
      </w:r>
      <w:r w:rsidR="008A73FE">
        <w:rPr>
          <w:lang w:bidi="en-US"/>
        </w:rPr>
        <w:t>, the most current year that data is available,</w:t>
      </w:r>
      <w:r w:rsidR="00741A9A" w:rsidRPr="00741A9A">
        <w:rPr>
          <w:lang w:bidi="en-US"/>
        </w:rPr>
        <w:t xml:space="preserve"> total in-district spending in rural districts grew by 14.8</w:t>
      </w:r>
      <w:r w:rsidR="008A73FE">
        <w:rPr>
          <w:lang w:bidi="en-US"/>
        </w:rPr>
        <w:t xml:space="preserve"> percent</w:t>
      </w:r>
      <w:r w:rsidR="00741A9A" w:rsidRPr="00741A9A">
        <w:rPr>
          <w:lang w:bidi="en-US"/>
        </w:rPr>
        <w:t xml:space="preserve"> versus 21.7</w:t>
      </w:r>
      <w:r w:rsidR="008A73FE">
        <w:rPr>
          <w:lang w:bidi="en-US"/>
        </w:rPr>
        <w:t xml:space="preserve"> percent</w:t>
      </w:r>
      <w:r w:rsidR="00741A9A" w:rsidRPr="00741A9A">
        <w:rPr>
          <w:lang w:bidi="en-US"/>
        </w:rPr>
        <w:t xml:space="preserve"> in </w:t>
      </w:r>
      <w:r w:rsidR="00872FD8">
        <w:rPr>
          <w:lang w:bidi="en-US"/>
        </w:rPr>
        <w:t>all other</w:t>
      </w:r>
      <w:r w:rsidR="00741A9A" w:rsidRPr="00741A9A">
        <w:rPr>
          <w:lang w:bidi="en-US"/>
        </w:rPr>
        <w:t xml:space="preserve"> districts</w:t>
      </w:r>
      <w:r w:rsidR="008A73FE">
        <w:rPr>
          <w:lang w:bidi="en-US"/>
        </w:rPr>
        <w:t xml:space="preserve">. </w:t>
      </w:r>
      <w:r w:rsidR="00F27857">
        <w:rPr>
          <w:lang w:bidi="en-US"/>
        </w:rPr>
        <w:t>Over the same period, h</w:t>
      </w:r>
      <w:r w:rsidR="00741A9A" w:rsidRPr="00741A9A">
        <w:rPr>
          <w:lang w:bidi="en-US"/>
        </w:rPr>
        <w:t>owever, per pupil spending in rural distr</w:t>
      </w:r>
      <w:r w:rsidR="0055404B">
        <w:rPr>
          <w:lang w:bidi="en-US"/>
        </w:rPr>
        <w:t>icts increased at a faster rate</w:t>
      </w:r>
      <w:r w:rsidR="00741A9A" w:rsidRPr="00741A9A">
        <w:rPr>
          <w:lang w:bidi="en-US"/>
        </w:rPr>
        <w:t>, 31</w:t>
      </w:r>
      <w:r w:rsidR="00872FD8">
        <w:rPr>
          <w:lang w:bidi="en-US"/>
        </w:rPr>
        <w:t>.0</w:t>
      </w:r>
      <w:r w:rsidR="008A73FE">
        <w:rPr>
          <w:lang w:bidi="en-US"/>
        </w:rPr>
        <w:t xml:space="preserve"> percent</w:t>
      </w:r>
      <w:r w:rsidR="00BE171E">
        <w:rPr>
          <w:lang w:bidi="en-US"/>
        </w:rPr>
        <w:t xml:space="preserve"> to</w:t>
      </w:r>
      <w:r w:rsidR="00741A9A" w:rsidRPr="00741A9A">
        <w:rPr>
          <w:lang w:bidi="en-US"/>
        </w:rPr>
        <w:t xml:space="preserve"> 2</w:t>
      </w:r>
      <w:r w:rsidR="00872FD8">
        <w:rPr>
          <w:lang w:bidi="en-US"/>
        </w:rPr>
        <w:t>4.9</w:t>
      </w:r>
      <w:r w:rsidR="008A73FE">
        <w:rPr>
          <w:lang w:bidi="en-US"/>
        </w:rPr>
        <w:t xml:space="preserve"> percent.</w:t>
      </w:r>
      <w:r w:rsidR="00145DE6">
        <w:rPr>
          <w:lang w:bidi="en-US"/>
        </w:rPr>
        <w:t xml:space="preserve"> </w:t>
      </w:r>
      <w:r w:rsidR="00BE171E">
        <w:rPr>
          <w:lang w:bidi="en-US"/>
        </w:rPr>
        <w:t>Rural districts now spend $1</w:t>
      </w:r>
      <w:r w:rsidR="00546E3F">
        <w:rPr>
          <w:lang w:bidi="en-US"/>
        </w:rPr>
        <w:t>6</w:t>
      </w:r>
      <w:r w:rsidR="00BE171E">
        <w:rPr>
          <w:lang w:bidi="en-US"/>
        </w:rPr>
        <w:t>,</w:t>
      </w:r>
      <w:r w:rsidR="00546E3F">
        <w:rPr>
          <w:lang w:bidi="en-US"/>
        </w:rPr>
        <w:t>772</w:t>
      </w:r>
      <w:r w:rsidR="00BE171E">
        <w:rPr>
          <w:lang w:bidi="en-US"/>
        </w:rPr>
        <w:t xml:space="preserve"> per in-district student, up from </w:t>
      </w:r>
      <w:r w:rsidR="00145DE6">
        <w:rPr>
          <w:lang w:bidi="en-US"/>
        </w:rPr>
        <w:t>$1</w:t>
      </w:r>
      <w:r w:rsidR="00546E3F">
        <w:rPr>
          <w:lang w:bidi="en-US"/>
        </w:rPr>
        <w:t>2</w:t>
      </w:r>
      <w:r w:rsidR="00145DE6">
        <w:rPr>
          <w:lang w:bidi="en-US"/>
        </w:rPr>
        <w:t>,</w:t>
      </w:r>
      <w:r w:rsidR="00546E3F">
        <w:rPr>
          <w:lang w:bidi="en-US"/>
        </w:rPr>
        <w:t>807</w:t>
      </w:r>
      <w:r w:rsidR="00BE171E">
        <w:rPr>
          <w:lang w:bidi="en-US"/>
        </w:rPr>
        <w:t xml:space="preserve"> in fiscal year 2008, compared</w:t>
      </w:r>
      <w:r w:rsidR="00145DE6">
        <w:rPr>
          <w:lang w:bidi="en-US"/>
        </w:rPr>
        <w:t xml:space="preserve"> </w:t>
      </w:r>
      <w:r w:rsidR="00BE171E">
        <w:rPr>
          <w:lang w:bidi="en-US"/>
        </w:rPr>
        <w:t>to $1</w:t>
      </w:r>
      <w:r w:rsidR="00546E3F">
        <w:rPr>
          <w:lang w:bidi="en-US"/>
        </w:rPr>
        <w:t>4</w:t>
      </w:r>
      <w:r w:rsidR="00BE171E">
        <w:rPr>
          <w:lang w:bidi="en-US"/>
        </w:rPr>
        <w:t>,</w:t>
      </w:r>
      <w:r w:rsidR="00546E3F">
        <w:rPr>
          <w:lang w:bidi="en-US"/>
        </w:rPr>
        <w:t>927</w:t>
      </w:r>
      <w:r w:rsidR="00BE171E">
        <w:rPr>
          <w:lang w:bidi="en-US"/>
        </w:rPr>
        <w:t xml:space="preserve"> in non-rural districts, up from $1</w:t>
      </w:r>
      <w:r w:rsidR="00546E3F">
        <w:rPr>
          <w:lang w:bidi="en-US"/>
        </w:rPr>
        <w:t>1</w:t>
      </w:r>
      <w:r w:rsidR="00BE171E">
        <w:rPr>
          <w:lang w:bidi="en-US"/>
        </w:rPr>
        <w:t>,</w:t>
      </w:r>
      <w:r w:rsidR="00546E3F">
        <w:rPr>
          <w:lang w:bidi="en-US"/>
        </w:rPr>
        <w:t>9</w:t>
      </w:r>
      <w:r w:rsidR="001C687E">
        <w:rPr>
          <w:lang w:bidi="en-US"/>
        </w:rPr>
        <w:t>51</w:t>
      </w:r>
      <w:r w:rsidR="00267031">
        <w:rPr>
          <w:lang w:bidi="en-US"/>
        </w:rPr>
        <w:t xml:space="preserve">, see </w:t>
      </w:r>
      <w:r w:rsidR="00B1372C">
        <w:rPr>
          <w:lang w:bidi="en-US"/>
        </w:rPr>
        <w:t>F</w:t>
      </w:r>
      <w:r w:rsidR="00061C7D">
        <w:rPr>
          <w:lang w:bidi="en-US"/>
        </w:rPr>
        <w:t xml:space="preserve">igure </w:t>
      </w:r>
      <w:r w:rsidR="00290842">
        <w:rPr>
          <w:lang w:bidi="en-US"/>
        </w:rPr>
        <w:t>3</w:t>
      </w:r>
      <w:r w:rsidR="00BE171E">
        <w:rPr>
          <w:lang w:bidi="en-US"/>
        </w:rPr>
        <w:t xml:space="preserve">. </w:t>
      </w:r>
    </w:p>
    <w:p w14:paraId="5261610F" w14:textId="77777777" w:rsidR="00220F82" w:rsidRDefault="00220F82" w:rsidP="00220F82">
      <w:pPr>
        <w:rPr>
          <w:lang w:bidi="en-US"/>
        </w:rPr>
      </w:pPr>
    </w:p>
    <w:p w14:paraId="7CD56187" w14:textId="77777777" w:rsidR="00FA4415" w:rsidRDefault="00FB1507" w:rsidP="00FA4415">
      <w:pPr>
        <w:jc w:val="center"/>
        <w:rPr>
          <w:lang w:bidi="en-US"/>
        </w:rPr>
      </w:pPr>
      <w:r w:rsidRPr="00FB1507">
        <w:rPr>
          <w:noProof/>
        </w:rPr>
        <w:drawing>
          <wp:inline distT="0" distB="0" distL="0" distR="0" wp14:anchorId="574FA908" wp14:editId="26147964">
            <wp:extent cx="4213860" cy="3108960"/>
            <wp:effectExtent l="0" t="0" r="0" b="0"/>
            <wp:docPr id="12" name="Chart 4" descr="Figure 4: In-district per pupil spending&#10;&#10; Rural All other districts&#10;2008 12,807 11,951&#10;2009 13,341 12,498&#10;2010 13,539 12,533&#10;2011 14,091 12,851&#10;2012 14,435 13,080&#10;2013 15,104 13,460&#10;2014 15,579 13,950&#10;2015 16,087 14,384&#10;2016 16,772 14,92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0B618B" w14:textId="77777777" w:rsidR="00FA4415" w:rsidRDefault="00FA4415" w:rsidP="00220F82">
      <w:pPr>
        <w:rPr>
          <w:lang w:bidi="en-US"/>
        </w:rPr>
      </w:pPr>
    </w:p>
    <w:p w14:paraId="4CA9E1BE" w14:textId="77777777" w:rsidR="0092688C" w:rsidRPr="00741A9A" w:rsidRDefault="00626520" w:rsidP="0092688C">
      <w:pPr>
        <w:rPr>
          <w:lang w:bidi="en-US"/>
        </w:rPr>
      </w:pPr>
      <w:r>
        <w:rPr>
          <w:lang w:bidi="en-US"/>
        </w:rPr>
        <w:lastRenderedPageBreak/>
        <w:t xml:space="preserve">Average costs </w:t>
      </w:r>
      <w:r w:rsidR="00741A9A" w:rsidRPr="00741A9A">
        <w:rPr>
          <w:lang w:bidi="en-US"/>
        </w:rPr>
        <w:t>in rural districts grew faster in most cost categories, with the exception of other teaching services and instructional materials</w:t>
      </w:r>
      <w:r w:rsidR="0055404B">
        <w:rPr>
          <w:lang w:bidi="en-US"/>
        </w:rPr>
        <w:t xml:space="preserve">, see </w:t>
      </w:r>
      <w:r w:rsidR="00B1372C">
        <w:rPr>
          <w:lang w:bidi="en-US"/>
        </w:rPr>
        <w:t>F</w:t>
      </w:r>
      <w:r w:rsidR="0055404B">
        <w:rPr>
          <w:lang w:bidi="en-US"/>
        </w:rPr>
        <w:t xml:space="preserve">igures </w:t>
      </w:r>
      <w:r w:rsidR="00290842">
        <w:rPr>
          <w:lang w:bidi="en-US"/>
        </w:rPr>
        <w:t>4</w:t>
      </w:r>
      <w:r w:rsidR="0055404B">
        <w:rPr>
          <w:lang w:bidi="en-US"/>
        </w:rPr>
        <w:t xml:space="preserve">, </w:t>
      </w:r>
      <w:r w:rsidR="00290842">
        <w:rPr>
          <w:lang w:bidi="en-US"/>
        </w:rPr>
        <w:t>5</w:t>
      </w:r>
      <w:r w:rsidR="0055404B">
        <w:rPr>
          <w:lang w:bidi="en-US"/>
        </w:rPr>
        <w:t xml:space="preserve">, and </w:t>
      </w:r>
      <w:r w:rsidR="00290842">
        <w:rPr>
          <w:lang w:bidi="en-US"/>
        </w:rPr>
        <w:t>6</w:t>
      </w:r>
      <w:r w:rsidR="00741A9A" w:rsidRPr="00741A9A">
        <w:rPr>
          <w:lang w:bidi="en-US"/>
        </w:rPr>
        <w:t>.</w:t>
      </w:r>
      <w:r w:rsidR="008A73FE">
        <w:rPr>
          <w:lang w:bidi="en-US"/>
        </w:rPr>
        <w:t xml:space="preserve"> </w:t>
      </w:r>
      <w:r w:rsidR="00741A9A" w:rsidRPr="00741A9A">
        <w:rPr>
          <w:lang w:bidi="en-US"/>
        </w:rPr>
        <w:t xml:space="preserve">Health insurance </w:t>
      </w:r>
      <w:r w:rsidR="00872FD8">
        <w:rPr>
          <w:lang w:bidi="en-US"/>
        </w:rPr>
        <w:t xml:space="preserve">is </w:t>
      </w:r>
      <w:r w:rsidR="003C3673">
        <w:rPr>
          <w:lang w:bidi="en-US"/>
        </w:rPr>
        <w:t xml:space="preserve">one </w:t>
      </w:r>
      <w:r w:rsidR="00741A9A" w:rsidRPr="00741A9A">
        <w:rPr>
          <w:lang w:bidi="en-US"/>
        </w:rPr>
        <w:t xml:space="preserve">area that stands out: </w:t>
      </w:r>
      <w:r w:rsidR="00F96303">
        <w:rPr>
          <w:lang w:bidi="en-US"/>
        </w:rPr>
        <w:t>Between 2008 and 2016 p</w:t>
      </w:r>
      <w:r w:rsidR="00741A9A" w:rsidRPr="00741A9A">
        <w:rPr>
          <w:lang w:bidi="en-US"/>
        </w:rPr>
        <w:t>er pupil spending</w:t>
      </w:r>
      <w:r w:rsidR="00F96303">
        <w:rPr>
          <w:lang w:bidi="en-US"/>
        </w:rPr>
        <w:t xml:space="preserve"> on health insurance </w:t>
      </w:r>
      <w:r w:rsidR="0011775C">
        <w:rPr>
          <w:lang w:bidi="en-US"/>
        </w:rPr>
        <w:t>g</w:t>
      </w:r>
      <w:r w:rsidR="00741A9A" w:rsidRPr="00741A9A">
        <w:rPr>
          <w:lang w:bidi="en-US"/>
        </w:rPr>
        <w:t>rew by 5</w:t>
      </w:r>
      <w:r w:rsidR="00872FD8">
        <w:rPr>
          <w:lang w:bidi="en-US"/>
        </w:rPr>
        <w:t>0.7</w:t>
      </w:r>
      <w:r w:rsidR="008A73FE">
        <w:rPr>
          <w:lang w:bidi="en-US"/>
        </w:rPr>
        <w:t xml:space="preserve"> percent</w:t>
      </w:r>
      <w:r w:rsidR="00741A9A" w:rsidRPr="00741A9A">
        <w:rPr>
          <w:lang w:bidi="en-US"/>
        </w:rPr>
        <w:t xml:space="preserve"> </w:t>
      </w:r>
      <w:r w:rsidR="00F96303">
        <w:rPr>
          <w:lang w:bidi="en-US"/>
        </w:rPr>
        <w:t xml:space="preserve">in rural districts </w:t>
      </w:r>
      <w:r w:rsidR="00741A9A" w:rsidRPr="00741A9A">
        <w:rPr>
          <w:lang w:bidi="en-US"/>
        </w:rPr>
        <w:t>compared to 2</w:t>
      </w:r>
      <w:r w:rsidR="00872FD8">
        <w:rPr>
          <w:lang w:bidi="en-US"/>
        </w:rPr>
        <w:t>5.5</w:t>
      </w:r>
      <w:r w:rsidR="008A73FE">
        <w:rPr>
          <w:lang w:bidi="en-US"/>
        </w:rPr>
        <w:t xml:space="preserve"> percent</w:t>
      </w:r>
      <w:r w:rsidR="00741A9A" w:rsidRPr="00741A9A">
        <w:rPr>
          <w:lang w:bidi="en-US"/>
        </w:rPr>
        <w:t xml:space="preserve"> </w:t>
      </w:r>
      <w:r w:rsidR="0011775C">
        <w:rPr>
          <w:lang w:bidi="en-US"/>
        </w:rPr>
        <w:t>in</w:t>
      </w:r>
      <w:r w:rsidR="00741A9A" w:rsidRPr="00741A9A">
        <w:rPr>
          <w:lang w:bidi="en-US"/>
        </w:rPr>
        <w:t xml:space="preserve"> </w:t>
      </w:r>
      <w:r w:rsidR="0011775C">
        <w:rPr>
          <w:lang w:bidi="en-US"/>
        </w:rPr>
        <w:t>the rest of the state</w:t>
      </w:r>
      <w:r w:rsidR="00741A9A" w:rsidRPr="00741A9A">
        <w:rPr>
          <w:lang w:bidi="en-US"/>
        </w:rPr>
        <w:t xml:space="preserve">. Growth in health insurance spending </w:t>
      </w:r>
      <w:r w:rsidR="00872FD8">
        <w:rPr>
          <w:lang w:bidi="en-US"/>
        </w:rPr>
        <w:t>is</w:t>
      </w:r>
      <w:r w:rsidR="008A73FE">
        <w:rPr>
          <w:lang w:bidi="en-US"/>
        </w:rPr>
        <w:t xml:space="preserve"> impact</w:t>
      </w:r>
      <w:r w:rsidR="00872FD8">
        <w:rPr>
          <w:lang w:bidi="en-US"/>
        </w:rPr>
        <w:t>ing</w:t>
      </w:r>
      <w:r w:rsidR="008A73FE">
        <w:rPr>
          <w:lang w:bidi="en-US"/>
        </w:rPr>
        <w:t xml:space="preserve"> districts across the </w:t>
      </w:r>
      <w:r w:rsidR="00741A9A" w:rsidRPr="00741A9A">
        <w:rPr>
          <w:lang w:bidi="en-US"/>
        </w:rPr>
        <w:t xml:space="preserve">Commonwealth, but </w:t>
      </w:r>
      <w:r w:rsidR="0011775C">
        <w:rPr>
          <w:lang w:bidi="en-US"/>
        </w:rPr>
        <w:t xml:space="preserve">appears to be </w:t>
      </w:r>
      <w:r w:rsidR="00741A9A" w:rsidRPr="00741A9A">
        <w:rPr>
          <w:lang w:bidi="en-US"/>
        </w:rPr>
        <w:t>impact</w:t>
      </w:r>
      <w:r w:rsidR="0011775C">
        <w:rPr>
          <w:lang w:bidi="en-US"/>
        </w:rPr>
        <w:t>ing</w:t>
      </w:r>
      <w:r w:rsidR="00741A9A" w:rsidRPr="00741A9A">
        <w:rPr>
          <w:lang w:bidi="en-US"/>
        </w:rPr>
        <w:t xml:space="preserve"> rural school districts</w:t>
      </w:r>
      <w:r w:rsidR="0011775C">
        <w:rPr>
          <w:lang w:bidi="en-US"/>
        </w:rPr>
        <w:t xml:space="preserve"> mo</w:t>
      </w:r>
      <w:r w:rsidR="00AD6D8B">
        <w:rPr>
          <w:lang w:bidi="en-US"/>
        </w:rPr>
        <w:t xml:space="preserve">re </w:t>
      </w:r>
      <w:r w:rsidR="0011775C">
        <w:rPr>
          <w:lang w:bidi="en-US"/>
        </w:rPr>
        <w:t>heavily</w:t>
      </w:r>
      <w:r w:rsidR="00741A9A" w:rsidRPr="00741A9A">
        <w:rPr>
          <w:lang w:bidi="en-US"/>
        </w:rPr>
        <w:t>.</w:t>
      </w:r>
      <w:r w:rsidR="008A73FE">
        <w:rPr>
          <w:lang w:bidi="en-US"/>
        </w:rPr>
        <w:t xml:space="preserve"> </w:t>
      </w:r>
      <w:r w:rsidR="00C37093">
        <w:rPr>
          <w:lang w:bidi="en-US"/>
        </w:rPr>
        <w:t>Factoring in growth across all spending categories, r</w:t>
      </w:r>
      <w:r w:rsidR="00741A9A" w:rsidRPr="00741A9A">
        <w:rPr>
          <w:lang w:bidi="en-US"/>
        </w:rPr>
        <w:t>ural districts now spend $</w:t>
      </w:r>
      <w:r w:rsidR="008804E7" w:rsidRPr="00741A9A">
        <w:rPr>
          <w:lang w:bidi="en-US"/>
        </w:rPr>
        <w:t xml:space="preserve">1,845 </w:t>
      </w:r>
      <w:r w:rsidR="008804E7">
        <w:rPr>
          <w:lang w:bidi="en-US"/>
        </w:rPr>
        <w:t>more</w:t>
      </w:r>
      <w:r w:rsidR="00FC5309">
        <w:rPr>
          <w:lang w:bidi="en-US"/>
        </w:rPr>
        <w:t xml:space="preserve"> </w:t>
      </w:r>
      <w:r w:rsidR="00F27857">
        <w:rPr>
          <w:lang w:bidi="en-US"/>
        </w:rPr>
        <w:t xml:space="preserve">per </w:t>
      </w:r>
      <w:r w:rsidR="00FC5309">
        <w:rPr>
          <w:lang w:bidi="en-US"/>
        </w:rPr>
        <w:t xml:space="preserve">in-district </w:t>
      </w:r>
      <w:r w:rsidR="00F27857">
        <w:rPr>
          <w:lang w:bidi="en-US"/>
        </w:rPr>
        <w:t>pupil</w:t>
      </w:r>
      <w:r w:rsidR="00741A9A" w:rsidRPr="00741A9A">
        <w:rPr>
          <w:lang w:bidi="en-US"/>
        </w:rPr>
        <w:t xml:space="preserve"> than </w:t>
      </w:r>
      <w:r w:rsidR="0011775C">
        <w:rPr>
          <w:lang w:bidi="en-US"/>
        </w:rPr>
        <w:t>all other</w:t>
      </w:r>
      <w:r w:rsidR="00741A9A" w:rsidRPr="00741A9A">
        <w:rPr>
          <w:lang w:bidi="en-US"/>
        </w:rPr>
        <w:t xml:space="preserve"> districts</w:t>
      </w:r>
      <w:r>
        <w:rPr>
          <w:lang w:bidi="en-US"/>
        </w:rPr>
        <w:t xml:space="preserve">, </w:t>
      </w:r>
      <w:r w:rsidR="0011775C">
        <w:rPr>
          <w:lang w:bidi="en-US"/>
        </w:rPr>
        <w:t xml:space="preserve">up from </w:t>
      </w:r>
      <w:r w:rsidR="00741A9A" w:rsidRPr="00741A9A">
        <w:rPr>
          <w:lang w:bidi="en-US"/>
        </w:rPr>
        <w:t>$856</w:t>
      </w:r>
      <w:r>
        <w:rPr>
          <w:lang w:bidi="en-US"/>
        </w:rPr>
        <w:t xml:space="preserve"> more in fiscal year 2008.</w:t>
      </w:r>
      <w:r w:rsidR="0092688C">
        <w:rPr>
          <w:lang w:bidi="en-US"/>
        </w:rPr>
        <w:t xml:space="preserve"> Given the budgetary implications of this growing disparity in health care costs, it will be important for rural districts to identify the most important factors driving the growing disparity and take steps to stem or reverse this trend.</w:t>
      </w:r>
    </w:p>
    <w:p w14:paraId="2C462478" w14:textId="77777777" w:rsidR="00626520" w:rsidRDefault="00626520" w:rsidP="008A73FE">
      <w:pPr>
        <w:rPr>
          <w:lang w:bidi="en-US"/>
        </w:rPr>
      </w:pPr>
    </w:p>
    <w:p w14:paraId="19F1DF65" w14:textId="77777777" w:rsidR="001A1C4D" w:rsidRDefault="00626520" w:rsidP="008A73FE">
      <w:pPr>
        <w:rPr>
          <w:lang w:bidi="en-US"/>
        </w:rPr>
      </w:pPr>
      <w:r>
        <w:rPr>
          <w:lang w:bidi="en-US"/>
        </w:rPr>
        <w:t xml:space="preserve">The fact that rural districts face higher average </w:t>
      </w:r>
      <w:r w:rsidR="0092688C">
        <w:rPr>
          <w:lang w:bidi="en-US"/>
        </w:rPr>
        <w:t xml:space="preserve">per pupil </w:t>
      </w:r>
      <w:r>
        <w:rPr>
          <w:lang w:bidi="en-US"/>
        </w:rPr>
        <w:t>costs is not a surprise</w:t>
      </w:r>
      <w:r w:rsidR="00400D29">
        <w:rPr>
          <w:lang w:bidi="en-US"/>
        </w:rPr>
        <w:t xml:space="preserve"> given</w:t>
      </w:r>
      <w:r w:rsidR="0092688C">
        <w:rPr>
          <w:lang w:bidi="en-US"/>
        </w:rPr>
        <w:t xml:space="preserve"> historic spending levels</w:t>
      </w:r>
      <w:r w:rsidR="00400D29">
        <w:rPr>
          <w:lang w:bidi="en-US"/>
        </w:rPr>
        <w:t>.</w:t>
      </w:r>
      <w:r>
        <w:rPr>
          <w:lang w:bidi="en-US"/>
        </w:rPr>
        <w:t xml:space="preserve"> </w:t>
      </w:r>
      <w:r w:rsidR="00400D29">
        <w:rPr>
          <w:lang w:bidi="en-US"/>
        </w:rPr>
        <w:t>However,</w:t>
      </w:r>
      <w:r>
        <w:rPr>
          <w:lang w:bidi="en-US"/>
        </w:rPr>
        <w:t xml:space="preserve"> </w:t>
      </w:r>
      <w:r w:rsidR="0011775C">
        <w:rPr>
          <w:lang w:bidi="en-US"/>
        </w:rPr>
        <w:t xml:space="preserve">it appears that this difference is accelerating </w:t>
      </w:r>
      <w:r w:rsidR="00400D29">
        <w:rPr>
          <w:lang w:bidi="en-US"/>
        </w:rPr>
        <w:t xml:space="preserve">and that the acceleration is at least partially attributable to attempts by </w:t>
      </w:r>
      <w:r w:rsidR="0011775C">
        <w:rPr>
          <w:lang w:bidi="en-US"/>
        </w:rPr>
        <w:t xml:space="preserve">these districts to maintain </w:t>
      </w:r>
      <w:r w:rsidR="00400D29">
        <w:rPr>
          <w:lang w:bidi="en-US"/>
        </w:rPr>
        <w:t xml:space="preserve">staffing and </w:t>
      </w:r>
      <w:r w:rsidR="0011775C">
        <w:rPr>
          <w:lang w:bidi="en-US"/>
        </w:rPr>
        <w:t>service levels</w:t>
      </w:r>
      <w:r w:rsidR="00400D29">
        <w:rPr>
          <w:lang w:bidi="en-US"/>
        </w:rPr>
        <w:t xml:space="preserve"> as enrollment continues to decline</w:t>
      </w:r>
      <w:r w:rsidR="0011775C">
        <w:rPr>
          <w:lang w:bidi="en-US"/>
        </w:rPr>
        <w:t>.</w:t>
      </w:r>
      <w:r w:rsidR="00400D29">
        <w:rPr>
          <w:lang w:bidi="en-US"/>
        </w:rPr>
        <w:t xml:space="preserve"> </w:t>
      </w:r>
    </w:p>
    <w:p w14:paraId="6F13EA53" w14:textId="77777777" w:rsidR="007C44F3" w:rsidRDefault="007C44F3" w:rsidP="008A73FE">
      <w:pPr>
        <w:rPr>
          <w:lang w:bidi="en-US"/>
        </w:rPr>
        <w:sectPr w:rsidR="007C44F3" w:rsidSect="007102D5">
          <w:footerReference w:type="default" r:id="rId20"/>
          <w:pgSz w:w="12240" w:h="15840"/>
          <w:pgMar w:top="1440" w:right="1440" w:bottom="1440" w:left="1440" w:header="720" w:footer="720" w:gutter="0"/>
          <w:pgNumType w:start="1"/>
          <w:cols w:space="720"/>
          <w:docGrid w:linePitch="326"/>
        </w:sectPr>
      </w:pPr>
    </w:p>
    <w:p w14:paraId="6A115AAD" w14:textId="77777777" w:rsidR="008A73FE" w:rsidRDefault="009C033A" w:rsidP="008A73FE">
      <w:pPr>
        <w:rPr>
          <w:lang w:bidi="en-US"/>
        </w:rPr>
      </w:pPr>
      <w:r w:rsidRPr="009C033A">
        <w:rPr>
          <w:noProof/>
        </w:rPr>
        <w:lastRenderedPageBreak/>
        <w:drawing>
          <wp:inline distT="0" distB="0" distL="0" distR="0" wp14:anchorId="7A81B0DD" wp14:editId="5C6B0FAF">
            <wp:extent cx="8238744" cy="5029200"/>
            <wp:effectExtent l="0" t="0" r="0" b="0"/>
            <wp:docPr id="13" name="Chart 5" descr="Figure 5: Fiscal year 2008 per pupil spending by major functional category&#10;&#10;Administration                Rural 489&#10;Administration                All other 419&#10;Instructional leadership Rural 843&#10;Instructional leadership All other 799&#10;Teachers                               Rural 4,832&#10;Teachers                               All other 4,697&#10;Other teaching services Rural 1,099&#10;Other teaching services All other 872&#10;Professional development Rural 179&#10;Professional development All other 218&#10;Instructional materials Rural 435&#10;Instructional materials All other 359&#10;Guidance and psychology Rural 394&#10;Guidance and psychology All other 337&#10;Pupil services                Rural 1,366&#10;Pupil services                All other 1,122&#10;Operations and maintenance Rural 1,162&#10;Operations and maintenance All other 1,058&#10;Benefits and fixed costs Rural 2,009&#10;Benefits and fixed costs All other 2,071&#10;In-district per pupil                Rural 12,807&#10;In-district per pupil                All other 11,951&#10;Total per pupil                Rural 14,224&#10;Total per pupil                All other 13,13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D087AC" w14:textId="77777777" w:rsidR="00F60EED" w:rsidRDefault="00F60EED">
      <w:pPr>
        <w:rPr>
          <w:lang w:bidi="en-US"/>
        </w:rPr>
      </w:pPr>
      <w:r>
        <w:rPr>
          <w:lang w:bidi="en-US"/>
        </w:rPr>
        <w:br w:type="page"/>
      </w:r>
    </w:p>
    <w:p w14:paraId="78F1AFBE" w14:textId="77777777" w:rsidR="005F381F" w:rsidRDefault="006F5FB5">
      <w:pPr>
        <w:rPr>
          <w:lang w:bidi="en-US"/>
        </w:rPr>
      </w:pPr>
      <w:r w:rsidRPr="006F5FB5">
        <w:rPr>
          <w:noProof/>
        </w:rPr>
        <w:lastRenderedPageBreak/>
        <w:drawing>
          <wp:inline distT="0" distB="0" distL="0" distR="0" wp14:anchorId="1245A117" wp14:editId="1441B425">
            <wp:extent cx="8238744" cy="5029200"/>
            <wp:effectExtent l="0" t="0" r="0" b="0"/>
            <wp:docPr id="14" name="Chart 6" descr="Figure 6: Fiscal year 2016 per pupil spending by major functional category&#10;&#10;Administration                Rural 649&#10;Administration                All other 545&#10;Instructional leadership Rural 1,099&#10;Instructional leadership All other 1,011&#10;Teachers                               Rural 6,108&#10;Teachers                               All other 5,807&#10;Other teaching services Rural 1,484&#10;Other teaching services All other 1,230&#10;Professional development Rural 220&#10;Professional development All other 206&#10;Instructional materials Rural 480&#10;Instructional materials All other 466&#10;Guidance and psychology Rural 545&#10;Guidance and psychology All other 457&#10;Pupil services                Rural 1,824&#10;Pupil services                All other 1,486&#10;Operations and maintenance Rural 1,336&#10;Operations and maintenance All other 1,119&#10;Benefits and fixed costs Rural 3,027&#10;Benefits and fixed costs All other 2,599&#10;In-district per pupil                Rural 16,772&#10;In-district per pupil                All other 14,927&#10;Total per pupil                Rural 18,678&#10;Total per pupil                All other 16,6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EFF931" w14:textId="77777777" w:rsidR="00F60EED" w:rsidRDefault="00F60EED">
      <w:pPr>
        <w:rPr>
          <w:lang w:bidi="en-US"/>
        </w:rPr>
      </w:pPr>
      <w:r>
        <w:rPr>
          <w:lang w:bidi="en-US"/>
        </w:rPr>
        <w:br w:type="page"/>
      </w:r>
    </w:p>
    <w:p w14:paraId="1337BFAB" w14:textId="77777777" w:rsidR="00F60EED" w:rsidRDefault="00B47CD5">
      <w:pPr>
        <w:rPr>
          <w:lang w:bidi="en-US"/>
        </w:rPr>
      </w:pPr>
      <w:r w:rsidRPr="00B47CD5">
        <w:rPr>
          <w:noProof/>
        </w:rPr>
        <w:lastRenderedPageBreak/>
        <w:drawing>
          <wp:inline distT="0" distB="0" distL="0" distR="0" wp14:anchorId="37A8992D" wp14:editId="5A0933DB">
            <wp:extent cx="8238744" cy="5029200"/>
            <wp:effectExtent l="0" t="0" r="0" b="0"/>
            <wp:docPr id="15" name="Chart 7" descr="Figure 7: Change in per pupil spending by major functional category, fiscal years 2008-2016&#10;&#10;Administration                Rural 32.8%&#10;Administration                All other 30.1%&#10;Instructional leadership Rural 30.4%&#10;Instructional leadership All other 26.6%&#10;Teachers                               Rural 26.4%&#10;Teachers                               All other 23.7%&#10;Other teaching services Rural 35.1%&#10;Other teaching services All other 41.1%&#10;Professional development Rural 23.1%&#10;Professional development All other -5.2%&#10;Instructional materials Rural 10.5%&#10;Instructional materials All other 29.7%&#10;Guidance and psychology Rural 38.2%&#10;Guidance and psychology All other 35.4%&#10;Pupil services                Rural 33.5%&#10;Pupil services                All other 32.5%&#10;Operations and maintenance Rural 15.0%&#10;Operations and maintenance All other 5.8%&#10;Benefits and fixed costs Rural 50.7%&#10;Benefits and fixed costs All other 25.5%&#10;In-district per pupil                Rural 31.0%&#10;In-district per pupil                All other 24.9%&#10;Total per pupil                Rural 31.3%&#10;Total per pupil                All other 27.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C0C821" w14:textId="77777777" w:rsidR="00F60EED" w:rsidRDefault="00F60EED">
      <w:pPr>
        <w:rPr>
          <w:lang w:bidi="en-US"/>
        </w:rPr>
      </w:pPr>
    </w:p>
    <w:p w14:paraId="6ACA7EFD" w14:textId="77777777" w:rsidR="008879E1" w:rsidRDefault="008879E1" w:rsidP="008A73FE">
      <w:pPr>
        <w:rPr>
          <w:lang w:bidi="en-US"/>
        </w:rPr>
      </w:pPr>
    </w:p>
    <w:p w14:paraId="7576AA6A" w14:textId="77777777" w:rsidR="008879E1" w:rsidRDefault="008879E1" w:rsidP="008A73FE">
      <w:pPr>
        <w:rPr>
          <w:lang w:bidi="en-US"/>
        </w:rPr>
        <w:sectPr w:rsidR="008879E1" w:rsidSect="00FA4067">
          <w:footerReference w:type="default" r:id="rId24"/>
          <w:pgSz w:w="15840" w:h="12240" w:orient="landscape"/>
          <w:pgMar w:top="1440" w:right="1440" w:bottom="1440" w:left="1440" w:header="720" w:footer="720" w:gutter="0"/>
          <w:cols w:space="720"/>
          <w:docGrid w:linePitch="326"/>
        </w:sectPr>
      </w:pPr>
    </w:p>
    <w:p w14:paraId="6474A41C" w14:textId="77777777" w:rsidR="00086B36" w:rsidRDefault="00086B36" w:rsidP="00086B36">
      <w:pPr>
        <w:pStyle w:val="Heading1"/>
        <w:rPr>
          <w:lang w:bidi="en-US"/>
        </w:rPr>
      </w:pPr>
      <w:bookmarkStart w:id="4" w:name="_Toc503258030"/>
      <w:r>
        <w:rPr>
          <w:lang w:bidi="en-US"/>
        </w:rPr>
        <w:lastRenderedPageBreak/>
        <w:t>Transportation</w:t>
      </w:r>
      <w:r w:rsidR="00C37093">
        <w:rPr>
          <w:lang w:bidi="en-US"/>
        </w:rPr>
        <w:t xml:space="preserve"> spending</w:t>
      </w:r>
      <w:bookmarkEnd w:id="4"/>
    </w:p>
    <w:p w14:paraId="69C8ACE5" w14:textId="77777777" w:rsidR="0003059B" w:rsidRDefault="00C37093" w:rsidP="00086B36">
      <w:pPr>
        <w:rPr>
          <w:lang w:bidi="en-US"/>
        </w:rPr>
      </w:pPr>
      <w:r>
        <w:rPr>
          <w:lang w:bidi="en-US"/>
        </w:rPr>
        <w:t xml:space="preserve">One area that deserves particular attention is </w:t>
      </w:r>
      <w:r w:rsidR="006D7A3D">
        <w:rPr>
          <w:lang w:bidi="en-US"/>
        </w:rPr>
        <w:t xml:space="preserve">student </w:t>
      </w:r>
      <w:r>
        <w:rPr>
          <w:lang w:bidi="en-US"/>
        </w:rPr>
        <w:t xml:space="preserve">transportation. </w:t>
      </w:r>
      <w:r w:rsidR="00D54ABE">
        <w:rPr>
          <w:lang w:bidi="en-US"/>
        </w:rPr>
        <w:t>R</w:t>
      </w:r>
      <w:r w:rsidR="00086B36">
        <w:rPr>
          <w:lang w:bidi="en-US"/>
        </w:rPr>
        <w:t xml:space="preserve">ural school districts </w:t>
      </w:r>
      <w:r w:rsidR="00FB170C">
        <w:rPr>
          <w:lang w:bidi="en-US"/>
        </w:rPr>
        <w:t xml:space="preserve">face unique challenges </w:t>
      </w:r>
      <w:r w:rsidR="00D54ABE">
        <w:rPr>
          <w:lang w:bidi="en-US"/>
        </w:rPr>
        <w:t xml:space="preserve">in providing transportation </w:t>
      </w:r>
      <w:r w:rsidR="00FB170C">
        <w:rPr>
          <w:lang w:bidi="en-US"/>
        </w:rPr>
        <w:t xml:space="preserve">because they </w:t>
      </w:r>
      <w:r w:rsidR="00086B36">
        <w:rPr>
          <w:lang w:bidi="en-US"/>
        </w:rPr>
        <w:t>bus fewer students and, in the case of regional districts, transport them over longer distances</w:t>
      </w:r>
      <w:r w:rsidR="00A42973">
        <w:rPr>
          <w:lang w:bidi="en-US"/>
        </w:rPr>
        <w:t xml:space="preserve">, </w:t>
      </w:r>
      <w:r w:rsidR="0003059B">
        <w:rPr>
          <w:lang w:bidi="en-US"/>
        </w:rPr>
        <w:t>two factors that</w:t>
      </w:r>
      <w:r w:rsidR="00A42973">
        <w:rPr>
          <w:lang w:bidi="en-US"/>
        </w:rPr>
        <w:t xml:space="preserve"> </w:t>
      </w:r>
      <w:r w:rsidR="003252F9">
        <w:rPr>
          <w:lang w:bidi="en-US"/>
        </w:rPr>
        <w:t xml:space="preserve">increase </w:t>
      </w:r>
      <w:r w:rsidR="00A42973">
        <w:rPr>
          <w:lang w:bidi="en-US"/>
        </w:rPr>
        <w:t>their average costs</w:t>
      </w:r>
      <w:r w:rsidR="00086B36">
        <w:rPr>
          <w:lang w:bidi="en-US"/>
        </w:rPr>
        <w:t>.</w:t>
      </w:r>
      <w:r w:rsidR="00A42973">
        <w:rPr>
          <w:lang w:bidi="en-US"/>
        </w:rPr>
        <w:t xml:space="preserve"> </w:t>
      </w:r>
      <w:r w:rsidR="00D54ABE">
        <w:rPr>
          <w:lang w:bidi="en-US"/>
        </w:rPr>
        <w:t>Moreover, s</w:t>
      </w:r>
      <w:r w:rsidR="00A42973">
        <w:rPr>
          <w:lang w:bidi="en-US"/>
        </w:rPr>
        <w:t xml:space="preserve">tate law requires </w:t>
      </w:r>
      <w:r w:rsidR="00C535E5">
        <w:rPr>
          <w:lang w:bidi="en-US"/>
        </w:rPr>
        <w:t xml:space="preserve">that </w:t>
      </w:r>
      <w:r w:rsidR="00A42973">
        <w:rPr>
          <w:lang w:bidi="en-US"/>
        </w:rPr>
        <w:t xml:space="preserve">regional school districts provide free transportation for students </w:t>
      </w:r>
      <w:r w:rsidR="0003059B">
        <w:rPr>
          <w:lang w:bidi="en-US"/>
        </w:rPr>
        <w:t xml:space="preserve">in grades K–12 </w:t>
      </w:r>
      <w:r w:rsidR="00A42973">
        <w:rPr>
          <w:lang w:bidi="en-US"/>
        </w:rPr>
        <w:t xml:space="preserve">who live more than </w:t>
      </w:r>
      <w:r w:rsidR="007572BC">
        <w:rPr>
          <w:lang w:bidi="en-US"/>
        </w:rPr>
        <w:t>2</w:t>
      </w:r>
      <w:r w:rsidR="0003059B">
        <w:rPr>
          <w:lang w:bidi="en-US"/>
        </w:rPr>
        <w:t xml:space="preserve"> miles from school</w:t>
      </w:r>
      <w:r w:rsidR="00D54ABE">
        <w:rPr>
          <w:lang w:bidi="en-US"/>
        </w:rPr>
        <w:t>, while m</w:t>
      </w:r>
      <w:r w:rsidR="00C535E5">
        <w:rPr>
          <w:lang w:bidi="en-US"/>
        </w:rPr>
        <w:t xml:space="preserve">unicipal districts are only required to transport students in grades K–6 who </w:t>
      </w:r>
      <w:r w:rsidR="005A14B4">
        <w:rPr>
          <w:lang w:bidi="en-US"/>
        </w:rPr>
        <w:t xml:space="preserve">live </w:t>
      </w:r>
      <w:r w:rsidR="007572BC">
        <w:rPr>
          <w:lang w:bidi="en-US"/>
        </w:rPr>
        <w:t>beyond this limit</w:t>
      </w:r>
      <w:r w:rsidR="00D54ABE">
        <w:rPr>
          <w:lang w:bidi="en-US"/>
        </w:rPr>
        <w:t>.</w:t>
      </w:r>
      <w:r w:rsidR="00086B36">
        <w:rPr>
          <w:lang w:bidi="en-US"/>
        </w:rPr>
        <w:t xml:space="preserve"> </w:t>
      </w:r>
    </w:p>
    <w:p w14:paraId="529DCE84" w14:textId="77777777" w:rsidR="0003059B" w:rsidRDefault="0003059B" w:rsidP="00086B36">
      <w:pPr>
        <w:rPr>
          <w:lang w:bidi="en-US"/>
        </w:rPr>
      </w:pPr>
    </w:p>
    <w:p w14:paraId="0B088B6D" w14:textId="77777777" w:rsidR="00086B36" w:rsidRDefault="00086B36" w:rsidP="00086B36">
      <w:pPr>
        <w:rPr>
          <w:lang w:bidi="en-US"/>
        </w:rPr>
      </w:pPr>
      <w:r>
        <w:rPr>
          <w:lang w:bidi="en-US"/>
        </w:rPr>
        <w:t xml:space="preserve">Figure </w:t>
      </w:r>
      <w:r w:rsidR="00290842">
        <w:rPr>
          <w:lang w:bidi="en-US"/>
        </w:rPr>
        <w:t>7</w:t>
      </w:r>
      <w:r>
        <w:rPr>
          <w:lang w:bidi="en-US"/>
        </w:rPr>
        <w:t xml:space="preserve"> shows average per pupil transportation costs for rural districts and all other districts. Between 2008 and 2016, per pupil spending grew from $643 per pupil</w:t>
      </w:r>
      <w:r w:rsidR="005A14B4">
        <w:rPr>
          <w:lang w:bidi="en-US"/>
        </w:rPr>
        <w:t xml:space="preserve"> in rural districts</w:t>
      </w:r>
      <w:r>
        <w:rPr>
          <w:lang w:bidi="en-US"/>
        </w:rPr>
        <w:t xml:space="preserve"> to $878 per pupil, an increase of 36 percent. Across the rest of the state, per pupil spending grew </w:t>
      </w:r>
      <w:r w:rsidR="00D47972">
        <w:rPr>
          <w:lang w:bidi="en-US"/>
        </w:rPr>
        <w:t>at</w:t>
      </w:r>
      <w:r>
        <w:rPr>
          <w:lang w:bidi="en-US"/>
        </w:rPr>
        <w:t xml:space="preserve"> the same rate, but from a</w:t>
      </w:r>
      <w:r w:rsidR="00FB170C">
        <w:rPr>
          <w:lang w:bidi="en-US"/>
        </w:rPr>
        <w:t xml:space="preserve"> </w:t>
      </w:r>
      <w:r w:rsidR="00C37093">
        <w:rPr>
          <w:lang w:bidi="en-US"/>
        </w:rPr>
        <w:t>lower base</w:t>
      </w:r>
      <w:r>
        <w:rPr>
          <w:lang w:bidi="en-US"/>
        </w:rPr>
        <w:t xml:space="preserve">, </w:t>
      </w:r>
      <w:r w:rsidR="00C37093">
        <w:rPr>
          <w:lang w:bidi="en-US"/>
        </w:rPr>
        <w:t xml:space="preserve">increasing from </w:t>
      </w:r>
      <w:r>
        <w:rPr>
          <w:lang w:bidi="en-US"/>
        </w:rPr>
        <w:t xml:space="preserve">$431 per pupil to $587 per pupil. Rural districts are </w:t>
      </w:r>
      <w:r w:rsidR="005A14B4">
        <w:rPr>
          <w:lang w:bidi="en-US"/>
        </w:rPr>
        <w:t xml:space="preserve">now </w:t>
      </w:r>
      <w:r>
        <w:rPr>
          <w:lang w:bidi="en-US"/>
        </w:rPr>
        <w:t xml:space="preserve">spending close to 50 percent more per pupil to transport students than other districts in the </w:t>
      </w:r>
      <w:r w:rsidR="0003059B">
        <w:rPr>
          <w:lang w:bidi="en-US"/>
        </w:rPr>
        <w:t>state</w:t>
      </w:r>
      <w:r>
        <w:rPr>
          <w:lang w:bidi="en-US"/>
        </w:rPr>
        <w:t>.</w:t>
      </w:r>
    </w:p>
    <w:p w14:paraId="61D99688" w14:textId="77777777" w:rsidR="00086B36" w:rsidRDefault="00086B36" w:rsidP="00086B36">
      <w:pPr>
        <w:rPr>
          <w:lang w:bidi="en-US"/>
        </w:rPr>
      </w:pPr>
    </w:p>
    <w:p w14:paraId="7370D99D" w14:textId="77777777" w:rsidR="00086B36" w:rsidRDefault="00843E35" w:rsidP="00086B36">
      <w:pPr>
        <w:rPr>
          <w:lang w:bidi="en-US"/>
        </w:rPr>
      </w:pPr>
      <w:r w:rsidRPr="00A51465">
        <w:rPr>
          <w:lang w:bidi="en-US"/>
        </w:rPr>
        <w:t xml:space="preserve">The Commonwealth reimburses regional school districts for the cost of transporting </w:t>
      </w:r>
      <w:r w:rsidR="00D47972" w:rsidRPr="00A51465">
        <w:rPr>
          <w:lang w:bidi="en-US"/>
        </w:rPr>
        <w:t xml:space="preserve">students </w:t>
      </w:r>
      <w:r w:rsidRPr="00A51465">
        <w:rPr>
          <w:lang w:bidi="en-US"/>
        </w:rPr>
        <w:t>who live more than 1.5 miles from school</w:t>
      </w:r>
      <w:r w:rsidR="00D47972" w:rsidRPr="00A51465">
        <w:rPr>
          <w:lang w:bidi="en-US"/>
        </w:rPr>
        <w:t>.</w:t>
      </w:r>
      <w:r w:rsidRPr="00A51465">
        <w:rPr>
          <w:lang w:bidi="en-US"/>
        </w:rPr>
        <w:t xml:space="preserve"> In fiscal year 2017, regional districts were reimbursed for 73.4 percent </w:t>
      </w:r>
      <w:r w:rsidR="005A14B4">
        <w:rPr>
          <w:lang w:bidi="en-US"/>
        </w:rPr>
        <w:t>of the cost of transporting these students</w:t>
      </w:r>
      <w:r w:rsidRPr="00A51465">
        <w:rPr>
          <w:lang w:bidi="en-US"/>
        </w:rPr>
        <w:t xml:space="preserve">, which amounted to $59.7 million in total reimbursements. </w:t>
      </w:r>
      <w:r w:rsidR="00A51465" w:rsidRPr="00A51465">
        <w:rPr>
          <w:lang w:bidi="en-US"/>
        </w:rPr>
        <w:t>In the past,</w:t>
      </w:r>
      <w:r w:rsidRPr="00A51465">
        <w:rPr>
          <w:lang w:bidi="en-US"/>
        </w:rPr>
        <w:t xml:space="preserve"> municipal districts received transportation reimbursements as well, but</w:t>
      </w:r>
      <w:r w:rsidR="00A51465" w:rsidRPr="00A51465">
        <w:rPr>
          <w:lang w:bidi="en-US"/>
        </w:rPr>
        <w:t xml:space="preserve"> </w:t>
      </w:r>
      <w:r w:rsidR="005A14B4">
        <w:rPr>
          <w:lang w:bidi="en-US"/>
        </w:rPr>
        <w:t>this</w:t>
      </w:r>
      <w:r w:rsidR="00A51465" w:rsidRPr="00A51465">
        <w:rPr>
          <w:lang w:bidi="en-US"/>
        </w:rPr>
        <w:t xml:space="preserve"> </w:t>
      </w:r>
      <w:r w:rsidRPr="00A51465">
        <w:rPr>
          <w:lang w:bidi="en-US"/>
        </w:rPr>
        <w:t xml:space="preserve">funding was </w:t>
      </w:r>
      <w:r w:rsidR="00A51465" w:rsidRPr="00A51465">
        <w:rPr>
          <w:lang w:bidi="en-US"/>
        </w:rPr>
        <w:t xml:space="preserve">eliminated </w:t>
      </w:r>
      <w:r w:rsidRPr="00A51465">
        <w:rPr>
          <w:lang w:bidi="en-US"/>
        </w:rPr>
        <w:t>in</w:t>
      </w:r>
      <w:r w:rsidR="00A51465" w:rsidRPr="00A51465">
        <w:rPr>
          <w:lang w:bidi="en-US"/>
        </w:rPr>
        <w:t xml:space="preserve"> fiscal year 2004</w:t>
      </w:r>
      <w:r w:rsidRPr="00A51465">
        <w:rPr>
          <w:lang w:bidi="en-US"/>
        </w:rPr>
        <w:t xml:space="preserve">. </w:t>
      </w:r>
      <w:r w:rsidR="00A51465" w:rsidRPr="00A51465">
        <w:rPr>
          <w:lang w:bidi="en-US"/>
        </w:rPr>
        <w:t>This means that</w:t>
      </w:r>
      <w:r w:rsidR="00D47972" w:rsidRPr="00A51465">
        <w:rPr>
          <w:lang w:bidi="en-US"/>
        </w:rPr>
        <w:t xml:space="preserve"> </w:t>
      </w:r>
      <w:r w:rsidR="00A51465" w:rsidRPr="00A51465">
        <w:rPr>
          <w:lang w:bidi="en-US"/>
        </w:rPr>
        <w:t xml:space="preserve">the </w:t>
      </w:r>
      <w:r w:rsidR="00D47972" w:rsidRPr="00A51465">
        <w:rPr>
          <w:lang w:bidi="en-US"/>
        </w:rPr>
        <w:t xml:space="preserve">32 </w:t>
      </w:r>
      <w:r w:rsidR="00A51465" w:rsidRPr="00A51465">
        <w:rPr>
          <w:lang w:bidi="en-US"/>
        </w:rPr>
        <w:t xml:space="preserve">municipal districts </w:t>
      </w:r>
      <w:r w:rsidR="00D47972" w:rsidRPr="00A51465">
        <w:rPr>
          <w:lang w:bidi="en-US"/>
        </w:rPr>
        <w:t>included in this study are not eligible for reimbursement.</w:t>
      </w:r>
      <w:r w:rsidRPr="00A51465">
        <w:rPr>
          <w:lang w:bidi="en-US"/>
        </w:rPr>
        <w:t xml:space="preserve"> </w:t>
      </w:r>
      <w:r w:rsidR="00A51465">
        <w:rPr>
          <w:lang w:bidi="en-US"/>
        </w:rPr>
        <w:t>This topic is addressed further in the future directions section.</w:t>
      </w:r>
    </w:p>
    <w:p w14:paraId="4B593FB0" w14:textId="77777777" w:rsidR="00086B36" w:rsidRPr="00B20A5D" w:rsidRDefault="00B47CD5" w:rsidP="00086B36">
      <w:pPr>
        <w:jc w:val="center"/>
        <w:rPr>
          <w:lang w:bidi="en-US"/>
        </w:rPr>
      </w:pPr>
      <w:r w:rsidRPr="00B47CD5">
        <w:rPr>
          <w:noProof/>
        </w:rPr>
        <w:drawing>
          <wp:inline distT="0" distB="0" distL="0" distR="0" wp14:anchorId="2E17309A" wp14:editId="4AB047D4">
            <wp:extent cx="4213860" cy="3108960"/>
            <wp:effectExtent l="0" t="0" r="0" b="0"/>
            <wp:docPr id="16" name="Chart 8" descr="Figure 8: In-district transportation spending per pupil&#10;&#10; Rural All other districts&#10;2008 643 431&#10;2009 668 456&#10;2010 656 445&#10;2011 677 462&#10;2012 721 475&#10;2013 746 497&#10;2014 785 541&#10;2015 828 566&#10;2016 878 5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ED3341" w14:textId="77777777" w:rsidR="00741A9A" w:rsidRPr="00741A9A" w:rsidRDefault="00741A9A" w:rsidP="008A73FE">
      <w:pPr>
        <w:pStyle w:val="Heading1"/>
        <w:rPr>
          <w:lang w:bidi="en-US"/>
        </w:rPr>
      </w:pPr>
      <w:bookmarkStart w:id="5" w:name="_Toc503258031"/>
      <w:r w:rsidRPr="00741A9A">
        <w:rPr>
          <w:lang w:bidi="en-US"/>
        </w:rPr>
        <w:t xml:space="preserve">Local </w:t>
      </w:r>
      <w:r w:rsidR="00870632">
        <w:rPr>
          <w:lang w:bidi="en-US"/>
        </w:rPr>
        <w:t>a</w:t>
      </w:r>
      <w:r w:rsidRPr="00741A9A">
        <w:rPr>
          <w:lang w:bidi="en-US"/>
        </w:rPr>
        <w:t>id</w:t>
      </w:r>
      <w:bookmarkEnd w:id="5"/>
    </w:p>
    <w:p w14:paraId="5BD4292A" w14:textId="77777777" w:rsidR="00041BC2" w:rsidRDefault="009314B4" w:rsidP="00041BC2">
      <w:r>
        <w:t xml:space="preserve">Massachusetts distributes education aid to public school districts through the Chapter 70 formula. </w:t>
      </w:r>
      <w:r w:rsidR="00041BC2">
        <w:t xml:space="preserve">Chapter 70’s purpose is to ensure that every district has sufficient resources to meet its </w:t>
      </w:r>
      <w:r w:rsidR="00041BC2">
        <w:lastRenderedPageBreak/>
        <w:t>foundation budget spending level through an equitable combination of local property taxes and state</w:t>
      </w:r>
      <w:r w:rsidR="00486AF0">
        <w:t xml:space="preserve"> aid</w:t>
      </w:r>
      <w:r w:rsidR="00041BC2">
        <w:t>. Data used in the Chapter 70 formula is updated annually in order to keep pace with changing local conditions.</w:t>
      </w:r>
      <w:r w:rsidR="00B82957">
        <w:t xml:space="preserve"> While enrollment declines have impacted foundation budget growth in rural districts</w:t>
      </w:r>
      <w:r w:rsidR="009B4FB5">
        <w:t xml:space="preserve"> over the last decade</w:t>
      </w:r>
      <w:r w:rsidR="00B82957">
        <w:t>, there are other factors in the formula, including average salary assumptions</w:t>
      </w:r>
      <w:r w:rsidR="00506F13">
        <w:t>, the wage adjustment factor (WAF),</w:t>
      </w:r>
      <w:r w:rsidR="00B82957">
        <w:t xml:space="preserve"> and hold harmless aid, that </w:t>
      </w:r>
      <w:r w:rsidR="00506F13">
        <w:t>are supporting spending levels in these districts.</w:t>
      </w:r>
    </w:p>
    <w:p w14:paraId="753C2751" w14:textId="77777777" w:rsidR="00A83ACB" w:rsidRDefault="00A83ACB" w:rsidP="00041BC2"/>
    <w:p w14:paraId="1FBD4052" w14:textId="77777777" w:rsidR="00041BC2" w:rsidRDefault="00041BC2" w:rsidP="00041BC2">
      <w:r>
        <w:t>The foundation budget is based on a district’s enrollment multiplied by a set of inflation-adjusted rates and further adjusted by a wage factor.</w:t>
      </w:r>
      <w:r>
        <w:rPr>
          <w:rStyle w:val="FootnoteReference"/>
        </w:rPr>
        <w:footnoteReference w:id="6"/>
      </w:r>
      <w:r>
        <w:t xml:space="preserve"> From 2008 to 2017, the statewide foundation budget grew from $8.320 billion to $10.121 billion, </w:t>
      </w:r>
      <w:r w:rsidR="009314B4">
        <w:t xml:space="preserve">a </w:t>
      </w:r>
      <w:r>
        <w:t>22 percent</w:t>
      </w:r>
      <w:r w:rsidR="009314B4">
        <w:t xml:space="preserve"> increase</w:t>
      </w:r>
      <w:r>
        <w:t>. Rural district foundation budget</w:t>
      </w:r>
      <w:r w:rsidR="009314B4">
        <w:t>s</w:t>
      </w:r>
      <w:r w:rsidR="00486AF0">
        <w:t>, however,</w:t>
      </w:r>
      <w:r>
        <w:t xml:space="preserve"> </w:t>
      </w:r>
      <w:r w:rsidR="00A83ACB">
        <w:t xml:space="preserve">only </w:t>
      </w:r>
      <w:r>
        <w:t>gr</w:t>
      </w:r>
      <w:r w:rsidR="009314B4">
        <w:t>e</w:t>
      </w:r>
      <w:r w:rsidR="00A83ACB">
        <w:t xml:space="preserve">w by 4 percent </w:t>
      </w:r>
      <w:r w:rsidR="009314B4">
        <w:t>over this period</w:t>
      </w:r>
      <w:r>
        <w:t xml:space="preserve">, from $243 million to $254 million. </w:t>
      </w:r>
      <w:r w:rsidRPr="00CB14E7">
        <w:t>Foundation enrollment is a key factor in determining a school district’s foundation budget and Chapter 70 state education aid.</w:t>
      </w:r>
      <w:r>
        <w:t xml:space="preserve"> </w:t>
      </w:r>
    </w:p>
    <w:p w14:paraId="3A5940DD" w14:textId="77777777" w:rsidR="00041BC2" w:rsidRDefault="00041BC2" w:rsidP="00041BC2"/>
    <w:p w14:paraId="0D1A252C" w14:textId="77777777" w:rsidR="006C4BD9" w:rsidRDefault="006C4BD9" w:rsidP="006C4BD9">
      <w:r w:rsidRPr="009A71B8">
        <w:t xml:space="preserve">Foundation enrollment relies on a count of the students </w:t>
      </w:r>
      <w:r w:rsidR="009B4FB5">
        <w:t>that</w:t>
      </w:r>
      <w:r w:rsidRPr="009A71B8">
        <w:t xml:space="preserve"> a school district is financially responsible </w:t>
      </w:r>
      <w:r w:rsidR="009B4FB5">
        <w:t xml:space="preserve">for </w:t>
      </w:r>
      <w:r w:rsidRPr="009A71B8">
        <w:t>on October 1st of any given year.</w:t>
      </w:r>
      <w:r>
        <w:t xml:space="preserve"> </w:t>
      </w:r>
      <w:r w:rsidRPr="009A71B8">
        <w:t>Enrollment plays an important role not just because of the total</w:t>
      </w:r>
      <w:r>
        <w:t xml:space="preserve"> </w:t>
      </w:r>
      <w:r w:rsidRPr="009A71B8">
        <w:t>number of pupils, but also because there are differences in the costs associated with various educational programs, grade levels, and student needs.</w:t>
      </w:r>
      <w:r>
        <w:t xml:space="preserve"> While statewide foundation enrollment growth </w:t>
      </w:r>
      <w:r w:rsidR="009B4FB5">
        <w:t>was</w:t>
      </w:r>
      <w:r>
        <w:t xml:space="preserve"> flat over the last decade, it declined by 16 percent </w:t>
      </w:r>
      <w:r w:rsidR="006514DB">
        <w:t xml:space="preserve">on average </w:t>
      </w:r>
      <w:r>
        <w:t>in rural districts</w:t>
      </w:r>
      <w:r w:rsidR="006514DB">
        <w:t xml:space="preserve"> and in some </w:t>
      </w:r>
      <w:r w:rsidR="00506F13">
        <w:t>cases it</w:t>
      </w:r>
      <w:r w:rsidR="006514DB">
        <w:t xml:space="preserve"> declined by </w:t>
      </w:r>
      <w:r w:rsidR="00506F13">
        <w:t>more than 40 percent</w:t>
      </w:r>
      <w:r w:rsidR="009B4FB5">
        <w:t xml:space="preserve">, see </w:t>
      </w:r>
      <w:r w:rsidR="00B1372C">
        <w:t>T</w:t>
      </w:r>
      <w:r w:rsidR="009B4FB5">
        <w:t>able 1</w:t>
      </w:r>
      <w:r w:rsidR="00506F13">
        <w:t>.</w:t>
      </w:r>
    </w:p>
    <w:p w14:paraId="3F10B604" w14:textId="77777777" w:rsidR="00A161D4" w:rsidRDefault="00A161D4" w:rsidP="006C4BD9"/>
    <w:tbl>
      <w:tblPr>
        <w:tblStyle w:val="ESETablesOpenStyle"/>
        <w:tblW w:w="0" w:type="auto"/>
        <w:jc w:val="center"/>
        <w:tblLook w:val="04A0" w:firstRow="1" w:lastRow="0" w:firstColumn="1" w:lastColumn="0" w:noHBand="0" w:noVBand="1"/>
      </w:tblPr>
      <w:tblGrid>
        <w:gridCol w:w="3390"/>
        <w:gridCol w:w="1473"/>
        <w:gridCol w:w="1473"/>
        <w:gridCol w:w="2098"/>
      </w:tblGrid>
      <w:tr w:rsidR="00A161D4" w:rsidRPr="00A161D4" w14:paraId="137E10EE" w14:textId="77777777" w:rsidTr="009313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nil"/>
              <w:bottom w:val="single" w:sz="12" w:space="0" w:color="auto"/>
            </w:tcBorders>
          </w:tcPr>
          <w:p w14:paraId="7F2397A8" w14:textId="77777777" w:rsidR="00495B7E" w:rsidRPr="006A0F91" w:rsidRDefault="00430DC6">
            <w:pPr>
              <w:rPr>
                <w:rFonts w:asciiTheme="minorHAnsi" w:hAnsiTheme="minorHAnsi"/>
                <w:b w:val="0"/>
                <w:bCs/>
                <w:sz w:val="28"/>
                <w:szCs w:val="28"/>
              </w:rPr>
            </w:pPr>
            <w:r w:rsidRPr="00430DC6">
              <w:rPr>
                <w:rFonts w:asciiTheme="minorHAnsi" w:hAnsiTheme="minorHAnsi"/>
                <w:sz w:val="28"/>
                <w:szCs w:val="28"/>
              </w:rPr>
              <w:t>Table 1: Rural districts with the largest foundation enrollment declines</w:t>
            </w:r>
          </w:p>
        </w:tc>
      </w:tr>
      <w:tr w:rsidR="00A161D4" w:rsidRPr="00A161D4" w14:paraId="20D7ACF1" w14:textId="77777777" w:rsidTr="00870632">
        <w:trPr>
          <w:trHeight w:val="64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tcPr>
          <w:p w14:paraId="665C288A" w14:textId="77777777" w:rsidR="00A161D4" w:rsidRPr="00A161D4" w:rsidRDefault="00A161D4" w:rsidP="00041BC2">
            <w:pPr>
              <w:keepNext/>
              <w:spacing w:before="240" w:after="60"/>
              <w:outlineLvl w:val="3"/>
              <w:rPr>
                <w:rFonts w:asciiTheme="minorHAnsi" w:hAnsiTheme="minorHAnsi"/>
              </w:rPr>
            </w:pPr>
            <w:r>
              <w:rPr>
                <w:rFonts w:asciiTheme="minorHAnsi" w:hAnsiTheme="minorHAnsi"/>
              </w:rPr>
              <w:t>District</w:t>
            </w:r>
          </w:p>
        </w:tc>
        <w:tc>
          <w:tcPr>
            <w:tcW w:w="0" w:type="auto"/>
            <w:tcBorders>
              <w:top w:val="single" w:sz="12" w:space="0" w:color="auto"/>
              <w:bottom w:val="single" w:sz="4" w:space="0" w:color="auto"/>
            </w:tcBorders>
          </w:tcPr>
          <w:p w14:paraId="788C2B2B" w14:textId="77777777" w:rsidR="00A161D4" w:rsidRDefault="00A161D4" w:rsidP="00041BC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FY08</w:t>
            </w:r>
          </w:p>
        </w:tc>
        <w:tc>
          <w:tcPr>
            <w:tcW w:w="0" w:type="auto"/>
            <w:tcBorders>
              <w:top w:val="single" w:sz="12" w:space="0" w:color="auto"/>
              <w:bottom w:val="single" w:sz="4" w:space="0" w:color="auto"/>
            </w:tcBorders>
          </w:tcPr>
          <w:p w14:paraId="3461062F" w14:textId="77777777" w:rsidR="00A161D4" w:rsidRDefault="00A161D4" w:rsidP="00041BC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FY1</w:t>
            </w:r>
            <w:r w:rsidR="000F1277">
              <w:rPr>
                <w:rFonts w:asciiTheme="minorHAnsi" w:hAnsiTheme="minorHAnsi"/>
              </w:rPr>
              <w:t>7</w:t>
            </w:r>
          </w:p>
        </w:tc>
        <w:tc>
          <w:tcPr>
            <w:tcW w:w="0" w:type="auto"/>
            <w:tcBorders>
              <w:top w:val="single" w:sz="12" w:space="0" w:color="auto"/>
              <w:bottom w:val="single" w:sz="4" w:space="0" w:color="auto"/>
            </w:tcBorders>
          </w:tcPr>
          <w:p w14:paraId="093712C4" w14:textId="77777777" w:rsidR="00495B7E" w:rsidRDefault="00A161D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9D6108">
              <w:rPr>
                <w:rFonts w:asciiTheme="minorHAnsi" w:hAnsiTheme="minorHAnsi"/>
              </w:rPr>
              <w:t xml:space="preserve"> Change</w:t>
            </w:r>
          </w:p>
        </w:tc>
      </w:tr>
      <w:tr w:rsidR="000F1277" w:rsidRPr="00A161D4" w14:paraId="26FA80CA"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top"/>
          </w:tcPr>
          <w:p w14:paraId="0D1254D3" w14:textId="77777777" w:rsidR="000F1277" w:rsidRPr="000F1277" w:rsidRDefault="000F1277" w:rsidP="00041BC2">
            <w:pPr>
              <w:rPr>
                <w:rFonts w:asciiTheme="minorHAnsi" w:hAnsiTheme="minorHAnsi"/>
                <w:szCs w:val="22"/>
              </w:rPr>
            </w:pPr>
            <w:r w:rsidRPr="000F1277">
              <w:rPr>
                <w:rFonts w:asciiTheme="minorHAnsi" w:hAnsiTheme="minorHAnsi"/>
              </w:rPr>
              <w:t>Petersham</w:t>
            </w:r>
          </w:p>
        </w:tc>
        <w:tc>
          <w:tcPr>
            <w:tcW w:w="0" w:type="auto"/>
            <w:tcBorders>
              <w:top w:val="single" w:sz="4" w:space="0" w:color="auto"/>
            </w:tcBorders>
            <w:vAlign w:val="top"/>
          </w:tcPr>
          <w:p w14:paraId="134CC9C5"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119 </w:t>
            </w:r>
          </w:p>
        </w:tc>
        <w:tc>
          <w:tcPr>
            <w:tcW w:w="0" w:type="auto"/>
            <w:tcBorders>
              <w:top w:val="single" w:sz="4" w:space="0" w:color="auto"/>
            </w:tcBorders>
            <w:vAlign w:val="top"/>
          </w:tcPr>
          <w:p w14:paraId="03E53701"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63 </w:t>
            </w:r>
          </w:p>
        </w:tc>
        <w:tc>
          <w:tcPr>
            <w:tcW w:w="0" w:type="auto"/>
            <w:tcBorders>
              <w:top w:val="single" w:sz="4" w:space="0" w:color="auto"/>
            </w:tcBorders>
            <w:vAlign w:val="top"/>
          </w:tcPr>
          <w:p w14:paraId="0B7BC9D4"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-47.1%</w:t>
            </w:r>
          </w:p>
        </w:tc>
      </w:tr>
      <w:tr w:rsidR="000F1277" w:rsidRPr="00A161D4" w14:paraId="10E8946E"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732B96C1" w14:textId="77777777" w:rsidR="000F1277" w:rsidRPr="000F1277" w:rsidRDefault="000F1277" w:rsidP="00041BC2">
            <w:pPr>
              <w:rPr>
                <w:rFonts w:asciiTheme="minorHAnsi" w:hAnsiTheme="minorHAnsi"/>
                <w:szCs w:val="22"/>
              </w:rPr>
            </w:pPr>
            <w:r w:rsidRPr="000F1277">
              <w:rPr>
                <w:rFonts w:asciiTheme="minorHAnsi" w:hAnsiTheme="minorHAnsi"/>
              </w:rPr>
              <w:t>Richmond</w:t>
            </w:r>
          </w:p>
        </w:tc>
        <w:tc>
          <w:tcPr>
            <w:tcW w:w="0" w:type="auto"/>
            <w:vAlign w:val="top"/>
          </w:tcPr>
          <w:p w14:paraId="6A434DFE"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213 </w:t>
            </w:r>
          </w:p>
        </w:tc>
        <w:tc>
          <w:tcPr>
            <w:tcW w:w="0" w:type="auto"/>
            <w:vAlign w:val="top"/>
          </w:tcPr>
          <w:p w14:paraId="3313E80F"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119 </w:t>
            </w:r>
          </w:p>
        </w:tc>
        <w:tc>
          <w:tcPr>
            <w:tcW w:w="0" w:type="auto"/>
            <w:vAlign w:val="top"/>
          </w:tcPr>
          <w:p w14:paraId="1DBA58AD"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-44.1%</w:t>
            </w:r>
          </w:p>
        </w:tc>
      </w:tr>
      <w:tr w:rsidR="000F1277" w:rsidRPr="00A161D4" w14:paraId="3B3256B6"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4593008D" w14:textId="77777777" w:rsidR="000F1277" w:rsidRPr="000F1277" w:rsidRDefault="000F1277" w:rsidP="00041BC2">
            <w:pPr>
              <w:rPr>
                <w:rFonts w:asciiTheme="minorHAnsi" w:hAnsiTheme="minorHAnsi"/>
                <w:szCs w:val="22"/>
              </w:rPr>
            </w:pPr>
            <w:r w:rsidRPr="000F1277">
              <w:rPr>
                <w:rFonts w:asciiTheme="minorHAnsi" w:hAnsiTheme="minorHAnsi"/>
              </w:rPr>
              <w:t>Clarksburg</w:t>
            </w:r>
          </w:p>
        </w:tc>
        <w:tc>
          <w:tcPr>
            <w:tcW w:w="0" w:type="auto"/>
            <w:vAlign w:val="top"/>
          </w:tcPr>
          <w:p w14:paraId="3388EABA"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272 </w:t>
            </w:r>
          </w:p>
        </w:tc>
        <w:tc>
          <w:tcPr>
            <w:tcW w:w="0" w:type="auto"/>
            <w:vAlign w:val="top"/>
          </w:tcPr>
          <w:p w14:paraId="26A1C2AE"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175 </w:t>
            </w:r>
          </w:p>
        </w:tc>
        <w:tc>
          <w:tcPr>
            <w:tcW w:w="0" w:type="auto"/>
            <w:vAlign w:val="top"/>
          </w:tcPr>
          <w:p w14:paraId="26B65046"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-35.7%</w:t>
            </w:r>
          </w:p>
        </w:tc>
      </w:tr>
      <w:tr w:rsidR="000F1277" w:rsidRPr="00A161D4" w14:paraId="647A798F"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15355052" w14:textId="77777777" w:rsidR="000F1277" w:rsidRPr="000F1277" w:rsidRDefault="000F1277" w:rsidP="00041BC2">
            <w:pPr>
              <w:rPr>
                <w:rFonts w:asciiTheme="minorHAnsi" w:hAnsiTheme="minorHAnsi"/>
                <w:szCs w:val="22"/>
              </w:rPr>
            </w:pPr>
            <w:r w:rsidRPr="000F1277">
              <w:rPr>
                <w:rFonts w:asciiTheme="minorHAnsi" w:hAnsiTheme="minorHAnsi"/>
              </w:rPr>
              <w:t>Gateway</w:t>
            </w:r>
          </w:p>
        </w:tc>
        <w:tc>
          <w:tcPr>
            <w:tcW w:w="0" w:type="auto"/>
            <w:vAlign w:val="top"/>
          </w:tcPr>
          <w:p w14:paraId="39572937"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1,356 </w:t>
            </w:r>
          </w:p>
        </w:tc>
        <w:tc>
          <w:tcPr>
            <w:tcW w:w="0" w:type="auto"/>
            <w:vAlign w:val="top"/>
          </w:tcPr>
          <w:p w14:paraId="5FD4EB23"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893 </w:t>
            </w:r>
          </w:p>
        </w:tc>
        <w:tc>
          <w:tcPr>
            <w:tcW w:w="0" w:type="auto"/>
            <w:vAlign w:val="top"/>
          </w:tcPr>
          <w:p w14:paraId="064D747C"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-34.1%</w:t>
            </w:r>
          </w:p>
        </w:tc>
      </w:tr>
      <w:tr w:rsidR="000F1277" w:rsidRPr="00A161D4" w14:paraId="48FA4EC8"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49964BD9" w14:textId="77777777" w:rsidR="000F1277" w:rsidRPr="000F1277" w:rsidRDefault="000F1277" w:rsidP="00041BC2">
            <w:pPr>
              <w:rPr>
                <w:rFonts w:asciiTheme="minorHAnsi" w:hAnsiTheme="minorHAnsi"/>
                <w:szCs w:val="22"/>
              </w:rPr>
            </w:pPr>
            <w:r w:rsidRPr="000F1277">
              <w:rPr>
                <w:rFonts w:asciiTheme="minorHAnsi" w:hAnsiTheme="minorHAnsi"/>
              </w:rPr>
              <w:t>Savoy</w:t>
            </w:r>
          </w:p>
        </w:tc>
        <w:tc>
          <w:tcPr>
            <w:tcW w:w="0" w:type="auto"/>
            <w:vAlign w:val="top"/>
          </w:tcPr>
          <w:p w14:paraId="25E8A910"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100 </w:t>
            </w:r>
          </w:p>
        </w:tc>
        <w:tc>
          <w:tcPr>
            <w:tcW w:w="0" w:type="auto"/>
            <w:vAlign w:val="top"/>
          </w:tcPr>
          <w:p w14:paraId="69AA8D7F"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66 </w:t>
            </w:r>
          </w:p>
        </w:tc>
        <w:tc>
          <w:tcPr>
            <w:tcW w:w="0" w:type="auto"/>
            <w:vAlign w:val="top"/>
          </w:tcPr>
          <w:p w14:paraId="4F03344D"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-34.0%</w:t>
            </w:r>
          </w:p>
        </w:tc>
      </w:tr>
      <w:tr w:rsidR="000F1277" w:rsidRPr="00A161D4" w14:paraId="26537EDE"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45AD1C35" w14:textId="77777777" w:rsidR="000F1277" w:rsidRPr="000F1277" w:rsidRDefault="000F1277" w:rsidP="00041BC2">
            <w:pPr>
              <w:rPr>
                <w:rFonts w:asciiTheme="minorHAnsi" w:hAnsiTheme="minorHAnsi"/>
                <w:szCs w:val="22"/>
              </w:rPr>
            </w:pPr>
            <w:r w:rsidRPr="000F1277">
              <w:rPr>
                <w:rFonts w:asciiTheme="minorHAnsi" w:hAnsiTheme="minorHAnsi"/>
              </w:rPr>
              <w:t>Lanesborough</w:t>
            </w:r>
          </w:p>
        </w:tc>
        <w:tc>
          <w:tcPr>
            <w:tcW w:w="0" w:type="auto"/>
            <w:vAlign w:val="top"/>
          </w:tcPr>
          <w:p w14:paraId="1D1FF705"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278 </w:t>
            </w:r>
          </w:p>
        </w:tc>
        <w:tc>
          <w:tcPr>
            <w:tcW w:w="0" w:type="auto"/>
            <w:vAlign w:val="top"/>
          </w:tcPr>
          <w:p w14:paraId="6E544584"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188 </w:t>
            </w:r>
          </w:p>
        </w:tc>
        <w:tc>
          <w:tcPr>
            <w:tcW w:w="0" w:type="auto"/>
            <w:vAlign w:val="top"/>
          </w:tcPr>
          <w:p w14:paraId="31FBDCD4"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-32.4%</w:t>
            </w:r>
          </w:p>
        </w:tc>
      </w:tr>
      <w:tr w:rsidR="000F1277" w:rsidRPr="00A161D4" w14:paraId="5CE2EE9C"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6C36D9EC" w14:textId="77777777" w:rsidR="000F1277" w:rsidRPr="000F1277" w:rsidRDefault="000F1277" w:rsidP="00041BC2">
            <w:pPr>
              <w:rPr>
                <w:rFonts w:asciiTheme="minorHAnsi" w:hAnsiTheme="minorHAnsi"/>
                <w:szCs w:val="22"/>
              </w:rPr>
            </w:pPr>
            <w:r w:rsidRPr="000F1277">
              <w:rPr>
                <w:rFonts w:asciiTheme="minorHAnsi" w:hAnsiTheme="minorHAnsi"/>
              </w:rPr>
              <w:t>Central Berkshire</w:t>
            </w:r>
          </w:p>
        </w:tc>
        <w:tc>
          <w:tcPr>
            <w:tcW w:w="0" w:type="auto"/>
            <w:vAlign w:val="top"/>
          </w:tcPr>
          <w:p w14:paraId="0F531352"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2,182 </w:t>
            </w:r>
          </w:p>
        </w:tc>
        <w:tc>
          <w:tcPr>
            <w:tcW w:w="0" w:type="auto"/>
            <w:vAlign w:val="top"/>
          </w:tcPr>
          <w:p w14:paraId="0118E984"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1,612 </w:t>
            </w:r>
          </w:p>
        </w:tc>
        <w:tc>
          <w:tcPr>
            <w:tcW w:w="0" w:type="auto"/>
            <w:vAlign w:val="top"/>
          </w:tcPr>
          <w:p w14:paraId="33C30D53"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-26.1%</w:t>
            </w:r>
          </w:p>
        </w:tc>
      </w:tr>
      <w:tr w:rsidR="000F1277" w:rsidRPr="00A161D4" w14:paraId="638026CA"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08E8CAA1" w14:textId="77777777" w:rsidR="000F1277" w:rsidRPr="000F1277" w:rsidRDefault="000F1277" w:rsidP="00041BC2">
            <w:pPr>
              <w:rPr>
                <w:rFonts w:asciiTheme="minorHAnsi" w:hAnsiTheme="minorHAnsi"/>
                <w:szCs w:val="22"/>
              </w:rPr>
            </w:pPr>
            <w:r w:rsidRPr="000F1277">
              <w:rPr>
                <w:rFonts w:asciiTheme="minorHAnsi" w:hAnsiTheme="minorHAnsi"/>
              </w:rPr>
              <w:t>Quabbin</w:t>
            </w:r>
          </w:p>
        </w:tc>
        <w:tc>
          <w:tcPr>
            <w:tcW w:w="0" w:type="auto"/>
            <w:vAlign w:val="top"/>
          </w:tcPr>
          <w:p w14:paraId="65B22627"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2,917 </w:t>
            </w:r>
          </w:p>
        </w:tc>
        <w:tc>
          <w:tcPr>
            <w:tcW w:w="0" w:type="auto"/>
            <w:vAlign w:val="top"/>
          </w:tcPr>
          <w:p w14:paraId="7E6E91B0"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2,200 </w:t>
            </w:r>
          </w:p>
        </w:tc>
        <w:tc>
          <w:tcPr>
            <w:tcW w:w="0" w:type="auto"/>
            <w:vAlign w:val="top"/>
          </w:tcPr>
          <w:p w14:paraId="72D7FFE0"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-24.6%</w:t>
            </w:r>
          </w:p>
        </w:tc>
      </w:tr>
      <w:tr w:rsidR="000F1277" w:rsidRPr="00A161D4" w14:paraId="6F64F279" w14:textId="77777777" w:rsidTr="009313B2">
        <w:trPr>
          <w:jc w:val="center"/>
        </w:trPr>
        <w:tc>
          <w:tcPr>
            <w:cnfStyle w:val="001000000000" w:firstRow="0" w:lastRow="0" w:firstColumn="1" w:lastColumn="0" w:oddVBand="0" w:evenVBand="0" w:oddHBand="0" w:evenHBand="0" w:firstRowFirstColumn="0" w:firstRowLastColumn="0" w:lastRowFirstColumn="0" w:lastRowLastColumn="0"/>
            <w:tcW w:w="0" w:type="auto"/>
            <w:vAlign w:val="top"/>
          </w:tcPr>
          <w:p w14:paraId="465CFB4F" w14:textId="77777777" w:rsidR="000F1277" w:rsidRPr="000F1277" w:rsidRDefault="000F1277" w:rsidP="00041BC2">
            <w:pPr>
              <w:rPr>
                <w:rFonts w:asciiTheme="minorHAnsi" w:hAnsiTheme="minorHAnsi"/>
                <w:szCs w:val="22"/>
              </w:rPr>
            </w:pPr>
            <w:r w:rsidRPr="000F1277">
              <w:rPr>
                <w:rFonts w:asciiTheme="minorHAnsi" w:hAnsiTheme="minorHAnsi"/>
              </w:rPr>
              <w:t>Nauset</w:t>
            </w:r>
          </w:p>
        </w:tc>
        <w:tc>
          <w:tcPr>
            <w:tcW w:w="0" w:type="auto"/>
            <w:vAlign w:val="top"/>
          </w:tcPr>
          <w:p w14:paraId="7821DD10"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1,611 </w:t>
            </w:r>
          </w:p>
        </w:tc>
        <w:tc>
          <w:tcPr>
            <w:tcW w:w="0" w:type="auto"/>
            <w:vAlign w:val="top"/>
          </w:tcPr>
          <w:p w14:paraId="462AA713"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 xml:space="preserve"> 1,235 </w:t>
            </w:r>
          </w:p>
        </w:tc>
        <w:tc>
          <w:tcPr>
            <w:tcW w:w="0" w:type="auto"/>
            <w:vAlign w:val="top"/>
          </w:tcPr>
          <w:p w14:paraId="6D584BE8" w14:textId="77777777" w:rsidR="000F1277" w:rsidRPr="000F1277" w:rsidRDefault="000F1277" w:rsidP="000F12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1277">
              <w:rPr>
                <w:rFonts w:asciiTheme="minorHAnsi" w:hAnsiTheme="minorHAnsi"/>
              </w:rPr>
              <w:t>-23.3%</w:t>
            </w:r>
          </w:p>
        </w:tc>
      </w:tr>
    </w:tbl>
    <w:p w14:paraId="0EB6FB14" w14:textId="77777777" w:rsidR="006C4BD9" w:rsidRDefault="006C4BD9" w:rsidP="00041BC2"/>
    <w:p w14:paraId="1CCAF021" w14:textId="77777777" w:rsidR="00041BC2" w:rsidRDefault="00041BC2" w:rsidP="00041BC2">
      <w:r>
        <w:t xml:space="preserve">The cost rates </w:t>
      </w:r>
      <w:r w:rsidR="00A83ACB">
        <w:t xml:space="preserve">in the foundation budget </w:t>
      </w:r>
      <w:r>
        <w:t xml:space="preserve">are </w:t>
      </w:r>
      <w:r w:rsidRPr="00DF19B6">
        <w:t xml:space="preserve">based on a model school budget, developed by a group of superintendents and an economist in the early 1990s. They reflect the major </w:t>
      </w:r>
      <w:r>
        <w:t>cost centers of school spending and rely on assumptions around staffing levels and salary. One of the largest cost centers is teacher salaries. When comparing assumed teachers and salar</w:t>
      </w:r>
      <w:r w:rsidR="00A83ACB">
        <w:t xml:space="preserve">ies </w:t>
      </w:r>
      <w:r>
        <w:t>in the foundation budget to actual average teachers’ salaries (</w:t>
      </w:r>
      <w:r w:rsidR="00A83ACB">
        <w:t xml:space="preserve">based on </w:t>
      </w:r>
      <w:r>
        <w:t xml:space="preserve">reported expenditures and FTEs), rural districts have a slightly higher assumed salary </w:t>
      </w:r>
      <w:r w:rsidR="00A83ACB">
        <w:t xml:space="preserve">level </w:t>
      </w:r>
      <w:r>
        <w:t>than they spend on average</w:t>
      </w:r>
      <w:r w:rsidR="00506F13">
        <w:t xml:space="preserve">, $69,139 </w:t>
      </w:r>
      <w:r w:rsidR="00506F13">
        <w:lastRenderedPageBreak/>
        <w:t>assumed versus $68,273 actual</w:t>
      </w:r>
      <w:r>
        <w:t>. All other districts spend much more than the foundation budget assumes.</w:t>
      </w:r>
      <w:r w:rsidR="004375BE">
        <w:t xml:space="preserve"> This analysis </w:t>
      </w:r>
      <w:r w:rsidR="00FB170C">
        <w:t xml:space="preserve">takes into account </w:t>
      </w:r>
      <w:r w:rsidR="004375BE">
        <w:t>wage adjust</w:t>
      </w:r>
      <w:r w:rsidR="00FB170C">
        <w:t>ment</w:t>
      </w:r>
      <w:r w:rsidR="004375BE">
        <w:t xml:space="preserve"> factor</w:t>
      </w:r>
      <w:r w:rsidR="00FB170C">
        <w:t xml:space="preserve"> in the foundation budget</w:t>
      </w:r>
      <w:r w:rsidR="004375BE">
        <w:t>.</w:t>
      </w:r>
    </w:p>
    <w:p w14:paraId="306AEEDE" w14:textId="77777777" w:rsidR="00FD2304" w:rsidRDefault="00FD2304" w:rsidP="00041BC2">
      <w:r w:rsidRPr="00FD2304">
        <w:rPr>
          <w:noProof/>
        </w:rPr>
        <w:drawing>
          <wp:inline distT="0" distB="0" distL="0" distR="0" wp14:anchorId="67C07F95" wp14:editId="5EEB62B9">
            <wp:extent cx="5943600" cy="3616960"/>
            <wp:effectExtent l="0" t="0" r="0" b="0"/>
            <wp:docPr id="17" name="Chart 9" descr="Figure 9: Fiscal year 2016 assumed and actual average teacher salaries&#10;&#10;                            Assumed             Actual&#10;Rural districts         $69,139              $68,273&#10;All other districts    $69,681               $75,4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5A7C10" w14:textId="77777777" w:rsidR="00041BC2" w:rsidRDefault="00041BC2" w:rsidP="00041BC2"/>
    <w:p w14:paraId="57563B3E" w14:textId="77777777" w:rsidR="00041BC2" w:rsidRDefault="00041BC2" w:rsidP="00041BC2">
      <w:r>
        <w:t>The wage adjustment factor (WAF) gives a district credit for having higher school costs if it is located in a geographic area where average wages are higher than in other areas of the state. In theory</w:t>
      </w:r>
      <w:r w:rsidR="00486AF0">
        <w:t>,</w:t>
      </w:r>
      <w:r>
        <w:t xml:space="preserve"> it is more expensive for the</w:t>
      </w:r>
      <w:r w:rsidR="00C84647">
        <w:t>se districts</w:t>
      </w:r>
      <w:r>
        <w:t xml:space="preserve"> to attract</w:t>
      </w:r>
      <w:r w:rsidR="007B540D">
        <w:t xml:space="preserve"> and employ</w:t>
      </w:r>
      <w:r>
        <w:t xml:space="preserve"> teachers and other </w:t>
      </w:r>
      <w:r w:rsidR="00A767FB">
        <w:t>staff because</w:t>
      </w:r>
      <w:r>
        <w:t xml:space="preserve"> the cost of living is higher. The WAF is calculated using the latest available average wage data </w:t>
      </w:r>
      <w:r w:rsidR="00506F13">
        <w:t>reported</w:t>
      </w:r>
      <w:r>
        <w:t xml:space="preserve"> by the state’s Office of Labor and Workforce Development. A district’s WAF is a percentage that is applied to the eight salary-related functional categories in the foundation budget. Prior to </w:t>
      </w:r>
      <w:r w:rsidR="00486AF0">
        <w:t xml:space="preserve">fiscal year </w:t>
      </w:r>
      <w:r>
        <w:t xml:space="preserve">2000, </w:t>
      </w:r>
      <w:r w:rsidR="00C84647">
        <w:t>the WAF was used to both increase and decrease districts</w:t>
      </w:r>
      <w:r w:rsidR="00A767FB">
        <w:t>’</w:t>
      </w:r>
      <w:r w:rsidR="00C84647">
        <w:t xml:space="preserve"> foundation budgets, meaning that </w:t>
      </w:r>
      <w:r>
        <w:t xml:space="preserve">districts in lower-wage areas </w:t>
      </w:r>
      <w:r w:rsidR="00C84647">
        <w:t xml:space="preserve">(WAFs less than 1.0) </w:t>
      </w:r>
      <w:r>
        <w:t xml:space="preserve">saw significant reductions in their </w:t>
      </w:r>
      <w:r w:rsidR="00C84647">
        <w:t>assumed spending levels</w:t>
      </w:r>
      <w:r>
        <w:t xml:space="preserve">, by as much as ten percent. </w:t>
      </w:r>
      <w:r w:rsidR="008C6A83">
        <w:t xml:space="preserve">From 2000 to 2004, </w:t>
      </w:r>
      <w:r>
        <w:t xml:space="preserve">annual budget language </w:t>
      </w:r>
      <w:r w:rsidR="008C6A83">
        <w:t>phased</w:t>
      </w:r>
      <w:r w:rsidR="00274642">
        <w:t>-</w:t>
      </w:r>
      <w:r w:rsidR="008C6A83">
        <w:t xml:space="preserve">in </w:t>
      </w:r>
      <w:r w:rsidR="00274642">
        <w:t xml:space="preserve">increases to the WAF </w:t>
      </w:r>
      <w:r w:rsidR="008C6A83">
        <w:t>to</w:t>
      </w:r>
      <w:r>
        <w:t xml:space="preserve"> cushion districts from these reductions, to the point where beginning in </w:t>
      </w:r>
      <w:r w:rsidR="00506F13">
        <w:t>fiscal year 2004</w:t>
      </w:r>
      <w:r>
        <w:t xml:space="preserve">, </w:t>
      </w:r>
      <w:r w:rsidR="007B540D">
        <w:t xml:space="preserve">the WAF is </w:t>
      </w:r>
      <w:r>
        <w:t>only</w:t>
      </w:r>
      <w:r w:rsidR="007B540D">
        <w:t xml:space="preserve"> applied in </w:t>
      </w:r>
      <w:r w:rsidR="00C84647">
        <w:t>districts</w:t>
      </w:r>
      <w:r>
        <w:t xml:space="preserve"> </w:t>
      </w:r>
      <w:r w:rsidR="007B540D">
        <w:t xml:space="preserve">located in areas </w:t>
      </w:r>
      <w:r>
        <w:t xml:space="preserve">with above-average wages </w:t>
      </w:r>
      <w:r w:rsidR="00C84647">
        <w:t>(WAFs greater than 1.0)</w:t>
      </w:r>
      <w:r>
        <w:t>.</w:t>
      </w:r>
    </w:p>
    <w:p w14:paraId="222B93AA" w14:textId="77777777" w:rsidR="00041BC2" w:rsidRDefault="00041BC2" w:rsidP="00041BC2"/>
    <w:p w14:paraId="7CCCA7F0" w14:textId="77777777" w:rsidR="00041BC2" w:rsidRDefault="00041BC2" w:rsidP="00041BC2">
      <w:r>
        <w:t xml:space="preserve">Statewide, </w:t>
      </w:r>
      <w:r w:rsidR="007B540D">
        <w:t>the</w:t>
      </w:r>
      <w:r>
        <w:t xml:space="preserve"> WAF </w:t>
      </w:r>
      <w:r w:rsidR="007B540D">
        <w:t xml:space="preserve">adjustment </w:t>
      </w:r>
      <w:r>
        <w:t xml:space="preserve">accounted for $394 million in foundation </w:t>
      </w:r>
      <w:r w:rsidR="00C84647">
        <w:t xml:space="preserve">budget increases in </w:t>
      </w:r>
      <w:r w:rsidR="002B230E">
        <w:t xml:space="preserve">fiscal year </w:t>
      </w:r>
      <w:r w:rsidR="00A767FB">
        <w:t>2017</w:t>
      </w:r>
      <w:r w:rsidR="00A767FB" w:rsidRPr="00C2658C">
        <w:t xml:space="preserve"> </w:t>
      </w:r>
      <w:r w:rsidR="002B230E" w:rsidRPr="00C2658C">
        <w:t xml:space="preserve">in </w:t>
      </w:r>
      <w:r w:rsidR="00C84647" w:rsidRPr="00C2658C">
        <w:t xml:space="preserve">the </w:t>
      </w:r>
      <w:r w:rsidR="00A767FB">
        <w:t xml:space="preserve">306 </w:t>
      </w:r>
      <w:r w:rsidR="00C84647">
        <w:t>districts w</w:t>
      </w:r>
      <w:r w:rsidR="007B540D">
        <w:t>h</w:t>
      </w:r>
      <w:r w:rsidR="00C84647">
        <w:t xml:space="preserve">ere it was </w:t>
      </w:r>
      <w:r w:rsidR="007B540D">
        <w:t>applied</w:t>
      </w:r>
      <w:r w:rsidR="00C84647">
        <w:t xml:space="preserve">, an amount equal to </w:t>
      </w:r>
      <w:r>
        <w:t xml:space="preserve">$787 per student. </w:t>
      </w:r>
      <w:r w:rsidR="00A81589">
        <w:t>S</w:t>
      </w:r>
      <w:r w:rsidR="00390FF0">
        <w:t xml:space="preserve">etting </w:t>
      </w:r>
      <w:r w:rsidR="00B53640">
        <w:t>the</w:t>
      </w:r>
      <w:r>
        <w:t xml:space="preserve"> WAF </w:t>
      </w:r>
      <w:r w:rsidR="00390FF0">
        <w:t xml:space="preserve">floor at 1.0 </w:t>
      </w:r>
      <w:r>
        <w:t>ad</w:t>
      </w:r>
      <w:r w:rsidR="009B4FB5">
        <w:t>ded</w:t>
      </w:r>
      <w:r>
        <w:t xml:space="preserve"> $22 million</w:t>
      </w:r>
      <w:r w:rsidR="00850880">
        <w:t>,</w:t>
      </w:r>
      <w:r>
        <w:t xml:space="preserve"> </w:t>
      </w:r>
      <w:r w:rsidR="009B4FB5">
        <w:t xml:space="preserve">or </w:t>
      </w:r>
      <w:r>
        <w:t>$1,154 per student</w:t>
      </w:r>
      <w:r w:rsidR="009B4FB5">
        <w:t xml:space="preserve"> to </w:t>
      </w:r>
      <w:r w:rsidR="00A81589">
        <w:t>rural school districts’</w:t>
      </w:r>
      <w:r w:rsidR="009B4FB5">
        <w:t xml:space="preserve"> foundation budgets</w:t>
      </w:r>
      <w:r w:rsidR="00390FF0">
        <w:t>,</w:t>
      </w:r>
      <w:r w:rsidR="007E5DF3">
        <w:t xml:space="preserve"> and</w:t>
      </w:r>
      <w:r w:rsidR="00390FF0">
        <w:t xml:space="preserve"> </w:t>
      </w:r>
      <w:r w:rsidR="007E5DF3">
        <w:t>points to</w:t>
      </w:r>
      <w:r w:rsidR="00842952">
        <w:t xml:space="preserve"> the</w:t>
      </w:r>
      <w:r>
        <w:t xml:space="preserve"> stabilizing </w:t>
      </w:r>
      <w:r w:rsidR="00390FF0">
        <w:t>effect</w:t>
      </w:r>
      <w:r w:rsidR="007E5DF3">
        <w:t xml:space="preserve"> </w:t>
      </w:r>
      <w:r w:rsidR="00842952">
        <w:t>this change has had on</w:t>
      </w:r>
      <w:r w:rsidR="00390FF0">
        <w:t xml:space="preserve"> spending in these districts</w:t>
      </w:r>
      <w:r w:rsidR="00A81589">
        <w:t>.</w:t>
      </w:r>
      <w:r w:rsidR="009718F6">
        <w:t xml:space="preserve"> At this point, given the steep decline in enrollment, the WAF is not generating any additional aid increases for these districts.</w:t>
      </w:r>
    </w:p>
    <w:p w14:paraId="52539175" w14:textId="77777777" w:rsidR="00041BC2" w:rsidRDefault="00041BC2" w:rsidP="00041BC2"/>
    <w:p w14:paraId="6B00054D" w14:textId="77777777" w:rsidR="00041BC2" w:rsidRDefault="00041BC2" w:rsidP="00041BC2">
      <w:r>
        <w:t xml:space="preserve">Hold harmless aid </w:t>
      </w:r>
      <w:r w:rsidR="00390FF0">
        <w:t>serve</w:t>
      </w:r>
      <w:r>
        <w:t xml:space="preserve">s another important stabilizing </w:t>
      </w:r>
      <w:r w:rsidR="00390FF0">
        <w:t>function for rural districts</w:t>
      </w:r>
      <w:r>
        <w:t>. The calculation of Chapter 70 aid begins with a calculation of foundation aid, that is, the aid needed to ensure that a district has resources equal to its foundation budget.</w:t>
      </w:r>
    </w:p>
    <w:p w14:paraId="7AD845F8" w14:textId="77777777" w:rsidR="00041BC2" w:rsidRDefault="00041BC2" w:rsidP="00041BC2"/>
    <w:p w14:paraId="5601239E" w14:textId="77777777" w:rsidR="00041BC2" w:rsidRDefault="00041BC2" w:rsidP="00041BC2">
      <m:oMathPara>
        <m:oMath>
          <m:r>
            <w:rPr>
              <w:rFonts w:ascii="Cambria Math" w:hAnsi="Cambria Math"/>
            </w:rPr>
            <m:t>Foundation Budget-Required Local Contribution=Foundation Aid</m:t>
          </m:r>
        </m:oMath>
      </m:oMathPara>
    </w:p>
    <w:p w14:paraId="04C04D3A" w14:textId="77777777" w:rsidR="00A00409" w:rsidRDefault="00A00409" w:rsidP="00041BC2"/>
    <w:p w14:paraId="605F61F7" w14:textId="77777777" w:rsidR="00041BC2" w:rsidRDefault="00041BC2" w:rsidP="00041BC2">
      <w:r>
        <w:t>When a district is not in need of additional foundation aid, they are typically held harmless, meaning that the district continues to receive at least the amount of Chapter 70 aid they received in the prior year. In this analysis, hold harmless is defined as the amount of Chapter 70 aid distributed over foundation aid in a given year.</w:t>
      </w:r>
    </w:p>
    <w:p w14:paraId="463E2DE7" w14:textId="77777777" w:rsidR="00041BC2" w:rsidRDefault="00041BC2" w:rsidP="00041BC2"/>
    <w:p w14:paraId="5A73C358" w14:textId="77777777" w:rsidR="00041BC2" w:rsidRDefault="00041BC2" w:rsidP="00041BC2">
      <m:oMathPara>
        <m:oMath>
          <m:r>
            <w:rPr>
              <w:rFonts w:ascii="Cambria Math" w:hAnsi="Cambria Math"/>
            </w:rPr>
            <m:t>Chapter 70 Aid-Foundation Aid=Hold Harmless Aid</m:t>
          </m:r>
        </m:oMath>
      </m:oMathPara>
    </w:p>
    <w:p w14:paraId="2619EB4D" w14:textId="77777777" w:rsidR="00041BC2" w:rsidRDefault="00041BC2" w:rsidP="00041BC2"/>
    <w:tbl>
      <w:tblPr>
        <w:tblStyle w:val="ESETablesOpenStyle"/>
        <w:tblW w:w="0" w:type="auto"/>
        <w:jc w:val="center"/>
        <w:tblLook w:val="04A0" w:firstRow="1" w:lastRow="0" w:firstColumn="1" w:lastColumn="0" w:noHBand="0" w:noVBand="1"/>
      </w:tblPr>
      <w:tblGrid>
        <w:gridCol w:w="2853"/>
        <w:gridCol w:w="1684"/>
        <w:gridCol w:w="1801"/>
        <w:gridCol w:w="1511"/>
        <w:gridCol w:w="1511"/>
      </w:tblGrid>
      <w:tr w:rsidR="00390FF0" w:rsidRPr="00EC4AEA" w14:paraId="6F11CB17" w14:textId="77777777" w:rsidTr="009313B2">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9461" w:type="dxa"/>
            <w:gridSpan w:val="5"/>
            <w:tcBorders>
              <w:top w:val="nil"/>
              <w:bottom w:val="single" w:sz="12" w:space="0" w:color="auto"/>
            </w:tcBorders>
            <w:noWrap/>
            <w:hideMark/>
          </w:tcPr>
          <w:p w14:paraId="4B64A4C4" w14:textId="77777777" w:rsidR="00495B7E" w:rsidRPr="006A0F91" w:rsidRDefault="00430DC6">
            <w:pPr>
              <w:rPr>
                <w:rFonts w:asciiTheme="minorHAnsi" w:hAnsiTheme="minorHAnsi"/>
                <w:bCs/>
                <w:sz w:val="28"/>
                <w:szCs w:val="28"/>
              </w:rPr>
            </w:pPr>
            <w:r w:rsidRPr="00430DC6">
              <w:rPr>
                <w:rFonts w:asciiTheme="minorHAnsi" w:hAnsiTheme="minorHAnsi"/>
                <w:bCs/>
                <w:sz w:val="28"/>
                <w:szCs w:val="28"/>
              </w:rPr>
              <w:t>Table 2: Foundation budget and hold harmless trends</w:t>
            </w:r>
          </w:p>
        </w:tc>
      </w:tr>
      <w:tr w:rsidR="00041BC2" w:rsidRPr="00EC4AEA" w14:paraId="79E64215" w14:textId="77777777" w:rsidTr="00D15AC6">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tcBorders>
              <w:top w:val="single" w:sz="12" w:space="0" w:color="auto"/>
              <w:bottom w:val="nil"/>
            </w:tcBorders>
            <w:noWrap/>
            <w:hideMark/>
          </w:tcPr>
          <w:p w14:paraId="18A93408" w14:textId="77777777" w:rsidR="00041BC2" w:rsidRPr="002447E6" w:rsidRDefault="00041BC2" w:rsidP="005122FB">
            <w:pPr>
              <w:rPr>
                <w:rFonts w:asciiTheme="minorHAnsi" w:hAnsiTheme="minorHAnsi"/>
                <w:b/>
              </w:rPr>
            </w:pPr>
          </w:p>
        </w:tc>
        <w:tc>
          <w:tcPr>
            <w:tcW w:w="3490" w:type="dxa"/>
            <w:gridSpan w:val="2"/>
            <w:tcBorders>
              <w:top w:val="single" w:sz="12" w:space="0" w:color="auto"/>
              <w:bottom w:val="nil"/>
            </w:tcBorders>
            <w:noWrap/>
            <w:hideMark/>
          </w:tcPr>
          <w:p w14:paraId="2E3DE85B"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3C4405">
              <w:rPr>
                <w:rFonts w:asciiTheme="minorHAnsi" w:hAnsiTheme="minorHAnsi"/>
                <w:bCs/>
              </w:rPr>
              <w:t>Statewide</w:t>
            </w:r>
          </w:p>
        </w:tc>
        <w:tc>
          <w:tcPr>
            <w:tcW w:w="3003" w:type="dxa"/>
            <w:gridSpan w:val="2"/>
            <w:tcBorders>
              <w:top w:val="single" w:sz="12" w:space="0" w:color="auto"/>
              <w:bottom w:val="nil"/>
            </w:tcBorders>
            <w:noWrap/>
            <w:hideMark/>
          </w:tcPr>
          <w:p w14:paraId="1807AF8C"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C4405">
              <w:rPr>
                <w:rFonts w:asciiTheme="minorHAnsi" w:hAnsiTheme="minorHAnsi"/>
                <w:bCs/>
              </w:rPr>
              <w:t xml:space="preserve">Rural </w:t>
            </w:r>
            <w:r w:rsidR="00A161D4">
              <w:rPr>
                <w:rFonts w:asciiTheme="minorHAnsi" w:hAnsiTheme="minorHAnsi"/>
                <w:bCs/>
              </w:rPr>
              <w:t>d</w:t>
            </w:r>
            <w:r w:rsidRPr="003C4405">
              <w:rPr>
                <w:rFonts w:asciiTheme="minorHAnsi" w:hAnsiTheme="minorHAnsi"/>
                <w:bCs/>
              </w:rPr>
              <w:t>istricts</w:t>
            </w:r>
          </w:p>
        </w:tc>
      </w:tr>
      <w:tr w:rsidR="00041BC2" w:rsidRPr="00EC4AEA" w14:paraId="70E2CB30" w14:textId="77777777" w:rsidTr="00D15AC6">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tcBorders>
              <w:top w:val="nil"/>
              <w:bottom w:val="single" w:sz="4" w:space="0" w:color="auto"/>
            </w:tcBorders>
            <w:noWrap/>
            <w:hideMark/>
          </w:tcPr>
          <w:p w14:paraId="118210A0" w14:textId="77777777" w:rsidR="00041BC2" w:rsidRPr="002447E6" w:rsidRDefault="00041BC2" w:rsidP="005122FB">
            <w:pPr>
              <w:rPr>
                <w:rFonts w:asciiTheme="minorHAnsi" w:hAnsiTheme="minorHAnsi"/>
              </w:rPr>
            </w:pPr>
          </w:p>
        </w:tc>
        <w:tc>
          <w:tcPr>
            <w:tcW w:w="1682" w:type="dxa"/>
            <w:tcBorders>
              <w:top w:val="nil"/>
              <w:bottom w:val="single" w:sz="4" w:space="0" w:color="auto"/>
            </w:tcBorders>
            <w:noWrap/>
            <w:hideMark/>
          </w:tcPr>
          <w:p w14:paraId="45C47A4E"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C4405">
              <w:rPr>
                <w:rFonts w:asciiTheme="minorHAnsi" w:hAnsiTheme="minorHAnsi"/>
                <w:bCs/>
              </w:rPr>
              <w:t>2008</w:t>
            </w:r>
          </w:p>
        </w:tc>
        <w:tc>
          <w:tcPr>
            <w:tcW w:w="1808" w:type="dxa"/>
            <w:tcBorders>
              <w:top w:val="nil"/>
              <w:bottom w:val="single" w:sz="4" w:space="0" w:color="auto"/>
            </w:tcBorders>
            <w:noWrap/>
            <w:hideMark/>
          </w:tcPr>
          <w:p w14:paraId="1D94D44F"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C4405">
              <w:rPr>
                <w:rFonts w:asciiTheme="minorHAnsi" w:hAnsiTheme="minorHAnsi"/>
                <w:bCs/>
              </w:rPr>
              <w:t>2017</w:t>
            </w:r>
          </w:p>
        </w:tc>
        <w:tc>
          <w:tcPr>
            <w:tcW w:w="1507" w:type="dxa"/>
            <w:tcBorders>
              <w:top w:val="nil"/>
              <w:bottom w:val="single" w:sz="4" w:space="0" w:color="auto"/>
            </w:tcBorders>
            <w:noWrap/>
            <w:hideMark/>
          </w:tcPr>
          <w:p w14:paraId="71A1A999"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C4405">
              <w:rPr>
                <w:rFonts w:asciiTheme="minorHAnsi" w:hAnsiTheme="minorHAnsi"/>
                <w:bCs/>
              </w:rPr>
              <w:t>2008</w:t>
            </w:r>
          </w:p>
        </w:tc>
        <w:tc>
          <w:tcPr>
            <w:tcW w:w="1496" w:type="dxa"/>
            <w:tcBorders>
              <w:top w:val="nil"/>
              <w:bottom w:val="single" w:sz="4" w:space="0" w:color="auto"/>
            </w:tcBorders>
            <w:noWrap/>
            <w:hideMark/>
          </w:tcPr>
          <w:p w14:paraId="61F436AF" w14:textId="77777777" w:rsidR="00495B7E" w:rsidRDefault="003C4405">
            <w:pP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C4405">
              <w:rPr>
                <w:rFonts w:asciiTheme="minorHAnsi" w:hAnsiTheme="minorHAnsi"/>
                <w:bCs/>
              </w:rPr>
              <w:t>2017</w:t>
            </w:r>
          </w:p>
        </w:tc>
      </w:tr>
      <w:tr w:rsidR="00041BC2" w:rsidRPr="00EC4AEA" w14:paraId="53DF3340" w14:textId="77777777" w:rsidTr="00D15AC6">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tcBorders>
              <w:top w:val="single" w:sz="4" w:space="0" w:color="auto"/>
            </w:tcBorders>
            <w:noWrap/>
            <w:hideMark/>
          </w:tcPr>
          <w:p w14:paraId="4799D4B1" w14:textId="77777777" w:rsidR="0062449F" w:rsidRDefault="003C4405">
            <w:pPr>
              <w:rPr>
                <w:rFonts w:asciiTheme="minorHAnsi" w:hAnsiTheme="minorHAnsi"/>
                <w:bCs/>
              </w:rPr>
            </w:pPr>
            <w:r w:rsidRPr="003C4405">
              <w:rPr>
                <w:rFonts w:asciiTheme="minorHAnsi" w:hAnsiTheme="minorHAnsi"/>
                <w:bCs/>
              </w:rPr>
              <w:t xml:space="preserve">Foundation </w:t>
            </w:r>
            <w:r w:rsidR="00A161D4">
              <w:rPr>
                <w:rFonts w:asciiTheme="minorHAnsi" w:hAnsiTheme="minorHAnsi"/>
                <w:bCs/>
              </w:rPr>
              <w:t>b</w:t>
            </w:r>
            <w:r w:rsidRPr="003C4405">
              <w:rPr>
                <w:rFonts w:asciiTheme="minorHAnsi" w:hAnsiTheme="minorHAnsi"/>
                <w:bCs/>
              </w:rPr>
              <w:t>udget</w:t>
            </w:r>
          </w:p>
        </w:tc>
        <w:tc>
          <w:tcPr>
            <w:tcW w:w="1682" w:type="dxa"/>
            <w:tcBorders>
              <w:top w:val="single" w:sz="4" w:space="0" w:color="auto"/>
            </w:tcBorders>
            <w:noWrap/>
            <w:hideMark/>
          </w:tcPr>
          <w:p w14:paraId="738165A3"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8,320,843,728 </w:t>
            </w:r>
          </w:p>
        </w:tc>
        <w:tc>
          <w:tcPr>
            <w:tcW w:w="1808" w:type="dxa"/>
            <w:tcBorders>
              <w:top w:val="single" w:sz="4" w:space="0" w:color="auto"/>
            </w:tcBorders>
            <w:noWrap/>
            <w:hideMark/>
          </w:tcPr>
          <w:p w14:paraId="4625082A"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10,121,274,868 </w:t>
            </w:r>
          </w:p>
        </w:tc>
        <w:tc>
          <w:tcPr>
            <w:tcW w:w="1507" w:type="dxa"/>
            <w:tcBorders>
              <w:top w:val="single" w:sz="4" w:space="0" w:color="auto"/>
            </w:tcBorders>
            <w:noWrap/>
            <w:hideMark/>
          </w:tcPr>
          <w:p w14:paraId="15B7071B"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243,589,740 </w:t>
            </w:r>
          </w:p>
        </w:tc>
        <w:tc>
          <w:tcPr>
            <w:tcW w:w="1496" w:type="dxa"/>
            <w:tcBorders>
              <w:top w:val="single" w:sz="4" w:space="0" w:color="auto"/>
            </w:tcBorders>
            <w:noWrap/>
            <w:hideMark/>
          </w:tcPr>
          <w:p w14:paraId="2998541A"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254,321,397 </w:t>
            </w:r>
          </w:p>
        </w:tc>
      </w:tr>
      <w:tr w:rsidR="00041BC2" w:rsidRPr="00EC4AEA" w14:paraId="5D6D1D1A" w14:textId="77777777" w:rsidTr="009313B2">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34BDF4DE" w14:textId="77777777" w:rsidR="0062449F" w:rsidRDefault="003C4405">
            <w:pPr>
              <w:rPr>
                <w:rFonts w:asciiTheme="minorHAnsi" w:hAnsiTheme="minorHAnsi"/>
                <w:bCs/>
              </w:rPr>
            </w:pPr>
            <w:r w:rsidRPr="003C4405">
              <w:rPr>
                <w:rFonts w:asciiTheme="minorHAnsi" w:hAnsiTheme="minorHAnsi"/>
                <w:bCs/>
              </w:rPr>
              <w:t xml:space="preserve">Hold </w:t>
            </w:r>
            <w:r w:rsidR="00A161D4">
              <w:rPr>
                <w:rFonts w:asciiTheme="minorHAnsi" w:hAnsiTheme="minorHAnsi"/>
                <w:bCs/>
              </w:rPr>
              <w:t>h</w:t>
            </w:r>
            <w:r w:rsidRPr="003C4405">
              <w:rPr>
                <w:rFonts w:asciiTheme="minorHAnsi" w:hAnsiTheme="minorHAnsi"/>
                <w:bCs/>
              </w:rPr>
              <w:t xml:space="preserve">armless </w:t>
            </w:r>
            <w:r w:rsidR="00A161D4">
              <w:rPr>
                <w:rFonts w:asciiTheme="minorHAnsi" w:hAnsiTheme="minorHAnsi"/>
                <w:bCs/>
              </w:rPr>
              <w:t>a</w:t>
            </w:r>
            <w:r w:rsidRPr="003C4405">
              <w:rPr>
                <w:rFonts w:asciiTheme="minorHAnsi" w:hAnsiTheme="minorHAnsi"/>
                <w:bCs/>
              </w:rPr>
              <w:t>id</w:t>
            </w:r>
          </w:p>
        </w:tc>
        <w:tc>
          <w:tcPr>
            <w:tcW w:w="1682" w:type="dxa"/>
            <w:noWrap/>
            <w:hideMark/>
          </w:tcPr>
          <w:p w14:paraId="7667C196"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251,707,225 </w:t>
            </w:r>
          </w:p>
        </w:tc>
        <w:tc>
          <w:tcPr>
            <w:tcW w:w="1808" w:type="dxa"/>
            <w:noWrap/>
            <w:hideMark/>
          </w:tcPr>
          <w:p w14:paraId="057A88A3"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424,465,425 </w:t>
            </w:r>
          </w:p>
        </w:tc>
        <w:tc>
          <w:tcPr>
            <w:tcW w:w="1507" w:type="dxa"/>
            <w:noWrap/>
            <w:hideMark/>
          </w:tcPr>
          <w:p w14:paraId="48D8937B"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24,409,940 </w:t>
            </w:r>
          </w:p>
        </w:tc>
        <w:tc>
          <w:tcPr>
            <w:tcW w:w="1496" w:type="dxa"/>
            <w:noWrap/>
            <w:hideMark/>
          </w:tcPr>
          <w:p w14:paraId="379EAD5A"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33,049,948 </w:t>
            </w:r>
          </w:p>
        </w:tc>
      </w:tr>
      <w:tr w:rsidR="00041BC2" w:rsidRPr="00EC4AEA" w14:paraId="76E52A68" w14:textId="77777777" w:rsidTr="009313B2">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3E024C42" w14:textId="77777777" w:rsidR="0062449F" w:rsidRDefault="003C4405">
            <w:pPr>
              <w:rPr>
                <w:rFonts w:asciiTheme="minorHAnsi" w:hAnsiTheme="minorHAnsi"/>
                <w:bCs/>
              </w:rPr>
            </w:pPr>
            <w:r w:rsidRPr="003C4405">
              <w:rPr>
                <w:rFonts w:asciiTheme="minorHAnsi" w:hAnsiTheme="minorHAnsi"/>
                <w:bCs/>
              </w:rPr>
              <w:t xml:space="preserve">Foundation </w:t>
            </w:r>
            <w:r w:rsidR="00A161D4">
              <w:rPr>
                <w:rFonts w:asciiTheme="minorHAnsi" w:hAnsiTheme="minorHAnsi"/>
                <w:bCs/>
              </w:rPr>
              <w:t>e</w:t>
            </w:r>
            <w:r w:rsidRPr="003C4405">
              <w:rPr>
                <w:rFonts w:asciiTheme="minorHAnsi" w:hAnsiTheme="minorHAnsi"/>
                <w:bCs/>
              </w:rPr>
              <w:t>nrollment</w:t>
            </w:r>
          </w:p>
        </w:tc>
        <w:tc>
          <w:tcPr>
            <w:tcW w:w="1682" w:type="dxa"/>
            <w:noWrap/>
            <w:hideMark/>
          </w:tcPr>
          <w:p w14:paraId="79344355"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 xml:space="preserve">939,716 </w:t>
            </w:r>
          </w:p>
        </w:tc>
        <w:tc>
          <w:tcPr>
            <w:tcW w:w="1808" w:type="dxa"/>
            <w:noWrap/>
            <w:hideMark/>
          </w:tcPr>
          <w:p w14:paraId="65081F65"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 xml:space="preserve">939,579 </w:t>
            </w:r>
          </w:p>
        </w:tc>
        <w:tc>
          <w:tcPr>
            <w:tcW w:w="1507" w:type="dxa"/>
            <w:noWrap/>
            <w:hideMark/>
          </w:tcPr>
          <w:p w14:paraId="03A947ED"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 xml:space="preserve">29,539 </w:t>
            </w:r>
          </w:p>
        </w:tc>
        <w:tc>
          <w:tcPr>
            <w:tcW w:w="1496" w:type="dxa"/>
            <w:noWrap/>
            <w:hideMark/>
          </w:tcPr>
          <w:p w14:paraId="10390799"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 xml:space="preserve">24,883 </w:t>
            </w:r>
          </w:p>
        </w:tc>
      </w:tr>
      <w:tr w:rsidR="00041BC2" w:rsidRPr="00EC4AEA" w14:paraId="4005E22F" w14:textId="77777777" w:rsidTr="009313B2">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5098CFF7" w14:textId="77777777" w:rsidR="0062449F" w:rsidRDefault="003C4405">
            <w:pPr>
              <w:rPr>
                <w:rFonts w:asciiTheme="minorHAnsi" w:hAnsiTheme="minorHAnsi"/>
                <w:bCs/>
              </w:rPr>
            </w:pPr>
            <w:r w:rsidRPr="003C4405">
              <w:rPr>
                <w:rFonts w:asciiTheme="minorHAnsi" w:hAnsiTheme="minorHAnsi"/>
                <w:bCs/>
              </w:rPr>
              <w:t xml:space="preserve">Foundation </w:t>
            </w:r>
            <w:r w:rsidR="00A161D4">
              <w:rPr>
                <w:rFonts w:asciiTheme="minorHAnsi" w:hAnsiTheme="minorHAnsi"/>
                <w:bCs/>
              </w:rPr>
              <w:t>b</w:t>
            </w:r>
            <w:r w:rsidRPr="003C4405">
              <w:rPr>
                <w:rFonts w:asciiTheme="minorHAnsi" w:hAnsiTheme="minorHAnsi"/>
                <w:bCs/>
              </w:rPr>
              <w:t xml:space="preserve">udget </w:t>
            </w:r>
            <w:r w:rsidR="00A161D4">
              <w:rPr>
                <w:rFonts w:asciiTheme="minorHAnsi" w:hAnsiTheme="minorHAnsi"/>
                <w:bCs/>
              </w:rPr>
              <w:t>p</w:t>
            </w:r>
            <w:r w:rsidRPr="003C4405">
              <w:rPr>
                <w:rFonts w:asciiTheme="minorHAnsi" w:hAnsiTheme="minorHAnsi"/>
                <w:bCs/>
              </w:rPr>
              <w:t xml:space="preserve">er </w:t>
            </w:r>
            <w:r w:rsidR="00A161D4">
              <w:rPr>
                <w:rFonts w:asciiTheme="minorHAnsi" w:hAnsiTheme="minorHAnsi"/>
                <w:bCs/>
              </w:rPr>
              <w:t>p</w:t>
            </w:r>
            <w:r w:rsidRPr="003C4405">
              <w:rPr>
                <w:rFonts w:asciiTheme="minorHAnsi" w:hAnsiTheme="minorHAnsi"/>
                <w:bCs/>
              </w:rPr>
              <w:t>upil</w:t>
            </w:r>
          </w:p>
        </w:tc>
        <w:tc>
          <w:tcPr>
            <w:tcW w:w="1682" w:type="dxa"/>
            <w:noWrap/>
            <w:hideMark/>
          </w:tcPr>
          <w:p w14:paraId="116F1E0F"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8,855 </w:t>
            </w:r>
          </w:p>
        </w:tc>
        <w:tc>
          <w:tcPr>
            <w:tcW w:w="1808" w:type="dxa"/>
            <w:noWrap/>
            <w:hideMark/>
          </w:tcPr>
          <w:p w14:paraId="6EE0EB6E"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10,772 </w:t>
            </w:r>
          </w:p>
        </w:tc>
        <w:tc>
          <w:tcPr>
            <w:tcW w:w="1507" w:type="dxa"/>
            <w:noWrap/>
            <w:hideMark/>
          </w:tcPr>
          <w:p w14:paraId="45B4CDD3"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8,246 </w:t>
            </w:r>
          </w:p>
        </w:tc>
        <w:tc>
          <w:tcPr>
            <w:tcW w:w="1496" w:type="dxa"/>
            <w:noWrap/>
            <w:hideMark/>
          </w:tcPr>
          <w:p w14:paraId="44490306"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10,221 </w:t>
            </w:r>
          </w:p>
        </w:tc>
      </w:tr>
      <w:tr w:rsidR="00041BC2" w:rsidRPr="00EC4AEA" w14:paraId="7FC5EED2" w14:textId="77777777" w:rsidTr="009313B2">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3CC2F938" w14:textId="77777777" w:rsidR="0062449F" w:rsidRDefault="003C4405">
            <w:pPr>
              <w:rPr>
                <w:rFonts w:asciiTheme="minorHAnsi" w:hAnsiTheme="minorHAnsi"/>
                <w:bCs/>
              </w:rPr>
            </w:pPr>
            <w:r w:rsidRPr="003C4405">
              <w:rPr>
                <w:rFonts w:asciiTheme="minorHAnsi" w:hAnsiTheme="minorHAnsi"/>
                <w:bCs/>
              </w:rPr>
              <w:t xml:space="preserve">Hold </w:t>
            </w:r>
            <w:r w:rsidR="00A161D4">
              <w:rPr>
                <w:rFonts w:asciiTheme="minorHAnsi" w:hAnsiTheme="minorHAnsi"/>
                <w:bCs/>
              </w:rPr>
              <w:t>h</w:t>
            </w:r>
            <w:r w:rsidRPr="003C4405">
              <w:rPr>
                <w:rFonts w:asciiTheme="minorHAnsi" w:hAnsiTheme="minorHAnsi"/>
                <w:bCs/>
              </w:rPr>
              <w:t xml:space="preserve">armless </w:t>
            </w:r>
            <w:r w:rsidR="00A161D4">
              <w:rPr>
                <w:rFonts w:asciiTheme="minorHAnsi" w:hAnsiTheme="minorHAnsi"/>
                <w:bCs/>
              </w:rPr>
              <w:t>a</w:t>
            </w:r>
            <w:r w:rsidRPr="003C4405">
              <w:rPr>
                <w:rFonts w:asciiTheme="minorHAnsi" w:hAnsiTheme="minorHAnsi"/>
                <w:bCs/>
              </w:rPr>
              <w:t xml:space="preserve">id </w:t>
            </w:r>
            <w:r w:rsidR="00A161D4">
              <w:rPr>
                <w:rFonts w:asciiTheme="minorHAnsi" w:hAnsiTheme="minorHAnsi"/>
                <w:bCs/>
              </w:rPr>
              <w:t>p</w:t>
            </w:r>
            <w:r w:rsidRPr="003C4405">
              <w:rPr>
                <w:rFonts w:asciiTheme="minorHAnsi" w:hAnsiTheme="minorHAnsi"/>
                <w:bCs/>
              </w:rPr>
              <w:t xml:space="preserve">er </w:t>
            </w:r>
            <w:r w:rsidR="00A161D4">
              <w:rPr>
                <w:rFonts w:asciiTheme="minorHAnsi" w:hAnsiTheme="minorHAnsi"/>
                <w:bCs/>
              </w:rPr>
              <w:t>p</w:t>
            </w:r>
            <w:r w:rsidRPr="003C4405">
              <w:rPr>
                <w:rFonts w:asciiTheme="minorHAnsi" w:hAnsiTheme="minorHAnsi"/>
                <w:bCs/>
              </w:rPr>
              <w:t>upil</w:t>
            </w:r>
          </w:p>
        </w:tc>
        <w:tc>
          <w:tcPr>
            <w:tcW w:w="1682" w:type="dxa"/>
            <w:noWrap/>
            <w:hideMark/>
          </w:tcPr>
          <w:p w14:paraId="1EDFB283"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268 </w:t>
            </w:r>
          </w:p>
        </w:tc>
        <w:tc>
          <w:tcPr>
            <w:tcW w:w="1808" w:type="dxa"/>
            <w:noWrap/>
            <w:hideMark/>
          </w:tcPr>
          <w:p w14:paraId="06D004EA"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452 </w:t>
            </w:r>
          </w:p>
        </w:tc>
        <w:tc>
          <w:tcPr>
            <w:tcW w:w="1507" w:type="dxa"/>
            <w:noWrap/>
            <w:hideMark/>
          </w:tcPr>
          <w:p w14:paraId="755936C2"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826 </w:t>
            </w:r>
          </w:p>
        </w:tc>
        <w:tc>
          <w:tcPr>
            <w:tcW w:w="1496" w:type="dxa"/>
            <w:noWrap/>
            <w:hideMark/>
          </w:tcPr>
          <w:p w14:paraId="7A96A1B1" w14:textId="77777777" w:rsidR="00041BC2" w:rsidRPr="002447E6" w:rsidRDefault="00F03BF7"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r w:rsidR="003C4405" w:rsidRPr="003C4405">
              <w:rPr>
                <w:rFonts w:asciiTheme="minorHAnsi" w:hAnsiTheme="minorHAnsi"/>
              </w:rPr>
              <w:t xml:space="preserve">1,328 </w:t>
            </w:r>
          </w:p>
        </w:tc>
      </w:tr>
      <w:tr w:rsidR="00041BC2" w:rsidRPr="00EC4AEA" w14:paraId="43AF1F7D" w14:textId="77777777" w:rsidTr="009313B2">
        <w:trPr>
          <w:trHeight w:val="219"/>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6767E14D" w14:textId="77777777" w:rsidR="00041BC2" w:rsidRPr="00A161D4" w:rsidRDefault="003C4405" w:rsidP="005122FB">
            <w:pPr>
              <w:rPr>
                <w:rFonts w:asciiTheme="minorHAnsi" w:hAnsiTheme="minorHAnsi"/>
                <w:bCs/>
              </w:rPr>
            </w:pPr>
            <w:r w:rsidRPr="003C4405">
              <w:rPr>
                <w:rFonts w:asciiTheme="minorHAnsi" w:hAnsiTheme="minorHAnsi"/>
                <w:bCs/>
              </w:rPr>
              <w:t>H</w:t>
            </w:r>
            <w:r w:rsidR="00A161D4">
              <w:rPr>
                <w:rFonts w:asciiTheme="minorHAnsi" w:hAnsiTheme="minorHAnsi"/>
                <w:bCs/>
              </w:rPr>
              <w:t>old harmless aid per pupil as a % of foundation budget per pupil</w:t>
            </w:r>
          </w:p>
        </w:tc>
        <w:tc>
          <w:tcPr>
            <w:tcW w:w="1682" w:type="dxa"/>
            <w:noWrap/>
            <w:hideMark/>
          </w:tcPr>
          <w:p w14:paraId="173B4049"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3%</w:t>
            </w:r>
          </w:p>
        </w:tc>
        <w:tc>
          <w:tcPr>
            <w:tcW w:w="1808" w:type="dxa"/>
            <w:noWrap/>
            <w:hideMark/>
          </w:tcPr>
          <w:p w14:paraId="571DE6EB"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4%</w:t>
            </w:r>
          </w:p>
        </w:tc>
        <w:tc>
          <w:tcPr>
            <w:tcW w:w="1507" w:type="dxa"/>
            <w:noWrap/>
            <w:hideMark/>
          </w:tcPr>
          <w:p w14:paraId="31309A44"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6%</w:t>
            </w:r>
          </w:p>
        </w:tc>
        <w:tc>
          <w:tcPr>
            <w:tcW w:w="1496" w:type="dxa"/>
            <w:noWrap/>
            <w:hideMark/>
          </w:tcPr>
          <w:p w14:paraId="309AF4D3" w14:textId="77777777" w:rsidR="00041BC2" w:rsidRPr="002447E6" w:rsidRDefault="003C4405" w:rsidP="00C767F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C4405">
              <w:rPr>
                <w:rFonts w:asciiTheme="minorHAnsi" w:hAnsiTheme="minorHAnsi"/>
              </w:rPr>
              <w:t>13%</w:t>
            </w:r>
          </w:p>
        </w:tc>
      </w:tr>
    </w:tbl>
    <w:p w14:paraId="3057DA46" w14:textId="77777777" w:rsidR="00041BC2" w:rsidRDefault="00041BC2" w:rsidP="00041BC2"/>
    <w:p w14:paraId="355D7D6E" w14:textId="77777777" w:rsidR="00041BC2" w:rsidRDefault="006A0F91" w:rsidP="00041BC2">
      <w:r>
        <w:t xml:space="preserve">Hold harmless aid makes up a higher </w:t>
      </w:r>
      <w:r w:rsidR="00AC1063">
        <w:t xml:space="preserve">percentage of foundation budgets on a per pupil basis in rural districts than it does statewide. </w:t>
      </w:r>
      <w:r w:rsidR="00041BC2" w:rsidRPr="00333FAC">
        <w:t xml:space="preserve">In </w:t>
      </w:r>
      <w:r w:rsidR="00486AF0" w:rsidRPr="00333FAC">
        <w:t xml:space="preserve">fiscal year </w:t>
      </w:r>
      <w:r w:rsidR="00041BC2" w:rsidRPr="00333FAC">
        <w:t xml:space="preserve">2017, hold harmless aid represented 4 percent of the </w:t>
      </w:r>
      <w:r w:rsidR="00850880" w:rsidRPr="00333FAC">
        <w:t xml:space="preserve">statewide </w:t>
      </w:r>
      <w:r w:rsidR="00041BC2" w:rsidRPr="00333FAC">
        <w:t>foundation budget</w:t>
      </w:r>
      <w:r w:rsidR="00390FF0" w:rsidRPr="00333FAC">
        <w:t xml:space="preserve">, </w:t>
      </w:r>
      <w:r w:rsidR="003B4D15" w:rsidRPr="00333FAC">
        <w:t xml:space="preserve">up from 3 percent in </w:t>
      </w:r>
      <w:r w:rsidR="00390FF0" w:rsidRPr="00333FAC">
        <w:t>fiscal year 2008</w:t>
      </w:r>
      <w:r w:rsidR="00041BC2" w:rsidRPr="00333FAC">
        <w:t xml:space="preserve">. </w:t>
      </w:r>
      <w:r w:rsidR="00AC1063">
        <w:t>For rural districts, hold harmless aid per pupil as a percent of foundation budget per pupil grew from 6 percent to 13 percent over the same period.</w:t>
      </w:r>
    </w:p>
    <w:p w14:paraId="5EA1C22C" w14:textId="77777777" w:rsidR="009718F6" w:rsidRDefault="009718F6" w:rsidP="00041BC2"/>
    <w:p w14:paraId="7EA2EA52" w14:textId="77777777" w:rsidR="009718F6" w:rsidRDefault="009718F6" w:rsidP="00041BC2">
      <w:r>
        <w:t>In most years, minimum per pupil aid is available to districts on top of being held harmless. The per pupil amount is set in the state budget, and varies from year to year. Over the last ten years</w:t>
      </w:r>
      <w:r w:rsidR="00265B54">
        <w:t>,</w:t>
      </w:r>
      <w:r>
        <w:t xml:space="preserve"> fiscal year 2008 to fiscal year 2017, the Commonwealth distributed more than $100 million in minimum aid to districts through Chapter 70.</w:t>
      </w:r>
    </w:p>
    <w:p w14:paraId="4B0451E9" w14:textId="77777777" w:rsidR="00D17DE5" w:rsidRDefault="00D17DE5" w:rsidP="00041BC2"/>
    <w:p w14:paraId="7FC736E0" w14:textId="77777777" w:rsidR="00041BC2" w:rsidRDefault="00FD2304" w:rsidP="00041BC2">
      <w:r w:rsidRPr="00FD2304">
        <w:rPr>
          <w:noProof/>
        </w:rPr>
        <w:lastRenderedPageBreak/>
        <w:drawing>
          <wp:inline distT="0" distB="0" distL="0" distR="0" wp14:anchorId="07374D1F" wp14:editId="6F963FAD">
            <wp:extent cx="5943600" cy="3543300"/>
            <wp:effectExtent l="0" t="0" r="0" b="0"/>
            <wp:docPr id="20" name="Chart 10" descr="                Rural districts          All other districts&#10;                FY2008 FY2017 FY2008 FY2017&#10;Foundation &#10;budget per pupil  8,246   10,221   8,855   10,772 &#10;&#10;Hold harmless &#10;aid per pupil  826   1,328   268   452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912A69" w14:textId="77777777" w:rsidR="00741A9A" w:rsidRPr="00741A9A" w:rsidRDefault="00741A9A" w:rsidP="008A73FE">
      <w:pPr>
        <w:pStyle w:val="Heading1"/>
        <w:rPr>
          <w:lang w:bidi="en-US"/>
        </w:rPr>
      </w:pPr>
      <w:bookmarkStart w:id="6" w:name="_Toc503258032"/>
      <w:r w:rsidRPr="00741A9A">
        <w:rPr>
          <w:lang w:bidi="en-US"/>
        </w:rPr>
        <w:t xml:space="preserve">School </w:t>
      </w:r>
      <w:r w:rsidR="00870632">
        <w:rPr>
          <w:lang w:bidi="en-US"/>
        </w:rPr>
        <w:t>c</w:t>
      </w:r>
      <w:r w:rsidRPr="00741A9A">
        <w:rPr>
          <w:lang w:bidi="en-US"/>
        </w:rPr>
        <w:t>hoice</w:t>
      </w:r>
      <w:bookmarkEnd w:id="6"/>
    </w:p>
    <w:p w14:paraId="1414BB84" w14:textId="77777777" w:rsidR="00741A9A" w:rsidRDefault="00741A9A" w:rsidP="00CD5A49">
      <w:pPr>
        <w:rPr>
          <w:lang w:bidi="en-US"/>
        </w:rPr>
      </w:pPr>
      <w:r w:rsidRPr="00741A9A">
        <w:rPr>
          <w:lang w:bidi="en-US"/>
        </w:rPr>
        <w:t>Int</w:t>
      </w:r>
      <w:r w:rsidR="001E0130">
        <w:rPr>
          <w:lang w:bidi="en-US"/>
        </w:rPr>
        <w:t>er</w:t>
      </w:r>
      <w:r w:rsidRPr="00741A9A">
        <w:rPr>
          <w:lang w:bidi="en-US"/>
        </w:rPr>
        <w:t>-district school choice</w:t>
      </w:r>
      <w:r w:rsidR="00F03BF7">
        <w:rPr>
          <w:lang w:bidi="en-US"/>
        </w:rPr>
        <w:t>,</w:t>
      </w:r>
      <w:r w:rsidRPr="00741A9A">
        <w:rPr>
          <w:lang w:bidi="en-US"/>
        </w:rPr>
        <w:t xml:space="preserve"> </w:t>
      </w:r>
      <w:r w:rsidR="00CD5A49">
        <w:rPr>
          <w:lang w:bidi="en-US"/>
        </w:rPr>
        <w:t>G</w:t>
      </w:r>
      <w:r w:rsidR="00F03BF7">
        <w:rPr>
          <w:lang w:bidi="en-US"/>
        </w:rPr>
        <w:t>.</w:t>
      </w:r>
      <w:r w:rsidR="00CD5A49">
        <w:rPr>
          <w:lang w:bidi="en-US"/>
        </w:rPr>
        <w:t>L</w:t>
      </w:r>
      <w:r w:rsidR="00F03BF7">
        <w:rPr>
          <w:lang w:bidi="en-US"/>
        </w:rPr>
        <w:t>.</w:t>
      </w:r>
      <w:r w:rsidR="00CD5A49">
        <w:rPr>
          <w:lang w:bidi="en-US"/>
        </w:rPr>
        <w:t xml:space="preserve"> </w:t>
      </w:r>
      <w:r w:rsidR="00F03BF7">
        <w:rPr>
          <w:lang w:bidi="en-US"/>
        </w:rPr>
        <w:t xml:space="preserve">c. </w:t>
      </w:r>
      <w:r w:rsidR="00CD5A49">
        <w:rPr>
          <w:lang w:bidi="en-US"/>
        </w:rPr>
        <w:t>76</w:t>
      </w:r>
      <w:r w:rsidR="00F03BF7">
        <w:rPr>
          <w:lang w:bidi="en-US"/>
        </w:rPr>
        <w:t>,</w:t>
      </w:r>
      <w:r w:rsidR="00CD5A49">
        <w:rPr>
          <w:lang w:bidi="en-US"/>
        </w:rPr>
        <w:t xml:space="preserve"> </w:t>
      </w:r>
      <w:r w:rsidR="00F03BF7">
        <w:rPr>
          <w:lang w:bidi="en-US"/>
        </w:rPr>
        <w:t xml:space="preserve">§ </w:t>
      </w:r>
      <w:r w:rsidR="00CD5A49">
        <w:rPr>
          <w:lang w:bidi="en-US"/>
        </w:rPr>
        <w:t>12B</w:t>
      </w:r>
      <w:r w:rsidR="00F03BF7">
        <w:rPr>
          <w:lang w:bidi="en-US"/>
        </w:rPr>
        <w:t>,</w:t>
      </w:r>
      <w:r w:rsidR="00CD5A49">
        <w:rPr>
          <w:lang w:bidi="en-US"/>
        </w:rPr>
        <w:t xml:space="preserve"> allows districts</w:t>
      </w:r>
      <w:r w:rsidR="00D15AC6">
        <w:rPr>
          <w:lang w:bidi="en-US"/>
        </w:rPr>
        <w:t xml:space="preserve"> to</w:t>
      </w:r>
      <w:r w:rsidR="00CD5A49">
        <w:rPr>
          <w:lang w:bidi="en-US"/>
        </w:rPr>
        <w:t xml:space="preserve"> enroll</w:t>
      </w:r>
      <w:r w:rsidRPr="00741A9A">
        <w:rPr>
          <w:lang w:bidi="en-US"/>
        </w:rPr>
        <w:t xml:space="preserve"> </w:t>
      </w:r>
      <w:r w:rsidR="00CD5A49">
        <w:rPr>
          <w:lang w:bidi="en-US"/>
        </w:rPr>
        <w:t xml:space="preserve">non-resident </w:t>
      </w:r>
      <w:r w:rsidRPr="00741A9A">
        <w:rPr>
          <w:lang w:bidi="en-US"/>
        </w:rPr>
        <w:t>students from other districts</w:t>
      </w:r>
      <w:r w:rsidR="00CD5A49">
        <w:rPr>
          <w:lang w:bidi="en-US"/>
        </w:rPr>
        <w:t xml:space="preserve">. </w:t>
      </w:r>
      <w:r w:rsidR="0026419F">
        <w:rPr>
          <w:lang w:bidi="en-US"/>
        </w:rPr>
        <w:t xml:space="preserve"> The decision on whether to accept incoming school choice students is made annually by the school committee. </w:t>
      </w:r>
      <w:r w:rsidRPr="00741A9A">
        <w:rPr>
          <w:lang w:bidi="en-US"/>
        </w:rPr>
        <w:t>Districts that cho</w:t>
      </w:r>
      <w:r w:rsidR="00B92841">
        <w:rPr>
          <w:lang w:bidi="en-US"/>
        </w:rPr>
        <w:t>o</w:t>
      </w:r>
      <w:r w:rsidRPr="00741A9A">
        <w:rPr>
          <w:lang w:bidi="en-US"/>
        </w:rPr>
        <w:t xml:space="preserve">se to participate are </w:t>
      </w:r>
      <w:r w:rsidR="0026419F">
        <w:rPr>
          <w:lang w:bidi="en-US"/>
        </w:rPr>
        <w:t>paid tuition</w:t>
      </w:r>
      <w:r w:rsidRPr="00741A9A">
        <w:rPr>
          <w:lang w:bidi="en-US"/>
        </w:rPr>
        <w:t xml:space="preserve"> by the</w:t>
      </w:r>
      <w:r w:rsidR="006C5786">
        <w:rPr>
          <w:lang w:bidi="en-US"/>
        </w:rPr>
        <w:t xml:space="preserve"> sending district at </w:t>
      </w:r>
      <w:r w:rsidR="00CD5A49">
        <w:rPr>
          <w:lang w:bidi="en-US"/>
        </w:rPr>
        <w:t xml:space="preserve">a rate of </w:t>
      </w:r>
      <w:r w:rsidRPr="00741A9A">
        <w:rPr>
          <w:lang w:bidi="en-US"/>
        </w:rPr>
        <w:t>$5,000 per student plus an additional special education increment for each student on a</w:t>
      </w:r>
      <w:r w:rsidR="00A83ACB">
        <w:rPr>
          <w:lang w:bidi="en-US"/>
        </w:rPr>
        <w:t>n</w:t>
      </w:r>
      <w:r w:rsidRPr="00741A9A">
        <w:rPr>
          <w:lang w:bidi="en-US"/>
        </w:rPr>
        <w:t xml:space="preserve"> </w:t>
      </w:r>
      <w:r w:rsidR="00A83ACB">
        <w:rPr>
          <w:lang w:bidi="en-US"/>
        </w:rPr>
        <w:t>individualized education plan (IEP)</w:t>
      </w:r>
      <w:r w:rsidRPr="00741A9A">
        <w:rPr>
          <w:lang w:bidi="en-US"/>
        </w:rPr>
        <w:t xml:space="preserve">, an amount that can vary depending on the level of services that </w:t>
      </w:r>
      <w:r w:rsidR="00486AF0">
        <w:rPr>
          <w:lang w:bidi="en-US"/>
        </w:rPr>
        <w:t>a</w:t>
      </w:r>
      <w:r w:rsidRPr="00741A9A">
        <w:rPr>
          <w:lang w:bidi="en-US"/>
        </w:rPr>
        <w:t xml:space="preserve"> student receive</w:t>
      </w:r>
      <w:r w:rsidR="00486AF0">
        <w:rPr>
          <w:lang w:bidi="en-US"/>
        </w:rPr>
        <w:t>s</w:t>
      </w:r>
      <w:r w:rsidR="00CD5A49">
        <w:rPr>
          <w:lang w:bidi="en-US"/>
        </w:rPr>
        <w:t>. ESE tracks the students who participate in school choice and manages the transfer of tuition payments between sending and receiving districts, which happens through the monthly local aid distribution.</w:t>
      </w:r>
    </w:p>
    <w:p w14:paraId="7A6A615C" w14:textId="77777777" w:rsidR="006C5786" w:rsidRDefault="006C5786" w:rsidP="00CD5A49">
      <w:pPr>
        <w:rPr>
          <w:lang w:bidi="en-US"/>
        </w:rPr>
      </w:pPr>
    </w:p>
    <w:p w14:paraId="5E25FF48" w14:textId="77777777" w:rsidR="00CD5A49" w:rsidRDefault="00CD5A49" w:rsidP="00CD5A49">
      <w:pPr>
        <w:rPr>
          <w:lang w:bidi="en-US"/>
        </w:rPr>
      </w:pPr>
      <w:r>
        <w:rPr>
          <w:lang w:bidi="en-US"/>
        </w:rPr>
        <w:t>Participation in school choice has g</w:t>
      </w:r>
      <w:r w:rsidR="003E243E">
        <w:rPr>
          <w:lang w:bidi="en-US"/>
        </w:rPr>
        <w:t xml:space="preserve">rown steadily </w:t>
      </w:r>
      <w:r w:rsidR="006C5786">
        <w:rPr>
          <w:lang w:bidi="en-US"/>
        </w:rPr>
        <w:t xml:space="preserve">over time, increasing from </w:t>
      </w:r>
      <w:r w:rsidR="00F23DCF">
        <w:rPr>
          <w:lang w:bidi="en-US"/>
        </w:rPr>
        <w:t>6,039</w:t>
      </w:r>
      <w:r w:rsidR="006C5786">
        <w:rPr>
          <w:lang w:bidi="en-US"/>
        </w:rPr>
        <w:t xml:space="preserve"> students in </w:t>
      </w:r>
      <w:r w:rsidR="00F23DCF">
        <w:rPr>
          <w:lang w:bidi="en-US"/>
        </w:rPr>
        <w:t>fiscal year 1996</w:t>
      </w:r>
      <w:r w:rsidR="006C5786">
        <w:rPr>
          <w:lang w:bidi="en-US"/>
        </w:rPr>
        <w:t xml:space="preserve"> to </w:t>
      </w:r>
      <w:r w:rsidR="00F23DCF">
        <w:rPr>
          <w:lang w:bidi="en-US"/>
        </w:rPr>
        <w:t>16,353</w:t>
      </w:r>
      <w:r w:rsidR="006C5786">
        <w:rPr>
          <w:lang w:bidi="en-US"/>
        </w:rPr>
        <w:t xml:space="preserve"> students in </w:t>
      </w:r>
      <w:r w:rsidR="00F23DCF">
        <w:rPr>
          <w:lang w:bidi="en-US"/>
        </w:rPr>
        <w:t>fiscal year 2017,</w:t>
      </w:r>
      <w:r w:rsidR="006C5786">
        <w:rPr>
          <w:lang w:bidi="en-US"/>
        </w:rPr>
        <w:t xml:space="preserve"> an increase of </w:t>
      </w:r>
      <w:r w:rsidR="00F23DCF">
        <w:rPr>
          <w:lang w:bidi="en-US"/>
        </w:rPr>
        <w:t>170 percent. Statewide tuition now totals</w:t>
      </w:r>
      <w:r w:rsidR="006C5786">
        <w:rPr>
          <w:lang w:bidi="en-US"/>
        </w:rPr>
        <w:t xml:space="preserve"> </w:t>
      </w:r>
      <w:r w:rsidR="00597966">
        <w:rPr>
          <w:lang w:bidi="en-US"/>
        </w:rPr>
        <w:t>$100.2 million</w:t>
      </w:r>
      <w:r w:rsidR="003E243E">
        <w:rPr>
          <w:lang w:bidi="en-US"/>
        </w:rPr>
        <w:t xml:space="preserve">. </w:t>
      </w:r>
      <w:r w:rsidR="00597966">
        <w:rPr>
          <w:lang w:bidi="en-US"/>
        </w:rPr>
        <w:t>There are</w:t>
      </w:r>
      <w:r w:rsidR="00D15AC6">
        <w:rPr>
          <w:lang w:bidi="en-US"/>
        </w:rPr>
        <w:t xml:space="preserve"> now</w:t>
      </w:r>
      <w:r w:rsidR="00597966">
        <w:rPr>
          <w:lang w:bidi="en-US"/>
        </w:rPr>
        <w:t xml:space="preserve"> 189 d</w:t>
      </w:r>
      <w:r w:rsidR="003E243E">
        <w:rPr>
          <w:lang w:bidi="en-US"/>
        </w:rPr>
        <w:t xml:space="preserve">istricts across the Commonwealth </w:t>
      </w:r>
      <w:r w:rsidR="00597966">
        <w:rPr>
          <w:lang w:bidi="en-US"/>
        </w:rPr>
        <w:t xml:space="preserve">that enroll </w:t>
      </w:r>
      <w:r w:rsidR="003E243E">
        <w:rPr>
          <w:lang w:bidi="en-US"/>
        </w:rPr>
        <w:t>school choice</w:t>
      </w:r>
      <w:r w:rsidR="00597966">
        <w:rPr>
          <w:lang w:bidi="en-US"/>
        </w:rPr>
        <w:t xml:space="preserve"> studen</w:t>
      </w:r>
      <w:r w:rsidR="00BF61F5">
        <w:rPr>
          <w:lang w:bidi="en-US"/>
        </w:rPr>
        <w:t>t</w:t>
      </w:r>
      <w:r w:rsidR="00597966">
        <w:rPr>
          <w:lang w:bidi="en-US"/>
        </w:rPr>
        <w:t>s</w:t>
      </w:r>
      <w:r w:rsidR="00FA4415">
        <w:rPr>
          <w:lang w:bidi="en-US"/>
        </w:rPr>
        <w:t xml:space="preserve">. </w:t>
      </w:r>
      <w:r w:rsidR="00850880">
        <w:rPr>
          <w:lang w:bidi="en-US"/>
        </w:rPr>
        <w:t>N</w:t>
      </w:r>
      <w:r w:rsidR="003E243E">
        <w:rPr>
          <w:lang w:bidi="en-US"/>
        </w:rPr>
        <w:t>otabl</w:t>
      </w:r>
      <w:r w:rsidR="00597966">
        <w:rPr>
          <w:lang w:bidi="en-US"/>
        </w:rPr>
        <w:t>y</w:t>
      </w:r>
      <w:r w:rsidR="00850880">
        <w:rPr>
          <w:lang w:bidi="en-US"/>
        </w:rPr>
        <w:t>,</w:t>
      </w:r>
      <w:r w:rsidR="003E243E">
        <w:rPr>
          <w:lang w:bidi="en-US"/>
        </w:rPr>
        <w:t xml:space="preserve"> there </w:t>
      </w:r>
      <w:r w:rsidR="00597966">
        <w:rPr>
          <w:lang w:bidi="en-US"/>
        </w:rPr>
        <w:t>are</w:t>
      </w:r>
      <w:r w:rsidR="003E243E">
        <w:rPr>
          <w:lang w:bidi="en-US"/>
        </w:rPr>
        <w:t xml:space="preserve"> higher rate</w:t>
      </w:r>
      <w:r w:rsidR="00597966">
        <w:rPr>
          <w:lang w:bidi="en-US"/>
        </w:rPr>
        <w:t>s</w:t>
      </w:r>
      <w:r w:rsidR="003E243E">
        <w:rPr>
          <w:lang w:bidi="en-US"/>
        </w:rPr>
        <w:t xml:space="preserve"> of participation in </w:t>
      </w:r>
      <w:r w:rsidR="00842952">
        <w:rPr>
          <w:lang w:bidi="en-US"/>
        </w:rPr>
        <w:t>western</w:t>
      </w:r>
      <w:r w:rsidR="00597966">
        <w:rPr>
          <w:lang w:bidi="en-US"/>
        </w:rPr>
        <w:t>, central,</w:t>
      </w:r>
      <w:r w:rsidR="00842952">
        <w:rPr>
          <w:lang w:bidi="en-US"/>
        </w:rPr>
        <w:t xml:space="preserve"> and southeastern</w:t>
      </w:r>
      <w:r w:rsidR="003E243E">
        <w:rPr>
          <w:lang w:bidi="en-US"/>
        </w:rPr>
        <w:t xml:space="preserve"> counties, particularly in areas where the rural school districts defined in this report are located.</w:t>
      </w:r>
    </w:p>
    <w:p w14:paraId="72BF468B" w14:textId="77777777" w:rsidR="00CD5A49" w:rsidRPr="00741A9A" w:rsidRDefault="00CD5A49" w:rsidP="00CD5A49">
      <w:pPr>
        <w:rPr>
          <w:lang w:bidi="en-US"/>
        </w:rPr>
      </w:pPr>
    </w:p>
    <w:p w14:paraId="2F023716" w14:textId="77777777" w:rsidR="00F678F6" w:rsidRDefault="00741A9A" w:rsidP="00CD5A49">
      <w:pPr>
        <w:rPr>
          <w:lang w:bidi="en-US"/>
        </w:rPr>
      </w:pPr>
      <w:r w:rsidRPr="00741A9A">
        <w:rPr>
          <w:lang w:bidi="en-US"/>
        </w:rPr>
        <w:t xml:space="preserve">As enrollment declines in rural districts, some </w:t>
      </w:r>
      <w:r w:rsidR="00842952">
        <w:rPr>
          <w:lang w:bidi="en-US"/>
        </w:rPr>
        <w:t>of these</w:t>
      </w:r>
      <w:r w:rsidRPr="00741A9A">
        <w:rPr>
          <w:lang w:bidi="en-US"/>
        </w:rPr>
        <w:t xml:space="preserve"> districts are relying more on school choice to fill seats in their classrooms</w:t>
      </w:r>
      <w:r w:rsidR="00CD5A49">
        <w:rPr>
          <w:lang w:bidi="en-US"/>
        </w:rPr>
        <w:t xml:space="preserve">. </w:t>
      </w:r>
      <w:r w:rsidRPr="00741A9A">
        <w:rPr>
          <w:lang w:bidi="en-US"/>
        </w:rPr>
        <w:t>Between 2008 and 2017, sc</w:t>
      </w:r>
      <w:r w:rsidR="00CD5A49">
        <w:rPr>
          <w:lang w:bidi="en-US"/>
        </w:rPr>
        <w:t>hool choice enrollment</w:t>
      </w:r>
      <w:r w:rsidRPr="00741A9A">
        <w:rPr>
          <w:lang w:bidi="en-US"/>
        </w:rPr>
        <w:t xml:space="preserve"> grew at a similar rate between rural </w:t>
      </w:r>
      <w:r w:rsidR="00D15AC6">
        <w:rPr>
          <w:lang w:bidi="en-US"/>
        </w:rPr>
        <w:t xml:space="preserve">districts </w:t>
      </w:r>
      <w:r w:rsidRPr="00741A9A">
        <w:rPr>
          <w:lang w:bidi="en-US"/>
        </w:rPr>
        <w:t xml:space="preserve">and </w:t>
      </w:r>
      <w:r w:rsidR="00842952">
        <w:rPr>
          <w:lang w:bidi="en-US"/>
        </w:rPr>
        <w:t>all other districts in the state</w:t>
      </w:r>
      <w:r w:rsidRPr="00741A9A">
        <w:rPr>
          <w:lang w:bidi="en-US"/>
        </w:rPr>
        <w:t>, 35 percent versus 33 percent.</w:t>
      </w:r>
      <w:r w:rsidR="00CD5A49">
        <w:rPr>
          <w:lang w:bidi="en-US"/>
        </w:rPr>
        <w:t xml:space="preserve"> </w:t>
      </w:r>
      <w:r w:rsidRPr="00741A9A">
        <w:rPr>
          <w:lang w:bidi="en-US"/>
        </w:rPr>
        <w:t xml:space="preserve">However, choice </w:t>
      </w:r>
      <w:r w:rsidR="000F6F74">
        <w:rPr>
          <w:lang w:bidi="en-US"/>
        </w:rPr>
        <w:t>students</w:t>
      </w:r>
      <w:r w:rsidRPr="00741A9A">
        <w:rPr>
          <w:lang w:bidi="en-US"/>
        </w:rPr>
        <w:t xml:space="preserve"> make up a much higher percentage of </w:t>
      </w:r>
      <w:r w:rsidR="000F6F74">
        <w:rPr>
          <w:lang w:bidi="en-US"/>
        </w:rPr>
        <w:t xml:space="preserve">total </w:t>
      </w:r>
      <w:r w:rsidRPr="00741A9A">
        <w:rPr>
          <w:lang w:bidi="en-US"/>
        </w:rPr>
        <w:t xml:space="preserve">enrollment in rural districts </w:t>
      </w:r>
      <w:r w:rsidR="00F23DCF">
        <w:rPr>
          <w:lang w:bidi="en-US"/>
        </w:rPr>
        <w:t xml:space="preserve">than it does </w:t>
      </w:r>
      <w:r w:rsidR="00850880">
        <w:rPr>
          <w:lang w:bidi="en-US"/>
        </w:rPr>
        <w:t xml:space="preserve">in </w:t>
      </w:r>
      <w:r w:rsidR="00023473">
        <w:rPr>
          <w:lang w:bidi="en-US"/>
        </w:rPr>
        <w:t>districts across the rest of the state</w:t>
      </w:r>
      <w:r w:rsidRPr="00741A9A">
        <w:rPr>
          <w:lang w:bidi="en-US"/>
        </w:rPr>
        <w:t xml:space="preserve">, 13.2 percent versus 1.2 percent. Since 2008, school choice enrollment as a percentage of total enrollment grew by close to 5 percentage </w:t>
      </w:r>
      <w:r w:rsidRPr="00741A9A">
        <w:rPr>
          <w:lang w:bidi="en-US"/>
        </w:rPr>
        <w:lastRenderedPageBreak/>
        <w:t>points in rural districts</w:t>
      </w:r>
      <w:r w:rsidR="000C1CC6">
        <w:rPr>
          <w:lang w:bidi="en-US"/>
        </w:rPr>
        <w:t>, suggesting that as enrollment declines in these districts a higher percentage of seats are being filled by non-resident students</w:t>
      </w:r>
      <w:r w:rsidRPr="00741A9A">
        <w:rPr>
          <w:lang w:bidi="en-US"/>
        </w:rPr>
        <w:t>.</w:t>
      </w:r>
      <w:r w:rsidR="00933914">
        <w:rPr>
          <w:lang w:bidi="en-US"/>
        </w:rPr>
        <w:t xml:space="preserve"> </w:t>
      </w:r>
    </w:p>
    <w:p w14:paraId="030812C0" w14:textId="77777777" w:rsidR="00F678F6" w:rsidRDefault="00F678F6" w:rsidP="00CD5A49">
      <w:pPr>
        <w:rPr>
          <w:lang w:bidi="en-US"/>
        </w:rPr>
      </w:pPr>
    </w:p>
    <w:p w14:paraId="67C3F55D" w14:textId="77777777" w:rsidR="008A7A3E" w:rsidRDefault="00000E76" w:rsidP="008A7A3E">
      <w:pPr>
        <w:rPr>
          <w:lang w:bidi="en-US"/>
        </w:rPr>
      </w:pPr>
      <w:r>
        <w:rPr>
          <w:lang w:bidi="en-US"/>
        </w:rPr>
        <w:t>In fiscal year 2017, there were</w:t>
      </w:r>
      <w:r w:rsidR="003C4405" w:rsidRPr="003C4405">
        <w:rPr>
          <w:lang w:bidi="en-US"/>
        </w:rPr>
        <w:t xml:space="preserve"> </w:t>
      </w:r>
      <w:r w:rsidR="007E668A">
        <w:rPr>
          <w:lang w:bidi="en-US"/>
        </w:rPr>
        <w:t>3,468</w:t>
      </w:r>
      <w:r w:rsidR="003C4405" w:rsidRPr="003C4405">
        <w:rPr>
          <w:lang w:bidi="en-US"/>
        </w:rPr>
        <w:t xml:space="preserve"> school choice students enrolled in rural school districts</w:t>
      </w:r>
      <w:r w:rsidR="00A43AD1">
        <w:rPr>
          <w:lang w:bidi="en-US"/>
        </w:rPr>
        <w:t>, generating $21.6 million in tuition revenues.</w:t>
      </w:r>
      <w:r w:rsidR="008A7A3E" w:rsidRPr="008A7A3E">
        <w:rPr>
          <w:lang w:bidi="en-US"/>
        </w:rPr>
        <w:t xml:space="preserve"> </w:t>
      </w:r>
      <w:r w:rsidR="008A7A3E">
        <w:rPr>
          <w:lang w:bidi="en-US"/>
        </w:rPr>
        <w:t>Most of these students, 2,6</w:t>
      </w:r>
      <w:r w:rsidR="007E668A">
        <w:rPr>
          <w:lang w:bidi="en-US"/>
        </w:rPr>
        <w:t>23</w:t>
      </w:r>
      <w:r w:rsidR="0038455C">
        <w:rPr>
          <w:lang w:bidi="en-US"/>
        </w:rPr>
        <w:t xml:space="preserve"> or 75 percent</w:t>
      </w:r>
      <w:r w:rsidR="008A7A3E">
        <w:rPr>
          <w:lang w:bidi="en-US"/>
        </w:rPr>
        <w:t>, c</w:t>
      </w:r>
      <w:r>
        <w:rPr>
          <w:lang w:bidi="en-US"/>
        </w:rPr>
        <w:t>a</w:t>
      </w:r>
      <w:r w:rsidR="008A7A3E">
        <w:rPr>
          <w:lang w:bidi="en-US"/>
        </w:rPr>
        <w:t>me from non-ru</w:t>
      </w:r>
      <w:r w:rsidR="0038455C">
        <w:rPr>
          <w:lang w:bidi="en-US"/>
        </w:rPr>
        <w:t>ral districts, accounting for</w:t>
      </w:r>
      <w:r w:rsidR="008A7A3E">
        <w:rPr>
          <w:lang w:bidi="en-US"/>
        </w:rPr>
        <w:t xml:space="preserve"> $16.3 million</w:t>
      </w:r>
      <w:r w:rsidR="0038455C">
        <w:rPr>
          <w:lang w:bidi="en-US"/>
        </w:rPr>
        <w:t xml:space="preserve"> of total revenues</w:t>
      </w:r>
      <w:r w:rsidR="008A7A3E">
        <w:rPr>
          <w:lang w:bidi="en-US"/>
        </w:rPr>
        <w:t xml:space="preserve">. </w:t>
      </w:r>
      <w:r>
        <w:rPr>
          <w:lang w:bidi="en-US"/>
        </w:rPr>
        <w:t>The remaining students</w:t>
      </w:r>
      <w:r w:rsidR="008A7A3E" w:rsidRPr="00741A9A">
        <w:rPr>
          <w:lang w:bidi="en-US"/>
        </w:rPr>
        <w:t xml:space="preserve"> </w:t>
      </w:r>
      <w:r w:rsidR="00BB7501">
        <w:rPr>
          <w:lang w:bidi="en-US"/>
        </w:rPr>
        <w:t xml:space="preserve">moved </w:t>
      </w:r>
      <w:r w:rsidR="007E668A">
        <w:rPr>
          <w:lang w:bidi="en-US"/>
        </w:rPr>
        <w:t>between</w:t>
      </w:r>
      <w:r w:rsidR="008A7A3E" w:rsidRPr="00741A9A">
        <w:rPr>
          <w:lang w:bidi="en-US"/>
        </w:rPr>
        <w:t xml:space="preserve"> rural districts, 845 students </w:t>
      </w:r>
      <w:r w:rsidR="0038455C">
        <w:rPr>
          <w:lang w:bidi="en-US"/>
        </w:rPr>
        <w:t xml:space="preserve">at a </w:t>
      </w:r>
      <w:r w:rsidR="008A7A3E">
        <w:rPr>
          <w:lang w:bidi="en-US"/>
        </w:rPr>
        <w:t>total cost of $5.2 million</w:t>
      </w:r>
      <w:r w:rsidR="008A7A3E" w:rsidRPr="00741A9A">
        <w:rPr>
          <w:lang w:bidi="en-US"/>
        </w:rPr>
        <w:t>.</w:t>
      </w:r>
      <w:r>
        <w:rPr>
          <w:rStyle w:val="FootnoteReference"/>
          <w:lang w:bidi="en-US"/>
        </w:rPr>
        <w:footnoteReference w:id="7"/>
      </w:r>
      <w:r w:rsidR="008A7A3E">
        <w:rPr>
          <w:lang w:bidi="en-US"/>
        </w:rPr>
        <w:t xml:space="preserve"> At the same time</w:t>
      </w:r>
      <w:r w:rsidR="0038455C">
        <w:rPr>
          <w:lang w:bidi="en-US"/>
        </w:rPr>
        <w:t>,</w:t>
      </w:r>
      <w:r w:rsidR="008A7A3E">
        <w:rPr>
          <w:lang w:bidi="en-US"/>
        </w:rPr>
        <w:t xml:space="preserve"> rural districts sen</w:t>
      </w:r>
      <w:r>
        <w:rPr>
          <w:lang w:bidi="en-US"/>
        </w:rPr>
        <w:t>t</w:t>
      </w:r>
      <w:r w:rsidR="008A7A3E">
        <w:rPr>
          <w:lang w:bidi="en-US"/>
        </w:rPr>
        <w:t xml:space="preserve"> 1,676 students to other districts at a total cost of $10.7 million. </w:t>
      </w:r>
      <w:r w:rsidR="007E668A">
        <w:rPr>
          <w:lang w:bidi="en-US"/>
        </w:rPr>
        <w:t xml:space="preserve">On balance, rural districts </w:t>
      </w:r>
      <w:r>
        <w:rPr>
          <w:lang w:bidi="en-US"/>
        </w:rPr>
        <w:t xml:space="preserve">received $10.9 million more in </w:t>
      </w:r>
      <w:r w:rsidR="007E668A">
        <w:rPr>
          <w:lang w:bidi="en-US"/>
        </w:rPr>
        <w:t>school choice</w:t>
      </w:r>
      <w:r>
        <w:rPr>
          <w:lang w:bidi="en-US"/>
        </w:rPr>
        <w:t xml:space="preserve"> revenue than they paid in tuition</w:t>
      </w:r>
      <w:r w:rsidR="007E668A">
        <w:rPr>
          <w:lang w:bidi="en-US"/>
        </w:rPr>
        <w:t xml:space="preserve">, but </w:t>
      </w:r>
      <w:r w:rsidR="0026419F">
        <w:rPr>
          <w:lang w:bidi="en-US"/>
        </w:rPr>
        <w:t>it is unclear</w:t>
      </w:r>
      <w:r w:rsidR="007E668A">
        <w:rPr>
          <w:lang w:bidi="en-US"/>
        </w:rPr>
        <w:t xml:space="preserve"> whether the net revenues are covering the cost of educating the students that they accept</w:t>
      </w:r>
      <w:r>
        <w:rPr>
          <w:lang w:bidi="en-US"/>
        </w:rPr>
        <w:t>ed</w:t>
      </w:r>
      <w:r w:rsidR="007E668A">
        <w:rPr>
          <w:lang w:bidi="en-US"/>
        </w:rPr>
        <w:t>.</w:t>
      </w:r>
    </w:p>
    <w:p w14:paraId="63A8D1AB" w14:textId="77777777" w:rsidR="00CD5A49" w:rsidRDefault="00CD5A49" w:rsidP="00CD5A49">
      <w:pPr>
        <w:rPr>
          <w:lang w:bidi="en-US"/>
        </w:rPr>
      </w:pPr>
    </w:p>
    <w:p w14:paraId="5E8078A4" w14:textId="77777777" w:rsidR="00741A9A" w:rsidRDefault="00741A9A" w:rsidP="00CD5A49">
      <w:pPr>
        <w:rPr>
          <w:lang w:bidi="en-US"/>
        </w:rPr>
      </w:pPr>
      <w:r w:rsidRPr="00741A9A">
        <w:rPr>
          <w:lang w:bidi="en-US"/>
        </w:rPr>
        <w:t>Some rural districts have higher percentages of school choice enrollment than others</w:t>
      </w:r>
      <w:r w:rsidR="00850880">
        <w:rPr>
          <w:lang w:bidi="en-US"/>
        </w:rPr>
        <w:t>.</w:t>
      </w:r>
      <w:r w:rsidRPr="00741A9A">
        <w:rPr>
          <w:lang w:bidi="en-US"/>
        </w:rPr>
        <w:t xml:space="preserve"> </w:t>
      </w:r>
      <w:r w:rsidR="00850880">
        <w:rPr>
          <w:lang w:bidi="en-US"/>
        </w:rPr>
        <w:t>I</w:t>
      </w:r>
      <w:r w:rsidRPr="00741A9A">
        <w:rPr>
          <w:lang w:bidi="en-US"/>
        </w:rPr>
        <w:t>n a few districts</w:t>
      </w:r>
      <w:r w:rsidR="00850880">
        <w:rPr>
          <w:lang w:bidi="en-US"/>
        </w:rPr>
        <w:t>,</w:t>
      </w:r>
      <w:r w:rsidRPr="00741A9A">
        <w:rPr>
          <w:lang w:bidi="en-US"/>
        </w:rPr>
        <w:t xml:space="preserve"> school choice </w:t>
      </w:r>
      <w:r w:rsidR="00D15AC6">
        <w:rPr>
          <w:lang w:bidi="en-US"/>
        </w:rPr>
        <w:t xml:space="preserve">students </w:t>
      </w:r>
      <w:r w:rsidRPr="00741A9A">
        <w:rPr>
          <w:lang w:bidi="en-US"/>
        </w:rPr>
        <w:t xml:space="preserve">make up as much as half of the total </w:t>
      </w:r>
      <w:r w:rsidR="00F95AFD" w:rsidRPr="00741A9A">
        <w:rPr>
          <w:lang w:bidi="en-US"/>
        </w:rPr>
        <w:t>enrollment</w:t>
      </w:r>
      <w:r w:rsidR="00F95AFD">
        <w:rPr>
          <w:lang w:bidi="en-US"/>
        </w:rPr>
        <w:t>,</w:t>
      </w:r>
      <w:r w:rsidR="00D15AC6">
        <w:rPr>
          <w:lang w:bidi="en-US"/>
        </w:rPr>
        <w:t xml:space="preserve"> </w:t>
      </w:r>
      <w:r w:rsidRPr="00741A9A">
        <w:rPr>
          <w:lang w:bidi="en-US"/>
        </w:rPr>
        <w:t xml:space="preserve">see </w:t>
      </w:r>
      <w:r w:rsidR="00B1372C">
        <w:rPr>
          <w:lang w:bidi="en-US"/>
        </w:rPr>
        <w:t>T</w:t>
      </w:r>
      <w:r w:rsidRPr="00741A9A">
        <w:rPr>
          <w:lang w:bidi="en-US"/>
        </w:rPr>
        <w:t xml:space="preserve">able </w:t>
      </w:r>
      <w:r w:rsidR="00D15AC6">
        <w:rPr>
          <w:lang w:bidi="en-US"/>
        </w:rPr>
        <w:t>3</w:t>
      </w:r>
      <w:r w:rsidRPr="00741A9A">
        <w:rPr>
          <w:lang w:bidi="en-US"/>
        </w:rPr>
        <w:t xml:space="preserve">. Most rural districts </w:t>
      </w:r>
      <w:r w:rsidR="00F678F6">
        <w:rPr>
          <w:lang w:bidi="en-US"/>
        </w:rPr>
        <w:t xml:space="preserve">receive more </w:t>
      </w:r>
      <w:r w:rsidRPr="00741A9A">
        <w:rPr>
          <w:lang w:bidi="en-US"/>
        </w:rPr>
        <w:t xml:space="preserve">students </w:t>
      </w:r>
      <w:r w:rsidR="00F678F6">
        <w:rPr>
          <w:lang w:bidi="en-US"/>
        </w:rPr>
        <w:t xml:space="preserve">through school choice </w:t>
      </w:r>
      <w:r w:rsidRPr="00741A9A">
        <w:rPr>
          <w:lang w:bidi="en-US"/>
        </w:rPr>
        <w:t xml:space="preserve">than they </w:t>
      </w:r>
      <w:r w:rsidR="00F678F6">
        <w:rPr>
          <w:lang w:bidi="en-US"/>
        </w:rPr>
        <w:t>send out</w:t>
      </w:r>
      <w:r w:rsidRPr="00741A9A">
        <w:rPr>
          <w:lang w:bidi="en-US"/>
        </w:rPr>
        <w:t>, though there are</w:t>
      </w:r>
      <w:r w:rsidR="00F678F6">
        <w:rPr>
          <w:lang w:bidi="en-US"/>
        </w:rPr>
        <w:t xml:space="preserve"> exceptions</w:t>
      </w:r>
      <w:r w:rsidR="00933914">
        <w:rPr>
          <w:lang w:bidi="en-US"/>
        </w:rPr>
        <w:t xml:space="preserve">, including </w:t>
      </w:r>
      <w:r w:rsidR="00FD3F83">
        <w:rPr>
          <w:lang w:bidi="en-US"/>
        </w:rPr>
        <w:t>Edgartown</w:t>
      </w:r>
      <w:r w:rsidR="00D66D51">
        <w:rPr>
          <w:lang w:bidi="en-US"/>
        </w:rPr>
        <w:t>,</w:t>
      </w:r>
      <w:r w:rsidR="00933914">
        <w:rPr>
          <w:lang w:bidi="en-US"/>
        </w:rPr>
        <w:t xml:space="preserve"> </w:t>
      </w:r>
      <w:r w:rsidR="00FD3F83">
        <w:rPr>
          <w:lang w:bidi="en-US"/>
        </w:rPr>
        <w:t>Worthington</w:t>
      </w:r>
      <w:r w:rsidR="00933914">
        <w:rPr>
          <w:lang w:bidi="en-US"/>
        </w:rPr>
        <w:t xml:space="preserve">, </w:t>
      </w:r>
      <w:r w:rsidR="00FD3F83">
        <w:rPr>
          <w:lang w:bidi="en-US"/>
        </w:rPr>
        <w:t>Farmington River</w:t>
      </w:r>
      <w:r w:rsidR="00933914">
        <w:rPr>
          <w:lang w:bidi="en-US"/>
        </w:rPr>
        <w:t xml:space="preserve">, and </w:t>
      </w:r>
      <w:r w:rsidR="00FD3F83">
        <w:rPr>
          <w:lang w:bidi="en-US"/>
        </w:rPr>
        <w:t>Gateway</w:t>
      </w:r>
      <w:r w:rsidR="00FA4415">
        <w:rPr>
          <w:lang w:bidi="en-US"/>
        </w:rPr>
        <w:t xml:space="preserve">. </w:t>
      </w:r>
      <w:r w:rsidR="00210DD7">
        <w:rPr>
          <w:lang w:bidi="en-US"/>
        </w:rPr>
        <w:t xml:space="preserve">Other </w:t>
      </w:r>
      <w:r w:rsidR="00933914">
        <w:rPr>
          <w:lang w:bidi="en-US"/>
        </w:rPr>
        <w:t xml:space="preserve">districts in the same regions of the state, even though they are not classified as rural, are also impacted. Greenfield, for example, now sends </w:t>
      </w:r>
      <w:r w:rsidR="00AB321D">
        <w:rPr>
          <w:lang w:bidi="en-US"/>
        </w:rPr>
        <w:t>3</w:t>
      </w:r>
      <w:r w:rsidR="000C1CC6">
        <w:rPr>
          <w:lang w:bidi="en-US"/>
        </w:rPr>
        <w:t>03</w:t>
      </w:r>
      <w:r w:rsidR="00933914">
        <w:rPr>
          <w:lang w:bidi="en-US"/>
        </w:rPr>
        <w:t xml:space="preserve"> students to surrounding </w:t>
      </w:r>
      <w:r w:rsidR="00AB321D">
        <w:rPr>
          <w:lang w:bidi="en-US"/>
        </w:rPr>
        <w:t xml:space="preserve">schools </w:t>
      </w:r>
      <w:r w:rsidR="00933914">
        <w:rPr>
          <w:lang w:bidi="en-US"/>
        </w:rPr>
        <w:t xml:space="preserve">districts, </w:t>
      </w:r>
      <w:r w:rsidR="007B2407">
        <w:rPr>
          <w:lang w:bidi="en-US"/>
        </w:rPr>
        <w:t>about three</w:t>
      </w:r>
      <w:r w:rsidR="00210DD7">
        <w:rPr>
          <w:lang w:bidi="en-US"/>
        </w:rPr>
        <w:t>-</w:t>
      </w:r>
      <w:r w:rsidR="007B2407">
        <w:rPr>
          <w:lang w:bidi="en-US"/>
        </w:rPr>
        <w:t xml:space="preserve">quarters </w:t>
      </w:r>
      <w:r w:rsidR="00CB3A18">
        <w:rPr>
          <w:lang w:bidi="en-US"/>
        </w:rPr>
        <w:t>wh</w:t>
      </w:r>
      <w:r w:rsidR="007E668A">
        <w:rPr>
          <w:lang w:bidi="en-US"/>
        </w:rPr>
        <w:t>o</w:t>
      </w:r>
      <w:r w:rsidR="00AB321D">
        <w:rPr>
          <w:lang w:bidi="en-US"/>
        </w:rPr>
        <w:t xml:space="preserve"> attend </w:t>
      </w:r>
      <w:r w:rsidR="000C1CC6">
        <w:rPr>
          <w:lang w:bidi="en-US"/>
        </w:rPr>
        <w:t xml:space="preserve">school in </w:t>
      </w:r>
      <w:r w:rsidR="00933914">
        <w:rPr>
          <w:lang w:bidi="en-US"/>
        </w:rPr>
        <w:t>rural</w:t>
      </w:r>
      <w:r w:rsidR="00486AF0">
        <w:rPr>
          <w:lang w:bidi="en-US"/>
        </w:rPr>
        <w:t xml:space="preserve"> school districts</w:t>
      </w:r>
      <w:r w:rsidR="007043D2">
        <w:rPr>
          <w:lang w:bidi="en-US"/>
        </w:rPr>
        <w:t>, at a total cost of $2.5 million</w:t>
      </w:r>
      <w:r w:rsidR="00933914">
        <w:rPr>
          <w:lang w:bidi="en-US"/>
        </w:rPr>
        <w:t>.</w:t>
      </w:r>
      <w:r w:rsidR="007043D2">
        <w:rPr>
          <w:lang w:bidi="en-US"/>
        </w:rPr>
        <w:t xml:space="preserve"> </w:t>
      </w:r>
      <w:r w:rsidR="00CB3A18">
        <w:rPr>
          <w:lang w:bidi="en-US"/>
        </w:rPr>
        <w:t xml:space="preserve">Similarly, </w:t>
      </w:r>
      <w:r w:rsidR="007043D2">
        <w:rPr>
          <w:lang w:bidi="en-US"/>
        </w:rPr>
        <w:t xml:space="preserve">Athol-Royalston </w:t>
      </w:r>
      <w:r w:rsidR="00CB3A18">
        <w:rPr>
          <w:lang w:bidi="en-US"/>
        </w:rPr>
        <w:t>sends 359 students to surrounding districts, with 69 percent enrolled in rural districts, at a total cost of $2.3 million.</w:t>
      </w:r>
    </w:p>
    <w:p w14:paraId="01A11E86" w14:textId="77777777" w:rsidR="00597966" w:rsidRDefault="00597966" w:rsidP="00CD5A49">
      <w:pPr>
        <w:rPr>
          <w:lang w:bidi="en-US"/>
        </w:rPr>
      </w:pPr>
    </w:p>
    <w:tbl>
      <w:tblPr>
        <w:tblStyle w:val="ESETablesOpenStyle"/>
        <w:tblW w:w="0" w:type="auto"/>
        <w:jc w:val="center"/>
        <w:tblLook w:val="04A0" w:firstRow="1" w:lastRow="0" w:firstColumn="1" w:lastColumn="0" w:noHBand="0" w:noVBand="1"/>
      </w:tblPr>
      <w:tblGrid>
        <w:gridCol w:w="1767"/>
        <w:gridCol w:w="1252"/>
        <w:gridCol w:w="1395"/>
        <w:gridCol w:w="941"/>
        <w:gridCol w:w="1181"/>
      </w:tblGrid>
      <w:tr w:rsidR="00CC2E69" w:rsidRPr="007B2407" w14:paraId="769BEE1D" w14:textId="77777777" w:rsidTr="003252F9">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bottom w:val="single" w:sz="12" w:space="0" w:color="auto"/>
            </w:tcBorders>
          </w:tcPr>
          <w:p w14:paraId="1D1CA039" w14:textId="77777777" w:rsidR="00BB7501" w:rsidRPr="00BB7501" w:rsidRDefault="00430DC6" w:rsidP="007B2407">
            <w:pPr>
              <w:rPr>
                <w:rFonts w:ascii="Calibri" w:hAnsi="Calibri"/>
                <w:color w:val="000000"/>
                <w:sz w:val="28"/>
                <w:szCs w:val="28"/>
              </w:rPr>
            </w:pPr>
            <w:r w:rsidRPr="00430DC6">
              <w:rPr>
                <w:rFonts w:ascii="Calibri" w:hAnsi="Calibri"/>
                <w:color w:val="000000"/>
                <w:sz w:val="28"/>
                <w:szCs w:val="28"/>
              </w:rPr>
              <w:t xml:space="preserve">Table 3: 2017 school choice enrollment as a percent of </w:t>
            </w:r>
          </w:p>
          <w:p w14:paraId="6E3B5E42" w14:textId="77777777" w:rsidR="00CC2E69" w:rsidRPr="00BB7501" w:rsidDel="000F1277" w:rsidRDefault="00430DC6" w:rsidP="007B2407">
            <w:pPr>
              <w:rPr>
                <w:rFonts w:ascii="Calibri" w:hAnsi="Calibri"/>
                <w:color w:val="000000"/>
                <w:sz w:val="28"/>
                <w:szCs w:val="28"/>
              </w:rPr>
            </w:pPr>
            <w:r w:rsidRPr="00430DC6">
              <w:rPr>
                <w:rFonts w:ascii="Calibri" w:hAnsi="Calibri"/>
                <w:color w:val="000000"/>
                <w:sz w:val="28"/>
                <w:szCs w:val="28"/>
              </w:rPr>
              <w:t>total enrollment</w:t>
            </w:r>
          </w:p>
        </w:tc>
      </w:tr>
      <w:tr w:rsidR="00BB7501" w:rsidRPr="007B2407" w14:paraId="4B8CE9E2"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noWrap/>
            <w:hideMark/>
          </w:tcPr>
          <w:p w14:paraId="570AD8ED" w14:textId="77777777" w:rsidR="00CC2E69" w:rsidRPr="007B2407" w:rsidRDefault="00CC2E69" w:rsidP="007B2407">
            <w:pPr>
              <w:rPr>
                <w:rFonts w:ascii="Calibri" w:hAnsi="Calibri"/>
                <w:color w:val="000000"/>
                <w:szCs w:val="22"/>
              </w:rPr>
            </w:pPr>
            <w:r w:rsidRPr="007B2407">
              <w:rPr>
                <w:rFonts w:ascii="Calibri" w:hAnsi="Calibri"/>
                <w:color w:val="000000"/>
                <w:szCs w:val="22"/>
              </w:rPr>
              <w:t>District</w:t>
            </w:r>
          </w:p>
        </w:tc>
        <w:tc>
          <w:tcPr>
            <w:tcW w:w="0" w:type="auto"/>
            <w:tcBorders>
              <w:top w:val="single" w:sz="12" w:space="0" w:color="auto"/>
              <w:bottom w:val="single" w:sz="4" w:space="0" w:color="auto"/>
            </w:tcBorders>
          </w:tcPr>
          <w:p w14:paraId="5630E8D1" w14:textId="77777777" w:rsidR="00CC2E69" w:rsidRDefault="00CC2E69" w:rsidP="007043D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 xml:space="preserve">N </w:t>
            </w:r>
            <w:r w:rsidR="007043D2">
              <w:rPr>
                <w:rFonts w:ascii="Calibri" w:hAnsi="Calibri"/>
                <w:color w:val="000000"/>
                <w:szCs w:val="22"/>
              </w:rPr>
              <w:t>S</w:t>
            </w:r>
            <w:r>
              <w:rPr>
                <w:rFonts w:ascii="Calibri" w:hAnsi="Calibri"/>
                <w:color w:val="000000"/>
                <w:szCs w:val="22"/>
              </w:rPr>
              <w:t>chools</w:t>
            </w:r>
          </w:p>
        </w:tc>
        <w:tc>
          <w:tcPr>
            <w:tcW w:w="0" w:type="auto"/>
            <w:tcBorders>
              <w:top w:val="single" w:sz="12" w:space="0" w:color="auto"/>
              <w:bottom w:val="single" w:sz="4" w:space="0" w:color="auto"/>
            </w:tcBorders>
            <w:noWrap/>
            <w:hideMark/>
          </w:tcPr>
          <w:p w14:paraId="2D608945" w14:textId="77777777" w:rsidR="00CC2E69" w:rsidRDefault="00CC2E69" w:rsidP="000F127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Total</w:t>
            </w:r>
          </w:p>
          <w:p w14:paraId="6B7EF2C2" w14:textId="77777777" w:rsidR="007043D2" w:rsidRDefault="007043D2" w:rsidP="000F127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in-district</w:t>
            </w:r>
          </w:p>
          <w:p w14:paraId="0033DC64" w14:textId="77777777" w:rsidR="00CC2E69" w:rsidRPr="007B2407" w:rsidRDefault="007043D2" w:rsidP="000F127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e</w:t>
            </w:r>
            <w:r w:rsidR="00CC2E69" w:rsidRPr="007B2407">
              <w:rPr>
                <w:rFonts w:ascii="Calibri" w:hAnsi="Calibri"/>
                <w:color w:val="000000"/>
                <w:szCs w:val="22"/>
              </w:rPr>
              <w:t>nro</w:t>
            </w:r>
            <w:r w:rsidR="00CC2E69">
              <w:rPr>
                <w:rFonts w:ascii="Calibri" w:hAnsi="Calibri"/>
                <w:color w:val="000000"/>
                <w:szCs w:val="22"/>
              </w:rPr>
              <w:t>llment</w:t>
            </w:r>
          </w:p>
        </w:tc>
        <w:tc>
          <w:tcPr>
            <w:tcW w:w="0" w:type="auto"/>
            <w:tcBorders>
              <w:top w:val="single" w:sz="12" w:space="0" w:color="auto"/>
              <w:bottom w:val="single" w:sz="4" w:space="0" w:color="auto"/>
            </w:tcBorders>
            <w:noWrap/>
            <w:hideMark/>
          </w:tcPr>
          <w:p w14:paraId="609A889F" w14:textId="77777777" w:rsidR="00CC2E69" w:rsidRDefault="00CC2E69" w:rsidP="000F127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Choice</w:t>
            </w:r>
          </w:p>
          <w:p w14:paraId="2378209E" w14:textId="77777777" w:rsidR="00CC2E69" w:rsidRPr="007B2407" w:rsidRDefault="00CC2E69" w:rsidP="000F127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FTEs</w:t>
            </w:r>
          </w:p>
        </w:tc>
        <w:tc>
          <w:tcPr>
            <w:tcW w:w="0" w:type="auto"/>
            <w:tcBorders>
              <w:top w:val="single" w:sz="12" w:space="0" w:color="auto"/>
              <w:bottom w:val="single" w:sz="4" w:space="0" w:color="auto"/>
            </w:tcBorders>
            <w:noWrap/>
            <w:hideMark/>
          </w:tcPr>
          <w:p w14:paraId="528821FE" w14:textId="77777777" w:rsidR="00CC2E69" w:rsidRPr="007B2407" w:rsidRDefault="00CC2E69" w:rsidP="007B240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 Choice</w:t>
            </w:r>
          </w:p>
        </w:tc>
      </w:tr>
      <w:tr w:rsidR="00BB7501" w:rsidRPr="007B2407" w14:paraId="07069034"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77F5706B" w14:textId="77777777" w:rsidR="00CC2E69" w:rsidRPr="007B2407" w:rsidRDefault="00CC2E69" w:rsidP="007B2407">
            <w:pPr>
              <w:rPr>
                <w:rFonts w:ascii="Calibri" w:hAnsi="Calibri"/>
                <w:color w:val="000000"/>
                <w:szCs w:val="22"/>
              </w:rPr>
            </w:pPr>
            <w:r w:rsidRPr="007B2407">
              <w:rPr>
                <w:rFonts w:ascii="Calibri" w:hAnsi="Calibri"/>
                <w:color w:val="000000"/>
                <w:szCs w:val="22"/>
              </w:rPr>
              <w:t>Petersham</w:t>
            </w:r>
          </w:p>
        </w:tc>
        <w:tc>
          <w:tcPr>
            <w:tcW w:w="0" w:type="auto"/>
            <w:tcBorders>
              <w:top w:val="single" w:sz="4" w:space="0" w:color="auto"/>
            </w:tcBorders>
          </w:tcPr>
          <w:p w14:paraId="1DE6B99A"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tcBorders>
              <w:top w:val="single" w:sz="4" w:space="0" w:color="auto"/>
            </w:tcBorders>
            <w:noWrap/>
            <w:hideMark/>
          </w:tcPr>
          <w:p w14:paraId="376AFED2"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124</w:t>
            </w:r>
          </w:p>
        </w:tc>
        <w:tc>
          <w:tcPr>
            <w:tcW w:w="0" w:type="auto"/>
            <w:tcBorders>
              <w:top w:val="single" w:sz="4" w:space="0" w:color="auto"/>
            </w:tcBorders>
            <w:noWrap/>
            <w:hideMark/>
          </w:tcPr>
          <w:p w14:paraId="1EBE88C5"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65.3</w:t>
            </w:r>
          </w:p>
        </w:tc>
        <w:tc>
          <w:tcPr>
            <w:tcW w:w="0" w:type="auto"/>
            <w:tcBorders>
              <w:top w:val="single" w:sz="4" w:space="0" w:color="auto"/>
            </w:tcBorders>
            <w:noWrap/>
            <w:hideMark/>
          </w:tcPr>
          <w:p w14:paraId="0E91B62D"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52.7%</w:t>
            </w:r>
          </w:p>
        </w:tc>
      </w:tr>
      <w:tr w:rsidR="00BB7501" w:rsidRPr="007B2407" w14:paraId="7459449F"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D6C2AE" w14:textId="77777777" w:rsidR="00CC2E69" w:rsidRPr="007B2407" w:rsidRDefault="00CC2E69" w:rsidP="007B2407">
            <w:pPr>
              <w:rPr>
                <w:rFonts w:ascii="Calibri" w:hAnsi="Calibri"/>
                <w:color w:val="000000"/>
                <w:szCs w:val="22"/>
              </w:rPr>
            </w:pPr>
            <w:r w:rsidRPr="007B2407">
              <w:rPr>
                <w:rFonts w:ascii="Calibri" w:hAnsi="Calibri"/>
                <w:color w:val="000000"/>
                <w:szCs w:val="22"/>
              </w:rPr>
              <w:t>Richmond</w:t>
            </w:r>
          </w:p>
        </w:tc>
        <w:tc>
          <w:tcPr>
            <w:tcW w:w="0" w:type="auto"/>
          </w:tcPr>
          <w:p w14:paraId="46F751FF"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191173BD"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173</w:t>
            </w:r>
          </w:p>
        </w:tc>
        <w:tc>
          <w:tcPr>
            <w:tcW w:w="0" w:type="auto"/>
            <w:noWrap/>
            <w:hideMark/>
          </w:tcPr>
          <w:p w14:paraId="4D91D3CE"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84.</w:t>
            </w:r>
            <w:r>
              <w:rPr>
                <w:rFonts w:ascii="Calibri" w:hAnsi="Calibri"/>
                <w:color w:val="000000"/>
                <w:szCs w:val="22"/>
              </w:rPr>
              <w:t>2</w:t>
            </w:r>
          </w:p>
        </w:tc>
        <w:tc>
          <w:tcPr>
            <w:tcW w:w="0" w:type="auto"/>
            <w:noWrap/>
            <w:hideMark/>
          </w:tcPr>
          <w:p w14:paraId="6E775DE0"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48.7%</w:t>
            </w:r>
          </w:p>
        </w:tc>
      </w:tr>
      <w:tr w:rsidR="00BB7501" w:rsidRPr="007B2407" w14:paraId="59B690A0"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AA777B" w14:textId="77777777" w:rsidR="00CC2E69" w:rsidRPr="007B2407" w:rsidRDefault="00CC2E69" w:rsidP="007B2407">
            <w:pPr>
              <w:rPr>
                <w:rFonts w:ascii="Calibri" w:hAnsi="Calibri"/>
                <w:color w:val="000000"/>
                <w:szCs w:val="22"/>
              </w:rPr>
            </w:pPr>
            <w:r w:rsidRPr="007B2407">
              <w:rPr>
                <w:rFonts w:ascii="Calibri" w:hAnsi="Calibri"/>
                <w:color w:val="000000"/>
                <w:szCs w:val="22"/>
              </w:rPr>
              <w:t>Rowe</w:t>
            </w:r>
          </w:p>
        </w:tc>
        <w:tc>
          <w:tcPr>
            <w:tcW w:w="0" w:type="auto"/>
          </w:tcPr>
          <w:p w14:paraId="69B67CED"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18E388BC"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59</w:t>
            </w:r>
          </w:p>
        </w:tc>
        <w:tc>
          <w:tcPr>
            <w:tcW w:w="0" w:type="auto"/>
            <w:noWrap/>
            <w:hideMark/>
          </w:tcPr>
          <w:p w14:paraId="6C0158B4"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26.6</w:t>
            </w:r>
          </w:p>
        </w:tc>
        <w:tc>
          <w:tcPr>
            <w:tcW w:w="0" w:type="auto"/>
            <w:noWrap/>
            <w:hideMark/>
          </w:tcPr>
          <w:p w14:paraId="0AB4EB61"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45.2%</w:t>
            </w:r>
          </w:p>
        </w:tc>
      </w:tr>
      <w:tr w:rsidR="00BB7501" w:rsidRPr="007B2407" w14:paraId="5F40D668"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BD7204B" w14:textId="77777777" w:rsidR="00CC2E69" w:rsidRPr="007B2407" w:rsidRDefault="00CC2E69" w:rsidP="007B2407">
            <w:pPr>
              <w:rPr>
                <w:rFonts w:ascii="Calibri" w:hAnsi="Calibri"/>
                <w:color w:val="000000"/>
                <w:szCs w:val="22"/>
              </w:rPr>
            </w:pPr>
            <w:r w:rsidRPr="007B2407">
              <w:rPr>
                <w:rFonts w:ascii="Calibri" w:hAnsi="Calibri"/>
                <w:color w:val="000000"/>
                <w:szCs w:val="22"/>
              </w:rPr>
              <w:t>Provincetown</w:t>
            </w:r>
          </w:p>
        </w:tc>
        <w:tc>
          <w:tcPr>
            <w:tcW w:w="0" w:type="auto"/>
          </w:tcPr>
          <w:p w14:paraId="16FEB2BE"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441BE02A"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129</w:t>
            </w:r>
          </w:p>
        </w:tc>
        <w:tc>
          <w:tcPr>
            <w:tcW w:w="0" w:type="auto"/>
            <w:noWrap/>
            <w:hideMark/>
          </w:tcPr>
          <w:p w14:paraId="7C738D7C"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54.1</w:t>
            </w:r>
          </w:p>
        </w:tc>
        <w:tc>
          <w:tcPr>
            <w:tcW w:w="0" w:type="auto"/>
            <w:noWrap/>
            <w:hideMark/>
          </w:tcPr>
          <w:p w14:paraId="7807D344"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42.0%</w:t>
            </w:r>
          </w:p>
        </w:tc>
      </w:tr>
      <w:tr w:rsidR="00BB7501" w:rsidRPr="007B2407" w14:paraId="4D2A479C"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56E339D" w14:textId="77777777" w:rsidR="00CC2E69" w:rsidRPr="007B2407" w:rsidRDefault="00CC2E69" w:rsidP="007B2407">
            <w:pPr>
              <w:rPr>
                <w:rFonts w:ascii="Calibri" w:hAnsi="Calibri"/>
                <w:color w:val="000000"/>
                <w:szCs w:val="22"/>
              </w:rPr>
            </w:pPr>
            <w:r w:rsidRPr="007B2407">
              <w:rPr>
                <w:rFonts w:ascii="Calibri" w:hAnsi="Calibri"/>
                <w:color w:val="000000"/>
                <w:szCs w:val="22"/>
              </w:rPr>
              <w:t>Hawlemont</w:t>
            </w:r>
          </w:p>
        </w:tc>
        <w:tc>
          <w:tcPr>
            <w:tcW w:w="0" w:type="auto"/>
          </w:tcPr>
          <w:p w14:paraId="7FBEF415"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5BA6D8F7"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105</w:t>
            </w:r>
          </w:p>
        </w:tc>
        <w:tc>
          <w:tcPr>
            <w:tcW w:w="0" w:type="auto"/>
            <w:noWrap/>
            <w:hideMark/>
          </w:tcPr>
          <w:p w14:paraId="2ADE6801"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33.4</w:t>
            </w:r>
          </w:p>
        </w:tc>
        <w:tc>
          <w:tcPr>
            <w:tcW w:w="0" w:type="auto"/>
            <w:noWrap/>
            <w:hideMark/>
          </w:tcPr>
          <w:p w14:paraId="3148B3E6"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31.8%</w:t>
            </w:r>
          </w:p>
        </w:tc>
      </w:tr>
      <w:tr w:rsidR="00BB7501" w:rsidRPr="007B2407" w14:paraId="53189782"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A0A0954" w14:textId="77777777" w:rsidR="00CC2E69" w:rsidRPr="007B2407" w:rsidRDefault="00CC2E69" w:rsidP="007B2407">
            <w:pPr>
              <w:rPr>
                <w:rFonts w:ascii="Calibri" w:hAnsi="Calibri"/>
                <w:color w:val="000000"/>
                <w:szCs w:val="22"/>
              </w:rPr>
            </w:pPr>
            <w:r w:rsidRPr="007B2407">
              <w:rPr>
                <w:rFonts w:ascii="Calibri" w:hAnsi="Calibri"/>
                <w:color w:val="000000"/>
                <w:szCs w:val="22"/>
              </w:rPr>
              <w:t>Whately</w:t>
            </w:r>
          </w:p>
        </w:tc>
        <w:tc>
          <w:tcPr>
            <w:tcW w:w="0" w:type="auto"/>
          </w:tcPr>
          <w:p w14:paraId="1E14DDAB"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2188B028"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129</w:t>
            </w:r>
          </w:p>
        </w:tc>
        <w:tc>
          <w:tcPr>
            <w:tcW w:w="0" w:type="auto"/>
            <w:noWrap/>
            <w:hideMark/>
          </w:tcPr>
          <w:p w14:paraId="13DAA981"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38.</w:t>
            </w:r>
            <w:r>
              <w:rPr>
                <w:rFonts w:ascii="Calibri" w:hAnsi="Calibri"/>
                <w:color w:val="000000"/>
                <w:szCs w:val="22"/>
              </w:rPr>
              <w:t>6</w:t>
            </w:r>
          </w:p>
        </w:tc>
        <w:tc>
          <w:tcPr>
            <w:tcW w:w="0" w:type="auto"/>
            <w:noWrap/>
            <w:hideMark/>
          </w:tcPr>
          <w:p w14:paraId="46A56B77"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29.9%</w:t>
            </w:r>
          </w:p>
        </w:tc>
      </w:tr>
      <w:tr w:rsidR="00BB7501" w:rsidRPr="007B2407" w14:paraId="7B846BAA"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7949EA" w14:textId="77777777" w:rsidR="00CC2E69" w:rsidRPr="007B2407" w:rsidRDefault="00CC2E69" w:rsidP="007B2407">
            <w:pPr>
              <w:rPr>
                <w:rFonts w:ascii="Calibri" w:hAnsi="Calibri"/>
                <w:color w:val="000000"/>
                <w:szCs w:val="22"/>
              </w:rPr>
            </w:pPr>
            <w:r w:rsidRPr="007B2407">
              <w:rPr>
                <w:rFonts w:ascii="Calibri" w:hAnsi="Calibri"/>
                <w:color w:val="000000"/>
                <w:szCs w:val="22"/>
              </w:rPr>
              <w:t>Ralph C Mahar</w:t>
            </w:r>
          </w:p>
        </w:tc>
        <w:tc>
          <w:tcPr>
            <w:tcW w:w="0" w:type="auto"/>
          </w:tcPr>
          <w:p w14:paraId="5515813B"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3</w:t>
            </w:r>
          </w:p>
        </w:tc>
        <w:tc>
          <w:tcPr>
            <w:tcW w:w="0" w:type="auto"/>
            <w:noWrap/>
            <w:hideMark/>
          </w:tcPr>
          <w:p w14:paraId="350B8B94"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752</w:t>
            </w:r>
          </w:p>
        </w:tc>
        <w:tc>
          <w:tcPr>
            <w:tcW w:w="0" w:type="auto"/>
            <w:noWrap/>
            <w:hideMark/>
          </w:tcPr>
          <w:p w14:paraId="16F669C3"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21</w:t>
            </w:r>
            <w:r>
              <w:rPr>
                <w:rFonts w:ascii="Calibri" w:hAnsi="Calibri"/>
                <w:color w:val="000000"/>
                <w:szCs w:val="22"/>
              </w:rPr>
              <w:t>7</w:t>
            </w:r>
            <w:r w:rsidRPr="007B2407">
              <w:rPr>
                <w:rFonts w:ascii="Calibri" w:hAnsi="Calibri"/>
                <w:color w:val="000000"/>
                <w:szCs w:val="22"/>
              </w:rPr>
              <w:t>.</w:t>
            </w:r>
            <w:r>
              <w:rPr>
                <w:rFonts w:ascii="Calibri" w:hAnsi="Calibri"/>
                <w:color w:val="000000"/>
                <w:szCs w:val="22"/>
              </w:rPr>
              <w:t>0</w:t>
            </w:r>
          </w:p>
        </w:tc>
        <w:tc>
          <w:tcPr>
            <w:tcW w:w="0" w:type="auto"/>
            <w:noWrap/>
            <w:hideMark/>
          </w:tcPr>
          <w:p w14:paraId="06440BC6"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28.9%</w:t>
            </w:r>
          </w:p>
        </w:tc>
      </w:tr>
      <w:tr w:rsidR="00BB7501" w:rsidRPr="007B2407" w14:paraId="5476731C"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235691" w14:textId="77777777" w:rsidR="00CC2E69" w:rsidRPr="007B2407" w:rsidRDefault="00CC2E69" w:rsidP="007B2407">
            <w:pPr>
              <w:rPr>
                <w:rFonts w:ascii="Calibri" w:hAnsi="Calibri"/>
                <w:color w:val="000000"/>
                <w:szCs w:val="22"/>
              </w:rPr>
            </w:pPr>
            <w:r w:rsidRPr="007B2407">
              <w:rPr>
                <w:rFonts w:ascii="Calibri" w:hAnsi="Calibri"/>
                <w:color w:val="000000"/>
                <w:szCs w:val="22"/>
              </w:rPr>
              <w:t>Clarksburg</w:t>
            </w:r>
          </w:p>
        </w:tc>
        <w:tc>
          <w:tcPr>
            <w:tcW w:w="0" w:type="auto"/>
          </w:tcPr>
          <w:p w14:paraId="40BCAB41"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2102A765"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173</w:t>
            </w:r>
          </w:p>
        </w:tc>
        <w:tc>
          <w:tcPr>
            <w:tcW w:w="0" w:type="auto"/>
            <w:noWrap/>
            <w:hideMark/>
          </w:tcPr>
          <w:p w14:paraId="7DDC8BCE"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46</w:t>
            </w:r>
            <w:r>
              <w:rPr>
                <w:rFonts w:ascii="Calibri" w:hAnsi="Calibri"/>
                <w:color w:val="000000"/>
                <w:szCs w:val="22"/>
              </w:rPr>
              <w:t>.0</w:t>
            </w:r>
          </w:p>
        </w:tc>
        <w:tc>
          <w:tcPr>
            <w:tcW w:w="0" w:type="auto"/>
            <w:noWrap/>
            <w:hideMark/>
          </w:tcPr>
          <w:p w14:paraId="10EC4DEF"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26.6%</w:t>
            </w:r>
          </w:p>
        </w:tc>
      </w:tr>
      <w:tr w:rsidR="00BB7501" w:rsidRPr="007B2407" w14:paraId="432EBFC2"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2AD63B" w14:textId="77777777" w:rsidR="00CC2E69" w:rsidRPr="007B2407" w:rsidRDefault="00CC2E69" w:rsidP="007B2407">
            <w:pPr>
              <w:rPr>
                <w:rFonts w:ascii="Calibri" w:hAnsi="Calibri"/>
                <w:color w:val="000000"/>
                <w:szCs w:val="22"/>
              </w:rPr>
            </w:pPr>
            <w:r w:rsidRPr="007B2407">
              <w:rPr>
                <w:rFonts w:ascii="Calibri" w:hAnsi="Calibri"/>
                <w:color w:val="000000"/>
                <w:szCs w:val="22"/>
              </w:rPr>
              <w:t>Savoy</w:t>
            </w:r>
          </w:p>
        </w:tc>
        <w:tc>
          <w:tcPr>
            <w:tcW w:w="0" w:type="auto"/>
          </w:tcPr>
          <w:p w14:paraId="09698634"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304E3A87"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49</w:t>
            </w:r>
          </w:p>
        </w:tc>
        <w:tc>
          <w:tcPr>
            <w:tcW w:w="0" w:type="auto"/>
            <w:noWrap/>
            <w:hideMark/>
          </w:tcPr>
          <w:p w14:paraId="44282B61"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13</w:t>
            </w:r>
            <w:r>
              <w:rPr>
                <w:rFonts w:ascii="Calibri" w:hAnsi="Calibri"/>
                <w:color w:val="000000"/>
                <w:szCs w:val="22"/>
              </w:rPr>
              <w:t>.0</w:t>
            </w:r>
          </w:p>
        </w:tc>
        <w:tc>
          <w:tcPr>
            <w:tcW w:w="0" w:type="auto"/>
            <w:noWrap/>
            <w:hideMark/>
          </w:tcPr>
          <w:p w14:paraId="5414F603"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26.5%</w:t>
            </w:r>
          </w:p>
        </w:tc>
      </w:tr>
      <w:tr w:rsidR="00BB7501" w:rsidRPr="007B2407" w14:paraId="36047E85" w14:textId="77777777" w:rsidTr="00145D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37F5A2D" w14:textId="77777777" w:rsidR="00CC2E69" w:rsidRPr="007B2407" w:rsidRDefault="00CC2E69" w:rsidP="007B2407">
            <w:pPr>
              <w:rPr>
                <w:rFonts w:ascii="Calibri" w:hAnsi="Calibri"/>
                <w:color w:val="000000"/>
                <w:szCs w:val="22"/>
              </w:rPr>
            </w:pPr>
            <w:r w:rsidRPr="007B2407">
              <w:rPr>
                <w:rFonts w:ascii="Calibri" w:hAnsi="Calibri"/>
                <w:color w:val="000000"/>
                <w:szCs w:val="22"/>
              </w:rPr>
              <w:t>Worthington</w:t>
            </w:r>
          </w:p>
        </w:tc>
        <w:tc>
          <w:tcPr>
            <w:tcW w:w="0" w:type="auto"/>
          </w:tcPr>
          <w:p w14:paraId="77B37558"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w:t>
            </w:r>
          </w:p>
        </w:tc>
        <w:tc>
          <w:tcPr>
            <w:tcW w:w="0" w:type="auto"/>
            <w:noWrap/>
            <w:hideMark/>
          </w:tcPr>
          <w:p w14:paraId="3AA99AB1"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60</w:t>
            </w:r>
          </w:p>
        </w:tc>
        <w:tc>
          <w:tcPr>
            <w:tcW w:w="0" w:type="auto"/>
            <w:noWrap/>
            <w:hideMark/>
          </w:tcPr>
          <w:p w14:paraId="17A05D88" w14:textId="77777777" w:rsidR="00CC2E69" w:rsidRPr="007B2407" w:rsidRDefault="00CC2E69" w:rsidP="009313B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14.</w:t>
            </w:r>
            <w:r>
              <w:rPr>
                <w:rFonts w:ascii="Calibri" w:hAnsi="Calibri"/>
                <w:color w:val="000000"/>
                <w:szCs w:val="22"/>
              </w:rPr>
              <w:t>8</w:t>
            </w:r>
          </w:p>
        </w:tc>
        <w:tc>
          <w:tcPr>
            <w:tcW w:w="0" w:type="auto"/>
            <w:noWrap/>
            <w:hideMark/>
          </w:tcPr>
          <w:p w14:paraId="7E30ED17" w14:textId="77777777" w:rsidR="00CC2E69" w:rsidRPr="007B2407" w:rsidRDefault="00CC2E69" w:rsidP="007B240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7B2407">
              <w:rPr>
                <w:rFonts w:ascii="Calibri" w:hAnsi="Calibri"/>
                <w:color w:val="000000"/>
                <w:szCs w:val="22"/>
              </w:rPr>
              <w:t>24.6%</w:t>
            </w:r>
          </w:p>
        </w:tc>
      </w:tr>
    </w:tbl>
    <w:p w14:paraId="65769532" w14:textId="77777777" w:rsidR="00EC32BF" w:rsidRDefault="00EC32BF" w:rsidP="00CD5A49">
      <w:pPr>
        <w:rPr>
          <w:lang w:bidi="en-US"/>
        </w:rPr>
      </w:pPr>
    </w:p>
    <w:p w14:paraId="11469A0D" w14:textId="77777777" w:rsidR="00933914" w:rsidRDefault="00933914" w:rsidP="00CD5A49">
      <w:pPr>
        <w:rPr>
          <w:lang w:bidi="en-US"/>
        </w:rPr>
      </w:pPr>
      <w:r>
        <w:rPr>
          <w:lang w:bidi="en-US"/>
        </w:rPr>
        <w:lastRenderedPageBreak/>
        <w:t xml:space="preserve">School choice has created a situation where districts are competing with one another over an ever diminishing population of students. </w:t>
      </w:r>
    </w:p>
    <w:p w14:paraId="5C909400" w14:textId="77777777" w:rsidR="00430DC6" w:rsidRDefault="00086B36" w:rsidP="00430DC6">
      <w:pPr>
        <w:pStyle w:val="Heading1"/>
        <w:rPr>
          <w:lang w:bidi="en-US"/>
        </w:rPr>
      </w:pPr>
      <w:bookmarkStart w:id="7" w:name="_Toc503258033"/>
      <w:r>
        <w:rPr>
          <w:lang w:bidi="en-US"/>
        </w:rPr>
        <w:t xml:space="preserve">Charter </w:t>
      </w:r>
      <w:r w:rsidR="009B5DAF">
        <w:rPr>
          <w:lang w:bidi="en-US"/>
        </w:rPr>
        <w:t>s</w:t>
      </w:r>
      <w:r>
        <w:rPr>
          <w:lang w:bidi="en-US"/>
        </w:rPr>
        <w:t>chools</w:t>
      </w:r>
      <w:bookmarkEnd w:id="7"/>
    </w:p>
    <w:p w14:paraId="318AB571" w14:textId="77777777" w:rsidR="00A00409" w:rsidRDefault="00703FA3" w:rsidP="009B4E0C">
      <w:pPr>
        <w:rPr>
          <w:lang w:bidi="en-US"/>
        </w:rPr>
      </w:pPr>
      <w:r>
        <w:rPr>
          <w:lang w:bidi="en-US"/>
        </w:rPr>
        <w:t xml:space="preserve">Charter schools offer another educational option for students and families. The number of charter schools has grown over the years, </w:t>
      </w:r>
      <w:r w:rsidR="00EA629E">
        <w:rPr>
          <w:lang w:bidi="en-US"/>
        </w:rPr>
        <w:t>from a dozen or so in the mid-1990s when the charter school law was enacted to 82 operating charter schools today.</w:t>
      </w:r>
      <w:r>
        <w:rPr>
          <w:lang w:bidi="en-US"/>
        </w:rPr>
        <w:t xml:space="preserve"> </w:t>
      </w:r>
      <w:r w:rsidR="00EA629E">
        <w:rPr>
          <w:lang w:bidi="en-US"/>
        </w:rPr>
        <w:t>M</w:t>
      </w:r>
      <w:r>
        <w:rPr>
          <w:lang w:bidi="en-US"/>
        </w:rPr>
        <w:t xml:space="preserve">uch of </w:t>
      </w:r>
      <w:r w:rsidR="00EA629E">
        <w:rPr>
          <w:lang w:bidi="en-US"/>
        </w:rPr>
        <w:t>the growth in charter schools has</w:t>
      </w:r>
      <w:r>
        <w:rPr>
          <w:lang w:bidi="en-US"/>
        </w:rPr>
        <w:t xml:space="preserve"> occurred in or near the state’s urban centers. </w:t>
      </w:r>
      <w:r w:rsidR="00346624">
        <w:rPr>
          <w:lang w:bidi="en-US"/>
        </w:rPr>
        <w:t xml:space="preserve">As </w:t>
      </w:r>
      <w:r w:rsidR="00C240A4">
        <w:rPr>
          <w:lang w:bidi="en-US"/>
        </w:rPr>
        <w:t xml:space="preserve">a result, the </w:t>
      </w:r>
      <w:r>
        <w:rPr>
          <w:lang w:bidi="en-US"/>
        </w:rPr>
        <w:t xml:space="preserve">number of students from rural districts attending charter schools has not changed much </w:t>
      </w:r>
      <w:r w:rsidR="005A31F9">
        <w:rPr>
          <w:lang w:bidi="en-US"/>
        </w:rPr>
        <w:t>in the last 9</w:t>
      </w:r>
      <w:r>
        <w:rPr>
          <w:lang w:bidi="en-US"/>
        </w:rPr>
        <w:t xml:space="preserve"> years, remaining at just over 500 students</w:t>
      </w:r>
      <w:r w:rsidR="005A31F9">
        <w:rPr>
          <w:lang w:bidi="en-US"/>
        </w:rPr>
        <w:t xml:space="preserve">, see </w:t>
      </w:r>
      <w:r w:rsidR="00B1372C">
        <w:rPr>
          <w:lang w:bidi="en-US"/>
        </w:rPr>
        <w:t>T</w:t>
      </w:r>
      <w:r w:rsidR="005A31F9">
        <w:rPr>
          <w:lang w:bidi="en-US"/>
        </w:rPr>
        <w:t>able 4</w:t>
      </w:r>
      <w:r>
        <w:rPr>
          <w:lang w:bidi="en-US"/>
        </w:rPr>
        <w:t>.</w:t>
      </w:r>
    </w:p>
    <w:p w14:paraId="315F8A0A" w14:textId="77777777" w:rsidR="00A00409" w:rsidRDefault="00A00409" w:rsidP="009B4E0C">
      <w:pPr>
        <w:rPr>
          <w:lang w:bidi="en-US"/>
        </w:rPr>
      </w:pPr>
    </w:p>
    <w:p w14:paraId="393F813E" w14:textId="77777777" w:rsidR="004C40CC" w:rsidRDefault="005A31F9">
      <w:pPr>
        <w:rPr>
          <w:lang w:bidi="en-US"/>
        </w:rPr>
      </w:pPr>
      <w:r>
        <w:rPr>
          <w:lang w:bidi="en-US"/>
        </w:rPr>
        <w:t>Since charter tuition rates grow in line with district spending, total tuition paid by rural districts to charters grew by 38 percent between 2008 and 2016</w:t>
      </w:r>
      <w:r w:rsidR="00C240A4">
        <w:rPr>
          <w:lang w:bidi="en-US"/>
        </w:rPr>
        <w:t>. F</w:t>
      </w:r>
      <w:r w:rsidR="007F62D3">
        <w:rPr>
          <w:lang w:bidi="en-US"/>
        </w:rPr>
        <w:t>or all other districts in the state</w:t>
      </w:r>
      <w:r w:rsidR="004F3FD4">
        <w:rPr>
          <w:lang w:bidi="en-US"/>
        </w:rPr>
        <w:t>,</w:t>
      </w:r>
      <w:r w:rsidR="007F62D3">
        <w:rPr>
          <w:lang w:bidi="en-US"/>
        </w:rPr>
        <w:t xml:space="preserve"> tuition charges more than doubled</w:t>
      </w:r>
      <w:r w:rsidR="00EA629E">
        <w:rPr>
          <w:lang w:bidi="en-US"/>
        </w:rPr>
        <w:t xml:space="preserve"> over this period, increasing from $230 million to $477 million</w:t>
      </w:r>
      <w:r w:rsidR="00C240A4">
        <w:rPr>
          <w:lang w:bidi="en-US"/>
        </w:rPr>
        <w:t>, reflecting both increasing tuition rates and growth in the number of charter school</w:t>
      </w:r>
      <w:r w:rsidR="004F3FD4">
        <w:rPr>
          <w:lang w:bidi="en-US"/>
        </w:rPr>
        <w:t xml:space="preserve"> </w:t>
      </w:r>
      <w:r w:rsidR="00C240A4">
        <w:rPr>
          <w:lang w:bidi="en-US"/>
        </w:rPr>
        <w:t>s</w:t>
      </w:r>
      <w:r w:rsidR="004F3FD4">
        <w:rPr>
          <w:lang w:bidi="en-US"/>
        </w:rPr>
        <w:t>eats</w:t>
      </w:r>
      <w:r w:rsidR="007F62D3">
        <w:rPr>
          <w:lang w:bidi="en-US"/>
        </w:rPr>
        <w:t>.</w:t>
      </w:r>
      <w:r w:rsidR="007C7BC4">
        <w:rPr>
          <w:lang w:bidi="en-US"/>
        </w:rPr>
        <w:t xml:space="preserve"> Consequently</w:t>
      </w:r>
      <w:r w:rsidR="0018376B">
        <w:rPr>
          <w:lang w:bidi="en-US"/>
        </w:rPr>
        <w:t xml:space="preserve">, </w:t>
      </w:r>
      <w:r w:rsidR="00C0636F">
        <w:rPr>
          <w:lang w:bidi="en-US"/>
        </w:rPr>
        <w:t xml:space="preserve">the net cost of charter </w:t>
      </w:r>
      <w:r w:rsidR="0018376B">
        <w:rPr>
          <w:lang w:bidi="en-US"/>
        </w:rPr>
        <w:t xml:space="preserve">school </w:t>
      </w:r>
      <w:r w:rsidR="00C0636F">
        <w:rPr>
          <w:lang w:bidi="en-US"/>
        </w:rPr>
        <w:t xml:space="preserve">tuitions </w:t>
      </w:r>
      <w:r w:rsidR="0018376B">
        <w:rPr>
          <w:lang w:bidi="en-US"/>
        </w:rPr>
        <w:t xml:space="preserve">for rural districts </w:t>
      </w:r>
      <w:r w:rsidR="00C0636F">
        <w:rPr>
          <w:lang w:bidi="en-US"/>
        </w:rPr>
        <w:t xml:space="preserve">(total tuitions less total reimbursements) </w:t>
      </w:r>
      <w:r w:rsidR="007C7BC4">
        <w:rPr>
          <w:lang w:bidi="en-US"/>
        </w:rPr>
        <w:t>did not grow as quickly</w:t>
      </w:r>
      <w:r w:rsidR="004C40CC">
        <w:rPr>
          <w:lang w:bidi="en-US"/>
        </w:rPr>
        <w:t xml:space="preserve"> in rural districts</w:t>
      </w:r>
      <w:r w:rsidR="007C7BC4">
        <w:rPr>
          <w:lang w:bidi="en-US"/>
        </w:rPr>
        <w:t>, increasing by</w:t>
      </w:r>
      <w:r w:rsidR="00C0636F">
        <w:rPr>
          <w:lang w:bidi="en-US"/>
        </w:rPr>
        <w:t xml:space="preserve"> 7</w:t>
      </w:r>
      <w:r w:rsidR="00255288">
        <w:rPr>
          <w:lang w:bidi="en-US"/>
        </w:rPr>
        <w:t>4.7</w:t>
      </w:r>
      <w:r w:rsidR="00C0636F">
        <w:rPr>
          <w:lang w:bidi="en-US"/>
        </w:rPr>
        <w:t xml:space="preserve"> percent</w:t>
      </w:r>
      <w:r w:rsidR="0018376B">
        <w:rPr>
          <w:lang w:bidi="en-US"/>
        </w:rPr>
        <w:t xml:space="preserve"> between 2008 and 2016 compared to </w:t>
      </w:r>
      <w:r w:rsidR="00EA4E50">
        <w:rPr>
          <w:lang w:bidi="en-US"/>
        </w:rPr>
        <w:t>154</w:t>
      </w:r>
      <w:r w:rsidR="00187F54">
        <w:rPr>
          <w:lang w:bidi="en-US"/>
        </w:rPr>
        <w:t>.6</w:t>
      </w:r>
      <w:r w:rsidR="00EA4E50">
        <w:rPr>
          <w:lang w:bidi="en-US"/>
        </w:rPr>
        <w:t xml:space="preserve"> percent </w:t>
      </w:r>
      <w:r w:rsidR="0018376B">
        <w:rPr>
          <w:lang w:bidi="en-US"/>
        </w:rPr>
        <w:t>for the rest of the state</w:t>
      </w:r>
      <w:r w:rsidR="00FF77ED">
        <w:rPr>
          <w:lang w:bidi="en-US"/>
        </w:rPr>
        <w:t>.</w:t>
      </w:r>
    </w:p>
    <w:p w14:paraId="544DF8AB" w14:textId="77777777" w:rsidR="00FF77ED" w:rsidRDefault="00FF77ED">
      <w:pPr>
        <w:rPr>
          <w:lang w:bidi="en-US"/>
        </w:rPr>
      </w:pPr>
    </w:p>
    <w:p w14:paraId="4E49AD75" w14:textId="77777777" w:rsidR="00FF77ED" w:rsidRDefault="00FF77ED">
      <w:pPr>
        <w:rPr>
          <w:lang w:bidi="en-US"/>
        </w:rPr>
      </w:pPr>
      <w:r>
        <w:rPr>
          <w:lang w:bidi="en-US"/>
        </w:rPr>
        <w:t xml:space="preserve">Given that the </w:t>
      </w:r>
      <w:r w:rsidR="007E4F1E">
        <w:rPr>
          <w:lang w:bidi="en-US"/>
        </w:rPr>
        <w:t>charter tuition reimbursement</w:t>
      </w:r>
      <w:r>
        <w:rPr>
          <w:lang w:bidi="en-US"/>
        </w:rPr>
        <w:t xml:space="preserve"> program is designed to provide transitional assistance to districts experiencing growing charter </w:t>
      </w:r>
      <w:r w:rsidR="00C50AB2">
        <w:rPr>
          <w:lang w:bidi="en-US"/>
        </w:rPr>
        <w:t xml:space="preserve">school </w:t>
      </w:r>
      <w:r>
        <w:rPr>
          <w:lang w:bidi="en-US"/>
        </w:rPr>
        <w:t xml:space="preserve">enrollment and tuition payments, the aid provided </w:t>
      </w:r>
      <w:r w:rsidR="009B281C">
        <w:rPr>
          <w:lang w:bidi="en-US"/>
        </w:rPr>
        <w:t xml:space="preserve">to rural school districts </w:t>
      </w:r>
      <w:r w:rsidR="00CA785D">
        <w:rPr>
          <w:lang w:bidi="en-US"/>
        </w:rPr>
        <w:t>between 2008 and 2016</w:t>
      </w:r>
      <w:r>
        <w:rPr>
          <w:lang w:bidi="en-US"/>
        </w:rPr>
        <w:t xml:space="preserve"> reflected the lack of growth in char</w:t>
      </w:r>
      <w:r w:rsidR="009B281C">
        <w:rPr>
          <w:lang w:bidi="en-US"/>
        </w:rPr>
        <w:t>ter enrollments from th</w:t>
      </w:r>
      <w:r w:rsidR="00CA785D">
        <w:rPr>
          <w:lang w:bidi="en-US"/>
        </w:rPr>
        <w:t>es</w:t>
      </w:r>
      <w:r w:rsidR="009B281C">
        <w:rPr>
          <w:lang w:bidi="en-US"/>
        </w:rPr>
        <w:t>e districts</w:t>
      </w:r>
      <w:r>
        <w:rPr>
          <w:lang w:bidi="en-US"/>
        </w:rPr>
        <w:t>, see Table 4.</w:t>
      </w:r>
    </w:p>
    <w:p w14:paraId="7B904C93" w14:textId="77777777" w:rsidR="00FF77ED" w:rsidRDefault="00FF77ED">
      <w:pPr>
        <w:rPr>
          <w:lang w:bidi="en-US"/>
        </w:rPr>
      </w:pPr>
    </w:p>
    <w:tbl>
      <w:tblPr>
        <w:tblW w:w="8745" w:type="dxa"/>
        <w:jc w:val="center"/>
        <w:tblLook w:val="04A0" w:firstRow="1" w:lastRow="0" w:firstColumn="1" w:lastColumn="0" w:noHBand="0" w:noVBand="1"/>
      </w:tblPr>
      <w:tblGrid>
        <w:gridCol w:w="1123"/>
        <w:gridCol w:w="764"/>
        <w:gridCol w:w="1218"/>
        <w:gridCol w:w="1218"/>
        <w:gridCol w:w="1052"/>
        <w:gridCol w:w="1218"/>
        <w:gridCol w:w="1218"/>
        <w:gridCol w:w="875"/>
        <w:gridCol w:w="59"/>
      </w:tblGrid>
      <w:tr w:rsidR="004C40CC" w:rsidRPr="004C40CC" w14:paraId="67CE3FD1" w14:textId="77777777" w:rsidTr="004C40CC">
        <w:trPr>
          <w:trHeight w:val="372"/>
          <w:jc w:val="center"/>
        </w:trPr>
        <w:tc>
          <w:tcPr>
            <w:tcW w:w="8745" w:type="dxa"/>
            <w:gridSpan w:val="9"/>
            <w:tcBorders>
              <w:top w:val="nil"/>
              <w:left w:val="nil"/>
              <w:bottom w:val="single" w:sz="12" w:space="0" w:color="auto"/>
              <w:right w:val="nil"/>
            </w:tcBorders>
            <w:shd w:val="clear" w:color="auto" w:fill="auto"/>
            <w:noWrap/>
            <w:vAlign w:val="bottom"/>
            <w:hideMark/>
          </w:tcPr>
          <w:p w14:paraId="69D692E5" w14:textId="77777777" w:rsidR="004C40CC" w:rsidRPr="004C40CC" w:rsidRDefault="004C40CC" w:rsidP="004C40CC">
            <w:pPr>
              <w:rPr>
                <w:rFonts w:ascii="Calibri" w:hAnsi="Calibri"/>
                <w:b/>
                <w:bCs/>
                <w:color w:val="000000"/>
                <w:sz w:val="28"/>
                <w:szCs w:val="28"/>
              </w:rPr>
            </w:pPr>
            <w:r w:rsidRPr="004C40CC">
              <w:rPr>
                <w:rFonts w:ascii="Calibri" w:hAnsi="Calibri"/>
                <w:b/>
                <w:bCs/>
                <w:color w:val="000000"/>
                <w:sz w:val="28"/>
                <w:szCs w:val="28"/>
              </w:rPr>
              <w:t>Table 4: Charter school tuition and reimbursement trends for rural school districts</w:t>
            </w:r>
          </w:p>
        </w:tc>
      </w:tr>
      <w:tr w:rsidR="004C40CC" w:rsidRPr="004C40CC" w14:paraId="4CA70E66" w14:textId="77777777" w:rsidTr="004C40CC">
        <w:trPr>
          <w:gridAfter w:val="1"/>
          <w:wAfter w:w="59" w:type="dxa"/>
          <w:trHeight w:val="888"/>
          <w:jc w:val="center"/>
        </w:trPr>
        <w:tc>
          <w:tcPr>
            <w:tcW w:w="1123" w:type="dxa"/>
            <w:tcBorders>
              <w:top w:val="nil"/>
              <w:left w:val="nil"/>
              <w:bottom w:val="single" w:sz="8" w:space="0" w:color="auto"/>
              <w:right w:val="nil"/>
            </w:tcBorders>
            <w:shd w:val="clear" w:color="auto" w:fill="auto"/>
            <w:vAlign w:val="center"/>
            <w:hideMark/>
          </w:tcPr>
          <w:p w14:paraId="6E7332F4"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 xml:space="preserve">Fiscal </w:t>
            </w:r>
            <w:r>
              <w:rPr>
                <w:rFonts w:ascii="Calibri" w:hAnsi="Calibri"/>
                <w:color w:val="000000"/>
                <w:sz w:val="22"/>
                <w:szCs w:val="22"/>
              </w:rPr>
              <w:t>year</w:t>
            </w:r>
          </w:p>
        </w:tc>
        <w:tc>
          <w:tcPr>
            <w:tcW w:w="764" w:type="dxa"/>
            <w:tcBorders>
              <w:top w:val="nil"/>
              <w:left w:val="nil"/>
              <w:bottom w:val="single" w:sz="8" w:space="0" w:color="auto"/>
              <w:right w:val="nil"/>
            </w:tcBorders>
            <w:shd w:val="clear" w:color="auto" w:fill="auto"/>
            <w:noWrap/>
            <w:vAlign w:val="center"/>
            <w:hideMark/>
          </w:tcPr>
          <w:p w14:paraId="5476A869"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FTE</w:t>
            </w:r>
          </w:p>
        </w:tc>
        <w:tc>
          <w:tcPr>
            <w:tcW w:w="1218" w:type="dxa"/>
            <w:tcBorders>
              <w:top w:val="nil"/>
              <w:left w:val="nil"/>
              <w:bottom w:val="single" w:sz="8" w:space="0" w:color="auto"/>
              <w:right w:val="nil"/>
            </w:tcBorders>
            <w:shd w:val="clear" w:color="auto" w:fill="auto"/>
            <w:noWrap/>
            <w:vAlign w:val="center"/>
            <w:hideMark/>
          </w:tcPr>
          <w:p w14:paraId="6727A207"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Tuition</w:t>
            </w:r>
          </w:p>
        </w:tc>
        <w:tc>
          <w:tcPr>
            <w:tcW w:w="1218" w:type="dxa"/>
            <w:tcBorders>
              <w:top w:val="nil"/>
              <w:left w:val="nil"/>
              <w:bottom w:val="single" w:sz="8" w:space="0" w:color="auto"/>
              <w:right w:val="nil"/>
            </w:tcBorders>
            <w:shd w:val="clear" w:color="auto" w:fill="auto"/>
            <w:vAlign w:val="center"/>
            <w:hideMark/>
          </w:tcPr>
          <w:p w14:paraId="767FD73B" w14:textId="77777777" w:rsidR="004C40CC" w:rsidRPr="004C40CC" w:rsidRDefault="004C40CC" w:rsidP="004C40CC">
            <w:pPr>
              <w:jc w:val="center"/>
              <w:rPr>
                <w:rFonts w:ascii="Calibri" w:hAnsi="Calibri"/>
                <w:color w:val="000000"/>
                <w:sz w:val="22"/>
                <w:szCs w:val="22"/>
              </w:rPr>
            </w:pPr>
            <w:r>
              <w:rPr>
                <w:rFonts w:ascii="Calibri" w:hAnsi="Calibri"/>
                <w:color w:val="000000"/>
                <w:sz w:val="22"/>
                <w:szCs w:val="22"/>
              </w:rPr>
              <w:t>Tuition</w:t>
            </w:r>
            <w:r w:rsidRPr="004C40CC">
              <w:rPr>
                <w:rFonts w:ascii="Calibri" w:hAnsi="Calibri"/>
                <w:color w:val="000000"/>
                <w:sz w:val="22"/>
                <w:szCs w:val="22"/>
              </w:rPr>
              <w:t xml:space="preserve"> </w:t>
            </w:r>
            <w:r>
              <w:rPr>
                <w:rFonts w:ascii="Calibri" w:hAnsi="Calibri"/>
                <w:color w:val="000000"/>
                <w:sz w:val="22"/>
                <w:szCs w:val="22"/>
              </w:rPr>
              <w:t>a</w:t>
            </w:r>
            <w:r w:rsidRPr="004C40CC">
              <w:rPr>
                <w:rFonts w:ascii="Calibri" w:hAnsi="Calibri"/>
                <w:color w:val="000000"/>
                <w:sz w:val="22"/>
                <w:szCs w:val="22"/>
              </w:rPr>
              <w:t>id</w:t>
            </w:r>
          </w:p>
        </w:tc>
        <w:tc>
          <w:tcPr>
            <w:tcW w:w="1052" w:type="dxa"/>
            <w:tcBorders>
              <w:top w:val="nil"/>
              <w:left w:val="nil"/>
              <w:bottom w:val="single" w:sz="8" w:space="0" w:color="auto"/>
              <w:right w:val="nil"/>
            </w:tcBorders>
            <w:shd w:val="clear" w:color="auto" w:fill="auto"/>
            <w:vAlign w:val="center"/>
            <w:hideMark/>
          </w:tcPr>
          <w:p w14:paraId="2170F9D5"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 xml:space="preserve">Facilities </w:t>
            </w:r>
            <w:r>
              <w:rPr>
                <w:rFonts w:ascii="Calibri" w:hAnsi="Calibri"/>
                <w:color w:val="000000"/>
                <w:sz w:val="22"/>
                <w:szCs w:val="22"/>
              </w:rPr>
              <w:t>a</w:t>
            </w:r>
            <w:r w:rsidRPr="004C40CC">
              <w:rPr>
                <w:rFonts w:ascii="Calibri" w:hAnsi="Calibri"/>
                <w:color w:val="000000"/>
                <w:sz w:val="22"/>
                <w:szCs w:val="22"/>
              </w:rPr>
              <w:t>id</w:t>
            </w:r>
          </w:p>
        </w:tc>
        <w:tc>
          <w:tcPr>
            <w:tcW w:w="1218" w:type="dxa"/>
            <w:tcBorders>
              <w:top w:val="nil"/>
              <w:left w:val="nil"/>
              <w:bottom w:val="single" w:sz="8" w:space="0" w:color="auto"/>
              <w:right w:val="nil"/>
            </w:tcBorders>
            <w:shd w:val="clear" w:color="auto" w:fill="auto"/>
            <w:noWrap/>
            <w:vAlign w:val="center"/>
            <w:hideMark/>
          </w:tcPr>
          <w:p w14:paraId="062D1C8D"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 xml:space="preserve">Total </w:t>
            </w:r>
            <w:r>
              <w:rPr>
                <w:rFonts w:ascii="Calibri" w:hAnsi="Calibri"/>
                <w:color w:val="000000"/>
                <w:sz w:val="22"/>
                <w:szCs w:val="22"/>
              </w:rPr>
              <w:t>a</w:t>
            </w:r>
            <w:r w:rsidRPr="004C40CC">
              <w:rPr>
                <w:rFonts w:ascii="Calibri" w:hAnsi="Calibri"/>
                <w:color w:val="000000"/>
                <w:sz w:val="22"/>
                <w:szCs w:val="22"/>
              </w:rPr>
              <w:t>id</w:t>
            </w:r>
          </w:p>
        </w:tc>
        <w:tc>
          <w:tcPr>
            <w:tcW w:w="1218" w:type="dxa"/>
            <w:tcBorders>
              <w:top w:val="nil"/>
              <w:left w:val="nil"/>
              <w:bottom w:val="single" w:sz="8" w:space="0" w:color="auto"/>
              <w:right w:val="nil"/>
            </w:tcBorders>
            <w:shd w:val="clear" w:color="auto" w:fill="auto"/>
            <w:vAlign w:val="center"/>
            <w:hideMark/>
          </w:tcPr>
          <w:p w14:paraId="0BACFB3B"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 xml:space="preserve">Net </w:t>
            </w:r>
            <w:r>
              <w:rPr>
                <w:rFonts w:ascii="Calibri" w:hAnsi="Calibri"/>
                <w:color w:val="000000"/>
                <w:sz w:val="22"/>
                <w:szCs w:val="22"/>
              </w:rPr>
              <w:t>c</w:t>
            </w:r>
            <w:r w:rsidRPr="004C40CC">
              <w:rPr>
                <w:rFonts w:ascii="Calibri" w:hAnsi="Calibri"/>
                <w:color w:val="000000"/>
                <w:sz w:val="22"/>
                <w:szCs w:val="22"/>
              </w:rPr>
              <w:t xml:space="preserve">ost to </w:t>
            </w:r>
            <w:r>
              <w:rPr>
                <w:rFonts w:ascii="Calibri" w:hAnsi="Calibri"/>
                <w:color w:val="000000"/>
                <w:sz w:val="22"/>
                <w:szCs w:val="22"/>
              </w:rPr>
              <w:t>d</w:t>
            </w:r>
            <w:r w:rsidRPr="004C40CC">
              <w:rPr>
                <w:rFonts w:ascii="Calibri" w:hAnsi="Calibri"/>
                <w:color w:val="000000"/>
                <w:sz w:val="22"/>
                <w:szCs w:val="22"/>
              </w:rPr>
              <w:t>istricts</w:t>
            </w:r>
          </w:p>
        </w:tc>
        <w:tc>
          <w:tcPr>
            <w:tcW w:w="875" w:type="dxa"/>
            <w:tcBorders>
              <w:top w:val="nil"/>
              <w:left w:val="nil"/>
              <w:bottom w:val="single" w:sz="8" w:space="0" w:color="auto"/>
              <w:right w:val="nil"/>
            </w:tcBorders>
            <w:shd w:val="clear" w:color="auto" w:fill="auto"/>
            <w:vAlign w:val="center"/>
            <w:hideMark/>
          </w:tcPr>
          <w:p w14:paraId="062ECE25" w14:textId="77777777" w:rsidR="004C40CC" w:rsidRPr="004C40CC" w:rsidRDefault="004C40CC" w:rsidP="004C40CC">
            <w:pPr>
              <w:jc w:val="center"/>
              <w:rPr>
                <w:rFonts w:ascii="Calibri" w:hAnsi="Calibri"/>
                <w:color w:val="000000"/>
                <w:sz w:val="22"/>
                <w:szCs w:val="22"/>
              </w:rPr>
            </w:pPr>
            <w:r w:rsidRPr="004C40CC">
              <w:rPr>
                <w:rFonts w:ascii="Calibri" w:hAnsi="Calibri"/>
                <w:color w:val="000000"/>
                <w:sz w:val="22"/>
                <w:szCs w:val="22"/>
              </w:rPr>
              <w:t xml:space="preserve">Net % of </w:t>
            </w:r>
            <w:r>
              <w:rPr>
                <w:rFonts w:ascii="Calibri" w:hAnsi="Calibri"/>
                <w:color w:val="000000"/>
                <w:sz w:val="22"/>
                <w:szCs w:val="22"/>
              </w:rPr>
              <w:t>t</w:t>
            </w:r>
            <w:r w:rsidRPr="004C40CC">
              <w:rPr>
                <w:rFonts w:ascii="Calibri" w:hAnsi="Calibri"/>
                <w:color w:val="000000"/>
                <w:sz w:val="22"/>
                <w:szCs w:val="22"/>
              </w:rPr>
              <w:t>otal</w:t>
            </w:r>
          </w:p>
        </w:tc>
      </w:tr>
      <w:tr w:rsidR="004C40CC" w:rsidRPr="004C40CC" w14:paraId="02618517"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3FE0384B"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2008</w:t>
            </w:r>
          </w:p>
        </w:tc>
        <w:tc>
          <w:tcPr>
            <w:tcW w:w="764" w:type="dxa"/>
            <w:tcBorders>
              <w:top w:val="nil"/>
              <w:left w:val="nil"/>
              <w:bottom w:val="nil"/>
              <w:right w:val="nil"/>
            </w:tcBorders>
            <w:shd w:val="clear" w:color="auto" w:fill="auto"/>
            <w:noWrap/>
            <w:vAlign w:val="center"/>
            <w:hideMark/>
          </w:tcPr>
          <w:p w14:paraId="17DC7BE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507.9</w:t>
            </w:r>
          </w:p>
        </w:tc>
        <w:tc>
          <w:tcPr>
            <w:tcW w:w="1218" w:type="dxa"/>
            <w:tcBorders>
              <w:top w:val="nil"/>
              <w:left w:val="nil"/>
              <w:bottom w:val="nil"/>
              <w:right w:val="nil"/>
            </w:tcBorders>
            <w:shd w:val="clear" w:color="auto" w:fill="auto"/>
            <w:noWrap/>
            <w:vAlign w:val="center"/>
            <w:hideMark/>
          </w:tcPr>
          <w:p w14:paraId="0089FA8E"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$6,480,257 </w:t>
            </w:r>
          </w:p>
        </w:tc>
        <w:tc>
          <w:tcPr>
            <w:tcW w:w="1218" w:type="dxa"/>
            <w:tcBorders>
              <w:top w:val="nil"/>
              <w:left w:val="nil"/>
              <w:bottom w:val="nil"/>
              <w:right w:val="nil"/>
            </w:tcBorders>
            <w:shd w:val="clear" w:color="auto" w:fill="auto"/>
            <w:noWrap/>
            <w:vAlign w:val="center"/>
            <w:hideMark/>
          </w:tcPr>
          <w:p w14:paraId="485DBE7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$1,641,362 </w:t>
            </w:r>
          </w:p>
        </w:tc>
        <w:tc>
          <w:tcPr>
            <w:tcW w:w="1052" w:type="dxa"/>
            <w:tcBorders>
              <w:top w:val="nil"/>
              <w:left w:val="nil"/>
              <w:bottom w:val="nil"/>
              <w:right w:val="nil"/>
            </w:tcBorders>
            <w:shd w:val="clear" w:color="auto" w:fill="auto"/>
            <w:noWrap/>
            <w:vAlign w:val="center"/>
            <w:hideMark/>
          </w:tcPr>
          <w:p w14:paraId="4F6029B4"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$415,473 </w:t>
            </w:r>
          </w:p>
        </w:tc>
        <w:tc>
          <w:tcPr>
            <w:tcW w:w="1218" w:type="dxa"/>
            <w:tcBorders>
              <w:top w:val="nil"/>
              <w:left w:val="nil"/>
              <w:bottom w:val="nil"/>
              <w:right w:val="nil"/>
            </w:tcBorders>
            <w:shd w:val="clear" w:color="auto" w:fill="auto"/>
            <w:noWrap/>
            <w:vAlign w:val="center"/>
            <w:hideMark/>
          </w:tcPr>
          <w:p w14:paraId="372CC139"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$2,056,835 </w:t>
            </w:r>
          </w:p>
        </w:tc>
        <w:tc>
          <w:tcPr>
            <w:tcW w:w="1218" w:type="dxa"/>
            <w:tcBorders>
              <w:top w:val="nil"/>
              <w:left w:val="nil"/>
              <w:bottom w:val="nil"/>
              <w:right w:val="nil"/>
            </w:tcBorders>
            <w:shd w:val="clear" w:color="auto" w:fill="auto"/>
            <w:vAlign w:val="center"/>
            <w:hideMark/>
          </w:tcPr>
          <w:p w14:paraId="4AFD7196"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$4,423,422 </w:t>
            </w:r>
          </w:p>
        </w:tc>
        <w:tc>
          <w:tcPr>
            <w:tcW w:w="875" w:type="dxa"/>
            <w:tcBorders>
              <w:top w:val="nil"/>
              <w:left w:val="nil"/>
              <w:bottom w:val="nil"/>
              <w:right w:val="nil"/>
            </w:tcBorders>
            <w:shd w:val="clear" w:color="auto" w:fill="auto"/>
            <w:vAlign w:val="center"/>
            <w:hideMark/>
          </w:tcPr>
          <w:p w14:paraId="77FB651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68.30%</w:t>
            </w:r>
          </w:p>
        </w:tc>
      </w:tr>
      <w:tr w:rsidR="004C40CC" w:rsidRPr="004C40CC" w14:paraId="42FEBA7C"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723B6824"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2009</w:t>
            </w:r>
          </w:p>
        </w:tc>
        <w:tc>
          <w:tcPr>
            <w:tcW w:w="764" w:type="dxa"/>
            <w:tcBorders>
              <w:top w:val="nil"/>
              <w:left w:val="nil"/>
              <w:bottom w:val="nil"/>
              <w:right w:val="nil"/>
            </w:tcBorders>
            <w:shd w:val="clear" w:color="auto" w:fill="auto"/>
            <w:noWrap/>
            <w:vAlign w:val="center"/>
            <w:hideMark/>
          </w:tcPr>
          <w:p w14:paraId="6C173466"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500</w:t>
            </w:r>
            <w:r>
              <w:rPr>
                <w:rFonts w:ascii="Calibri" w:hAnsi="Calibri"/>
                <w:color w:val="000000"/>
                <w:sz w:val="22"/>
                <w:szCs w:val="22"/>
              </w:rPr>
              <w:t>.0</w:t>
            </w:r>
          </w:p>
        </w:tc>
        <w:tc>
          <w:tcPr>
            <w:tcW w:w="1218" w:type="dxa"/>
            <w:tcBorders>
              <w:top w:val="nil"/>
              <w:left w:val="nil"/>
              <w:bottom w:val="nil"/>
              <w:right w:val="nil"/>
            </w:tcBorders>
            <w:shd w:val="clear" w:color="auto" w:fill="auto"/>
            <w:noWrap/>
            <w:vAlign w:val="center"/>
            <w:hideMark/>
          </w:tcPr>
          <w:p w14:paraId="51421F9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$6,872,632 </w:t>
            </w:r>
          </w:p>
        </w:tc>
        <w:tc>
          <w:tcPr>
            <w:tcW w:w="1218" w:type="dxa"/>
            <w:tcBorders>
              <w:top w:val="nil"/>
              <w:left w:val="nil"/>
              <w:bottom w:val="nil"/>
              <w:right w:val="nil"/>
            </w:tcBorders>
            <w:shd w:val="clear" w:color="auto" w:fill="auto"/>
            <w:noWrap/>
            <w:vAlign w:val="center"/>
            <w:hideMark/>
          </w:tcPr>
          <w:p w14:paraId="70C3E642"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$1,581,681 </w:t>
            </w:r>
          </w:p>
        </w:tc>
        <w:tc>
          <w:tcPr>
            <w:tcW w:w="1052" w:type="dxa"/>
            <w:tcBorders>
              <w:top w:val="nil"/>
              <w:left w:val="nil"/>
              <w:bottom w:val="nil"/>
              <w:right w:val="nil"/>
            </w:tcBorders>
            <w:shd w:val="clear" w:color="auto" w:fill="auto"/>
            <w:noWrap/>
            <w:vAlign w:val="center"/>
            <w:hideMark/>
          </w:tcPr>
          <w:p w14:paraId="2665677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$426,472 </w:t>
            </w:r>
          </w:p>
        </w:tc>
        <w:tc>
          <w:tcPr>
            <w:tcW w:w="1218" w:type="dxa"/>
            <w:tcBorders>
              <w:top w:val="nil"/>
              <w:left w:val="nil"/>
              <w:bottom w:val="nil"/>
              <w:right w:val="nil"/>
            </w:tcBorders>
            <w:shd w:val="clear" w:color="auto" w:fill="auto"/>
            <w:noWrap/>
            <w:vAlign w:val="center"/>
            <w:hideMark/>
          </w:tcPr>
          <w:p w14:paraId="1B3F12E1"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$2,008,153 </w:t>
            </w:r>
          </w:p>
        </w:tc>
        <w:tc>
          <w:tcPr>
            <w:tcW w:w="1218" w:type="dxa"/>
            <w:tcBorders>
              <w:top w:val="nil"/>
              <w:left w:val="nil"/>
              <w:bottom w:val="nil"/>
              <w:right w:val="nil"/>
            </w:tcBorders>
            <w:shd w:val="clear" w:color="auto" w:fill="auto"/>
            <w:vAlign w:val="center"/>
            <w:hideMark/>
          </w:tcPr>
          <w:p w14:paraId="5DC402A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$4,864,479 </w:t>
            </w:r>
          </w:p>
        </w:tc>
        <w:tc>
          <w:tcPr>
            <w:tcW w:w="875" w:type="dxa"/>
            <w:tcBorders>
              <w:top w:val="nil"/>
              <w:left w:val="nil"/>
              <w:bottom w:val="nil"/>
              <w:right w:val="nil"/>
            </w:tcBorders>
            <w:shd w:val="clear" w:color="auto" w:fill="auto"/>
            <w:vAlign w:val="center"/>
            <w:hideMark/>
          </w:tcPr>
          <w:p w14:paraId="43A59981"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70.80%</w:t>
            </w:r>
          </w:p>
        </w:tc>
      </w:tr>
      <w:tr w:rsidR="004C40CC" w:rsidRPr="004C40CC" w14:paraId="31D78518"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414511F8"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2010</w:t>
            </w:r>
          </w:p>
        </w:tc>
        <w:tc>
          <w:tcPr>
            <w:tcW w:w="764" w:type="dxa"/>
            <w:tcBorders>
              <w:top w:val="nil"/>
              <w:left w:val="nil"/>
              <w:bottom w:val="nil"/>
              <w:right w:val="nil"/>
            </w:tcBorders>
            <w:shd w:val="clear" w:color="auto" w:fill="auto"/>
            <w:noWrap/>
            <w:vAlign w:val="center"/>
            <w:hideMark/>
          </w:tcPr>
          <w:p w14:paraId="11CF38A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510.5</w:t>
            </w:r>
          </w:p>
        </w:tc>
        <w:tc>
          <w:tcPr>
            <w:tcW w:w="1218" w:type="dxa"/>
            <w:tcBorders>
              <w:top w:val="nil"/>
              <w:left w:val="nil"/>
              <w:bottom w:val="nil"/>
              <w:right w:val="nil"/>
            </w:tcBorders>
            <w:shd w:val="clear" w:color="auto" w:fill="auto"/>
            <w:noWrap/>
            <w:vAlign w:val="center"/>
            <w:hideMark/>
          </w:tcPr>
          <w:p w14:paraId="55BD252D"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$7,051,833 </w:t>
            </w:r>
          </w:p>
        </w:tc>
        <w:tc>
          <w:tcPr>
            <w:tcW w:w="1218" w:type="dxa"/>
            <w:tcBorders>
              <w:top w:val="nil"/>
              <w:left w:val="nil"/>
              <w:bottom w:val="nil"/>
              <w:right w:val="nil"/>
            </w:tcBorders>
            <w:shd w:val="clear" w:color="auto" w:fill="auto"/>
            <w:noWrap/>
            <w:vAlign w:val="center"/>
            <w:hideMark/>
          </w:tcPr>
          <w:p w14:paraId="5448064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$1,406,484 </w:t>
            </w:r>
          </w:p>
        </w:tc>
        <w:tc>
          <w:tcPr>
            <w:tcW w:w="1052" w:type="dxa"/>
            <w:tcBorders>
              <w:top w:val="nil"/>
              <w:left w:val="nil"/>
              <w:bottom w:val="nil"/>
              <w:right w:val="nil"/>
            </w:tcBorders>
            <w:shd w:val="clear" w:color="auto" w:fill="auto"/>
            <w:noWrap/>
            <w:vAlign w:val="center"/>
            <w:hideMark/>
          </w:tcPr>
          <w:p w14:paraId="6A252D2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$434,263 </w:t>
            </w:r>
          </w:p>
        </w:tc>
        <w:tc>
          <w:tcPr>
            <w:tcW w:w="1218" w:type="dxa"/>
            <w:tcBorders>
              <w:top w:val="nil"/>
              <w:left w:val="nil"/>
              <w:bottom w:val="nil"/>
              <w:right w:val="nil"/>
            </w:tcBorders>
            <w:shd w:val="clear" w:color="auto" w:fill="auto"/>
            <w:noWrap/>
            <w:vAlign w:val="center"/>
            <w:hideMark/>
          </w:tcPr>
          <w:p w14:paraId="2F4211D4"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$1,840,747 </w:t>
            </w:r>
          </w:p>
        </w:tc>
        <w:tc>
          <w:tcPr>
            <w:tcW w:w="1218" w:type="dxa"/>
            <w:tcBorders>
              <w:top w:val="nil"/>
              <w:left w:val="nil"/>
              <w:bottom w:val="nil"/>
              <w:right w:val="nil"/>
            </w:tcBorders>
            <w:shd w:val="clear" w:color="auto" w:fill="auto"/>
            <w:vAlign w:val="center"/>
            <w:hideMark/>
          </w:tcPr>
          <w:p w14:paraId="14B2B1A2"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$5,211,087 </w:t>
            </w:r>
          </w:p>
        </w:tc>
        <w:tc>
          <w:tcPr>
            <w:tcW w:w="875" w:type="dxa"/>
            <w:tcBorders>
              <w:top w:val="nil"/>
              <w:left w:val="nil"/>
              <w:bottom w:val="nil"/>
              <w:right w:val="nil"/>
            </w:tcBorders>
            <w:shd w:val="clear" w:color="auto" w:fill="auto"/>
            <w:vAlign w:val="center"/>
            <w:hideMark/>
          </w:tcPr>
          <w:p w14:paraId="26554F7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73.90%</w:t>
            </w:r>
          </w:p>
        </w:tc>
      </w:tr>
      <w:tr w:rsidR="004C40CC" w:rsidRPr="004C40CC" w14:paraId="13935C36"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3419A7E9"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2011</w:t>
            </w:r>
          </w:p>
        </w:tc>
        <w:tc>
          <w:tcPr>
            <w:tcW w:w="764" w:type="dxa"/>
            <w:tcBorders>
              <w:top w:val="nil"/>
              <w:left w:val="nil"/>
              <w:bottom w:val="nil"/>
              <w:right w:val="nil"/>
            </w:tcBorders>
            <w:shd w:val="clear" w:color="auto" w:fill="auto"/>
            <w:noWrap/>
            <w:vAlign w:val="center"/>
            <w:hideMark/>
          </w:tcPr>
          <w:p w14:paraId="574B665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553</w:t>
            </w:r>
            <w:r>
              <w:rPr>
                <w:rFonts w:ascii="Calibri" w:hAnsi="Calibri"/>
                <w:color w:val="000000"/>
                <w:sz w:val="22"/>
                <w:szCs w:val="22"/>
              </w:rPr>
              <w:t>.0</w:t>
            </w:r>
          </w:p>
        </w:tc>
        <w:tc>
          <w:tcPr>
            <w:tcW w:w="1218" w:type="dxa"/>
            <w:tcBorders>
              <w:top w:val="nil"/>
              <w:left w:val="nil"/>
              <w:bottom w:val="nil"/>
              <w:right w:val="nil"/>
            </w:tcBorders>
            <w:shd w:val="clear" w:color="auto" w:fill="auto"/>
            <w:noWrap/>
            <w:vAlign w:val="center"/>
            <w:hideMark/>
          </w:tcPr>
          <w:p w14:paraId="02A2098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$8,058,249 </w:t>
            </w:r>
          </w:p>
        </w:tc>
        <w:tc>
          <w:tcPr>
            <w:tcW w:w="1218" w:type="dxa"/>
            <w:tcBorders>
              <w:top w:val="nil"/>
              <w:left w:val="nil"/>
              <w:bottom w:val="nil"/>
              <w:right w:val="nil"/>
            </w:tcBorders>
            <w:shd w:val="clear" w:color="auto" w:fill="auto"/>
            <w:noWrap/>
            <w:vAlign w:val="center"/>
            <w:hideMark/>
          </w:tcPr>
          <w:p w14:paraId="1D532A9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$1,777,813 </w:t>
            </w:r>
          </w:p>
        </w:tc>
        <w:tc>
          <w:tcPr>
            <w:tcW w:w="1052" w:type="dxa"/>
            <w:tcBorders>
              <w:top w:val="nil"/>
              <w:left w:val="nil"/>
              <w:bottom w:val="nil"/>
              <w:right w:val="nil"/>
            </w:tcBorders>
            <w:shd w:val="clear" w:color="auto" w:fill="auto"/>
            <w:noWrap/>
            <w:vAlign w:val="center"/>
            <w:hideMark/>
          </w:tcPr>
          <w:p w14:paraId="1A95104A"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$472,065 </w:t>
            </w:r>
          </w:p>
        </w:tc>
        <w:tc>
          <w:tcPr>
            <w:tcW w:w="1218" w:type="dxa"/>
            <w:tcBorders>
              <w:top w:val="nil"/>
              <w:left w:val="nil"/>
              <w:bottom w:val="nil"/>
              <w:right w:val="nil"/>
            </w:tcBorders>
            <w:shd w:val="clear" w:color="auto" w:fill="auto"/>
            <w:noWrap/>
            <w:vAlign w:val="center"/>
            <w:hideMark/>
          </w:tcPr>
          <w:p w14:paraId="639EAAEA"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$2,249,878 </w:t>
            </w:r>
          </w:p>
        </w:tc>
        <w:tc>
          <w:tcPr>
            <w:tcW w:w="1218" w:type="dxa"/>
            <w:tcBorders>
              <w:top w:val="nil"/>
              <w:left w:val="nil"/>
              <w:bottom w:val="nil"/>
              <w:right w:val="nil"/>
            </w:tcBorders>
            <w:shd w:val="clear" w:color="auto" w:fill="auto"/>
            <w:vAlign w:val="center"/>
            <w:hideMark/>
          </w:tcPr>
          <w:p w14:paraId="590FD08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$5,808,371 </w:t>
            </w:r>
          </w:p>
        </w:tc>
        <w:tc>
          <w:tcPr>
            <w:tcW w:w="875" w:type="dxa"/>
            <w:tcBorders>
              <w:top w:val="nil"/>
              <w:left w:val="nil"/>
              <w:bottom w:val="nil"/>
              <w:right w:val="nil"/>
            </w:tcBorders>
            <w:shd w:val="clear" w:color="auto" w:fill="auto"/>
            <w:vAlign w:val="center"/>
            <w:hideMark/>
          </w:tcPr>
          <w:p w14:paraId="4EBF14F2"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72.10%</w:t>
            </w:r>
          </w:p>
        </w:tc>
      </w:tr>
      <w:tr w:rsidR="004C40CC" w:rsidRPr="004C40CC" w14:paraId="5EA18CBB"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1745445C"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2012</w:t>
            </w:r>
          </w:p>
        </w:tc>
        <w:tc>
          <w:tcPr>
            <w:tcW w:w="764" w:type="dxa"/>
            <w:tcBorders>
              <w:top w:val="nil"/>
              <w:left w:val="nil"/>
              <w:bottom w:val="nil"/>
              <w:right w:val="nil"/>
            </w:tcBorders>
            <w:shd w:val="clear" w:color="auto" w:fill="auto"/>
            <w:noWrap/>
            <w:vAlign w:val="center"/>
            <w:hideMark/>
          </w:tcPr>
          <w:p w14:paraId="575C2E8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533.4</w:t>
            </w:r>
          </w:p>
        </w:tc>
        <w:tc>
          <w:tcPr>
            <w:tcW w:w="1218" w:type="dxa"/>
            <w:tcBorders>
              <w:top w:val="nil"/>
              <w:left w:val="nil"/>
              <w:bottom w:val="nil"/>
              <w:right w:val="nil"/>
            </w:tcBorders>
            <w:shd w:val="clear" w:color="auto" w:fill="auto"/>
            <w:noWrap/>
            <w:vAlign w:val="center"/>
            <w:hideMark/>
          </w:tcPr>
          <w:p w14:paraId="0670BD5E"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$8,032,521 </w:t>
            </w:r>
          </w:p>
        </w:tc>
        <w:tc>
          <w:tcPr>
            <w:tcW w:w="1218" w:type="dxa"/>
            <w:tcBorders>
              <w:top w:val="nil"/>
              <w:left w:val="nil"/>
              <w:bottom w:val="nil"/>
              <w:right w:val="nil"/>
            </w:tcBorders>
            <w:shd w:val="clear" w:color="auto" w:fill="auto"/>
            <w:noWrap/>
            <w:vAlign w:val="center"/>
            <w:hideMark/>
          </w:tcPr>
          <w:p w14:paraId="2E1D82F6"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$923,066 </w:t>
            </w:r>
          </w:p>
        </w:tc>
        <w:tc>
          <w:tcPr>
            <w:tcW w:w="1052" w:type="dxa"/>
            <w:tcBorders>
              <w:top w:val="nil"/>
              <w:left w:val="nil"/>
              <w:bottom w:val="nil"/>
              <w:right w:val="nil"/>
            </w:tcBorders>
            <w:shd w:val="clear" w:color="auto" w:fill="auto"/>
            <w:noWrap/>
            <w:vAlign w:val="center"/>
            <w:hideMark/>
          </w:tcPr>
          <w:p w14:paraId="3D35D99B"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$462,409 </w:t>
            </w:r>
          </w:p>
        </w:tc>
        <w:tc>
          <w:tcPr>
            <w:tcW w:w="1218" w:type="dxa"/>
            <w:tcBorders>
              <w:top w:val="nil"/>
              <w:left w:val="nil"/>
              <w:bottom w:val="nil"/>
              <w:right w:val="nil"/>
            </w:tcBorders>
            <w:shd w:val="clear" w:color="auto" w:fill="auto"/>
            <w:noWrap/>
            <w:vAlign w:val="center"/>
            <w:hideMark/>
          </w:tcPr>
          <w:p w14:paraId="55E9D8AA"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$1,385,475 </w:t>
            </w:r>
          </w:p>
        </w:tc>
        <w:tc>
          <w:tcPr>
            <w:tcW w:w="1218" w:type="dxa"/>
            <w:tcBorders>
              <w:top w:val="nil"/>
              <w:left w:val="nil"/>
              <w:bottom w:val="nil"/>
              <w:right w:val="nil"/>
            </w:tcBorders>
            <w:shd w:val="clear" w:color="auto" w:fill="auto"/>
            <w:vAlign w:val="center"/>
            <w:hideMark/>
          </w:tcPr>
          <w:p w14:paraId="0729C4E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$6,647,046 </w:t>
            </w:r>
          </w:p>
        </w:tc>
        <w:tc>
          <w:tcPr>
            <w:tcW w:w="875" w:type="dxa"/>
            <w:tcBorders>
              <w:top w:val="nil"/>
              <w:left w:val="nil"/>
              <w:bottom w:val="nil"/>
              <w:right w:val="nil"/>
            </w:tcBorders>
            <w:shd w:val="clear" w:color="auto" w:fill="auto"/>
            <w:vAlign w:val="center"/>
            <w:hideMark/>
          </w:tcPr>
          <w:p w14:paraId="6874A9C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82.80%</w:t>
            </w:r>
          </w:p>
        </w:tc>
      </w:tr>
      <w:tr w:rsidR="004C40CC" w:rsidRPr="004C40CC" w14:paraId="396C0689"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76A0DB8A"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2013</w:t>
            </w:r>
          </w:p>
        </w:tc>
        <w:tc>
          <w:tcPr>
            <w:tcW w:w="764" w:type="dxa"/>
            <w:tcBorders>
              <w:top w:val="nil"/>
              <w:left w:val="nil"/>
              <w:bottom w:val="nil"/>
              <w:right w:val="nil"/>
            </w:tcBorders>
            <w:shd w:val="clear" w:color="auto" w:fill="auto"/>
            <w:noWrap/>
            <w:vAlign w:val="center"/>
            <w:hideMark/>
          </w:tcPr>
          <w:p w14:paraId="141335C5"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502.8</w:t>
            </w:r>
          </w:p>
        </w:tc>
        <w:tc>
          <w:tcPr>
            <w:tcW w:w="1218" w:type="dxa"/>
            <w:tcBorders>
              <w:top w:val="nil"/>
              <w:left w:val="nil"/>
              <w:bottom w:val="nil"/>
              <w:right w:val="nil"/>
            </w:tcBorders>
            <w:shd w:val="clear" w:color="auto" w:fill="auto"/>
            <w:noWrap/>
            <w:vAlign w:val="center"/>
            <w:hideMark/>
          </w:tcPr>
          <w:p w14:paraId="40028B2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$8,036,406 </w:t>
            </w:r>
          </w:p>
        </w:tc>
        <w:tc>
          <w:tcPr>
            <w:tcW w:w="1218" w:type="dxa"/>
            <w:tcBorders>
              <w:top w:val="nil"/>
              <w:left w:val="nil"/>
              <w:bottom w:val="nil"/>
              <w:right w:val="nil"/>
            </w:tcBorders>
            <w:shd w:val="clear" w:color="auto" w:fill="auto"/>
            <w:noWrap/>
            <w:vAlign w:val="center"/>
            <w:hideMark/>
          </w:tcPr>
          <w:p w14:paraId="3CA02C2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$806,461 </w:t>
            </w:r>
          </w:p>
        </w:tc>
        <w:tc>
          <w:tcPr>
            <w:tcW w:w="1052" w:type="dxa"/>
            <w:tcBorders>
              <w:top w:val="nil"/>
              <w:left w:val="nil"/>
              <w:bottom w:val="nil"/>
              <w:right w:val="nil"/>
            </w:tcBorders>
            <w:shd w:val="clear" w:color="auto" w:fill="auto"/>
            <w:noWrap/>
            <w:vAlign w:val="center"/>
            <w:hideMark/>
          </w:tcPr>
          <w:p w14:paraId="67CBCD94"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$439,771 </w:t>
            </w:r>
          </w:p>
        </w:tc>
        <w:tc>
          <w:tcPr>
            <w:tcW w:w="1218" w:type="dxa"/>
            <w:tcBorders>
              <w:top w:val="nil"/>
              <w:left w:val="nil"/>
              <w:bottom w:val="nil"/>
              <w:right w:val="nil"/>
            </w:tcBorders>
            <w:shd w:val="clear" w:color="auto" w:fill="auto"/>
            <w:noWrap/>
            <w:vAlign w:val="center"/>
            <w:hideMark/>
          </w:tcPr>
          <w:p w14:paraId="109AA40D"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$1,246,232 </w:t>
            </w:r>
          </w:p>
        </w:tc>
        <w:tc>
          <w:tcPr>
            <w:tcW w:w="1218" w:type="dxa"/>
            <w:tcBorders>
              <w:top w:val="nil"/>
              <w:left w:val="nil"/>
              <w:bottom w:val="nil"/>
              <w:right w:val="nil"/>
            </w:tcBorders>
            <w:shd w:val="clear" w:color="auto" w:fill="auto"/>
            <w:vAlign w:val="center"/>
            <w:hideMark/>
          </w:tcPr>
          <w:p w14:paraId="17942ED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$6,790,174 </w:t>
            </w:r>
          </w:p>
        </w:tc>
        <w:tc>
          <w:tcPr>
            <w:tcW w:w="875" w:type="dxa"/>
            <w:tcBorders>
              <w:top w:val="nil"/>
              <w:left w:val="nil"/>
              <w:bottom w:val="nil"/>
              <w:right w:val="nil"/>
            </w:tcBorders>
            <w:shd w:val="clear" w:color="auto" w:fill="auto"/>
            <w:vAlign w:val="center"/>
            <w:hideMark/>
          </w:tcPr>
          <w:p w14:paraId="2AD49BDC"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84.50%</w:t>
            </w:r>
          </w:p>
        </w:tc>
      </w:tr>
      <w:tr w:rsidR="004C40CC" w:rsidRPr="004C40CC" w14:paraId="17357B47"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004397C8"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2014</w:t>
            </w:r>
          </w:p>
        </w:tc>
        <w:tc>
          <w:tcPr>
            <w:tcW w:w="764" w:type="dxa"/>
            <w:tcBorders>
              <w:top w:val="nil"/>
              <w:left w:val="nil"/>
              <w:bottom w:val="nil"/>
              <w:right w:val="nil"/>
            </w:tcBorders>
            <w:shd w:val="clear" w:color="auto" w:fill="auto"/>
            <w:noWrap/>
            <w:vAlign w:val="center"/>
            <w:hideMark/>
          </w:tcPr>
          <w:p w14:paraId="3C22773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501</w:t>
            </w:r>
            <w:r>
              <w:rPr>
                <w:rFonts w:ascii="Calibri" w:hAnsi="Calibri"/>
                <w:color w:val="000000"/>
                <w:sz w:val="22"/>
                <w:szCs w:val="22"/>
              </w:rPr>
              <w:t>.0</w:t>
            </w:r>
          </w:p>
        </w:tc>
        <w:tc>
          <w:tcPr>
            <w:tcW w:w="1218" w:type="dxa"/>
            <w:tcBorders>
              <w:top w:val="nil"/>
              <w:left w:val="nil"/>
              <w:bottom w:val="nil"/>
              <w:right w:val="nil"/>
            </w:tcBorders>
            <w:shd w:val="clear" w:color="auto" w:fill="auto"/>
            <w:noWrap/>
            <w:vAlign w:val="center"/>
            <w:hideMark/>
          </w:tcPr>
          <w:p w14:paraId="11459072"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$8,267,120 </w:t>
            </w:r>
          </w:p>
        </w:tc>
        <w:tc>
          <w:tcPr>
            <w:tcW w:w="1218" w:type="dxa"/>
            <w:tcBorders>
              <w:top w:val="nil"/>
              <w:left w:val="nil"/>
              <w:bottom w:val="nil"/>
              <w:right w:val="nil"/>
            </w:tcBorders>
            <w:shd w:val="clear" w:color="auto" w:fill="auto"/>
            <w:noWrap/>
            <w:vAlign w:val="center"/>
            <w:hideMark/>
          </w:tcPr>
          <w:p w14:paraId="34C31E2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$1,100,900 </w:t>
            </w:r>
          </w:p>
        </w:tc>
        <w:tc>
          <w:tcPr>
            <w:tcW w:w="1052" w:type="dxa"/>
            <w:tcBorders>
              <w:top w:val="nil"/>
              <w:left w:val="nil"/>
              <w:bottom w:val="nil"/>
              <w:right w:val="nil"/>
            </w:tcBorders>
            <w:shd w:val="clear" w:color="auto" w:fill="auto"/>
            <w:noWrap/>
            <w:vAlign w:val="center"/>
            <w:hideMark/>
          </w:tcPr>
          <w:p w14:paraId="3C67EB7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$429,087 </w:t>
            </w:r>
          </w:p>
        </w:tc>
        <w:tc>
          <w:tcPr>
            <w:tcW w:w="1218" w:type="dxa"/>
            <w:tcBorders>
              <w:top w:val="nil"/>
              <w:left w:val="nil"/>
              <w:bottom w:val="nil"/>
              <w:right w:val="nil"/>
            </w:tcBorders>
            <w:shd w:val="clear" w:color="auto" w:fill="auto"/>
            <w:noWrap/>
            <w:vAlign w:val="center"/>
            <w:hideMark/>
          </w:tcPr>
          <w:p w14:paraId="79C0603C"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$1,529,987 </w:t>
            </w:r>
          </w:p>
        </w:tc>
        <w:tc>
          <w:tcPr>
            <w:tcW w:w="1218" w:type="dxa"/>
            <w:tcBorders>
              <w:top w:val="nil"/>
              <w:left w:val="nil"/>
              <w:bottom w:val="nil"/>
              <w:right w:val="nil"/>
            </w:tcBorders>
            <w:shd w:val="clear" w:color="auto" w:fill="auto"/>
            <w:vAlign w:val="center"/>
            <w:hideMark/>
          </w:tcPr>
          <w:p w14:paraId="6438C63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$6,737,133 </w:t>
            </w:r>
          </w:p>
        </w:tc>
        <w:tc>
          <w:tcPr>
            <w:tcW w:w="875" w:type="dxa"/>
            <w:tcBorders>
              <w:top w:val="nil"/>
              <w:left w:val="nil"/>
              <w:bottom w:val="nil"/>
              <w:right w:val="nil"/>
            </w:tcBorders>
            <w:shd w:val="clear" w:color="auto" w:fill="auto"/>
            <w:vAlign w:val="center"/>
            <w:hideMark/>
          </w:tcPr>
          <w:p w14:paraId="711A40D1"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81.50%</w:t>
            </w:r>
          </w:p>
        </w:tc>
      </w:tr>
      <w:tr w:rsidR="004C40CC" w:rsidRPr="004C40CC" w14:paraId="7939F5B1"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79C71540"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2015</w:t>
            </w:r>
          </w:p>
        </w:tc>
        <w:tc>
          <w:tcPr>
            <w:tcW w:w="764" w:type="dxa"/>
            <w:tcBorders>
              <w:top w:val="nil"/>
              <w:left w:val="nil"/>
              <w:bottom w:val="nil"/>
              <w:right w:val="nil"/>
            </w:tcBorders>
            <w:shd w:val="clear" w:color="auto" w:fill="auto"/>
            <w:noWrap/>
            <w:vAlign w:val="center"/>
            <w:hideMark/>
          </w:tcPr>
          <w:p w14:paraId="65873CDF"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495.8</w:t>
            </w:r>
          </w:p>
        </w:tc>
        <w:tc>
          <w:tcPr>
            <w:tcW w:w="1218" w:type="dxa"/>
            <w:tcBorders>
              <w:top w:val="nil"/>
              <w:left w:val="nil"/>
              <w:bottom w:val="nil"/>
              <w:right w:val="nil"/>
            </w:tcBorders>
            <w:shd w:val="clear" w:color="auto" w:fill="auto"/>
            <w:noWrap/>
            <w:vAlign w:val="center"/>
            <w:hideMark/>
          </w:tcPr>
          <w:p w14:paraId="10372456"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$8,440,313 </w:t>
            </w:r>
          </w:p>
        </w:tc>
        <w:tc>
          <w:tcPr>
            <w:tcW w:w="1218" w:type="dxa"/>
            <w:tcBorders>
              <w:top w:val="nil"/>
              <w:left w:val="nil"/>
              <w:bottom w:val="nil"/>
              <w:right w:val="nil"/>
            </w:tcBorders>
            <w:shd w:val="clear" w:color="auto" w:fill="auto"/>
            <w:noWrap/>
            <w:vAlign w:val="center"/>
            <w:hideMark/>
          </w:tcPr>
          <w:p w14:paraId="2E79AB3E"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$755,512 </w:t>
            </w:r>
          </w:p>
        </w:tc>
        <w:tc>
          <w:tcPr>
            <w:tcW w:w="1052" w:type="dxa"/>
            <w:tcBorders>
              <w:top w:val="nil"/>
              <w:left w:val="nil"/>
              <w:bottom w:val="nil"/>
              <w:right w:val="nil"/>
            </w:tcBorders>
            <w:shd w:val="clear" w:color="auto" w:fill="auto"/>
            <w:noWrap/>
            <w:vAlign w:val="center"/>
            <w:hideMark/>
          </w:tcPr>
          <w:p w14:paraId="0CAB459D"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$428,451 </w:t>
            </w:r>
          </w:p>
        </w:tc>
        <w:tc>
          <w:tcPr>
            <w:tcW w:w="1218" w:type="dxa"/>
            <w:tcBorders>
              <w:top w:val="nil"/>
              <w:left w:val="nil"/>
              <w:bottom w:val="nil"/>
              <w:right w:val="nil"/>
            </w:tcBorders>
            <w:shd w:val="clear" w:color="auto" w:fill="auto"/>
            <w:noWrap/>
            <w:vAlign w:val="center"/>
            <w:hideMark/>
          </w:tcPr>
          <w:p w14:paraId="219A5494"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$1,183,963 </w:t>
            </w:r>
          </w:p>
        </w:tc>
        <w:tc>
          <w:tcPr>
            <w:tcW w:w="1218" w:type="dxa"/>
            <w:tcBorders>
              <w:top w:val="nil"/>
              <w:left w:val="nil"/>
              <w:bottom w:val="nil"/>
              <w:right w:val="nil"/>
            </w:tcBorders>
            <w:shd w:val="clear" w:color="auto" w:fill="auto"/>
            <w:vAlign w:val="center"/>
            <w:hideMark/>
          </w:tcPr>
          <w:p w14:paraId="38AB829D"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$7,256,350 </w:t>
            </w:r>
          </w:p>
        </w:tc>
        <w:tc>
          <w:tcPr>
            <w:tcW w:w="875" w:type="dxa"/>
            <w:tcBorders>
              <w:top w:val="nil"/>
              <w:left w:val="nil"/>
              <w:bottom w:val="nil"/>
              <w:right w:val="nil"/>
            </w:tcBorders>
            <w:shd w:val="clear" w:color="auto" w:fill="auto"/>
            <w:vAlign w:val="center"/>
            <w:hideMark/>
          </w:tcPr>
          <w:p w14:paraId="26BE9A8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86.00%</w:t>
            </w:r>
          </w:p>
        </w:tc>
      </w:tr>
      <w:tr w:rsidR="004C40CC" w:rsidRPr="004C40CC" w14:paraId="7ED2B3AD" w14:textId="77777777" w:rsidTr="00F95AFD">
        <w:trPr>
          <w:gridAfter w:val="1"/>
          <w:wAfter w:w="59" w:type="dxa"/>
          <w:trHeight w:val="288"/>
          <w:jc w:val="center"/>
        </w:trPr>
        <w:tc>
          <w:tcPr>
            <w:tcW w:w="1123" w:type="dxa"/>
            <w:tcBorders>
              <w:top w:val="nil"/>
              <w:left w:val="nil"/>
              <w:bottom w:val="nil"/>
              <w:right w:val="nil"/>
            </w:tcBorders>
            <w:shd w:val="clear" w:color="auto" w:fill="auto"/>
            <w:noWrap/>
            <w:vAlign w:val="center"/>
            <w:hideMark/>
          </w:tcPr>
          <w:p w14:paraId="3F93754C" w14:textId="77777777" w:rsidR="004C40CC" w:rsidRPr="004C40CC" w:rsidRDefault="004C40CC" w:rsidP="004C40CC">
            <w:pPr>
              <w:rPr>
                <w:rFonts w:ascii="Calibri" w:hAnsi="Calibri"/>
                <w:color w:val="000000"/>
                <w:sz w:val="22"/>
                <w:szCs w:val="22"/>
              </w:rPr>
            </w:pPr>
            <w:r w:rsidRPr="004C40CC">
              <w:rPr>
                <w:rFonts w:ascii="Calibri" w:hAnsi="Calibri"/>
                <w:color w:val="000000"/>
                <w:sz w:val="22"/>
                <w:szCs w:val="22"/>
              </w:rPr>
              <w:t>2016</w:t>
            </w:r>
          </w:p>
        </w:tc>
        <w:tc>
          <w:tcPr>
            <w:tcW w:w="764" w:type="dxa"/>
            <w:tcBorders>
              <w:top w:val="nil"/>
              <w:left w:val="nil"/>
              <w:bottom w:val="nil"/>
              <w:right w:val="nil"/>
            </w:tcBorders>
            <w:shd w:val="clear" w:color="auto" w:fill="auto"/>
            <w:noWrap/>
            <w:vAlign w:val="center"/>
            <w:hideMark/>
          </w:tcPr>
          <w:p w14:paraId="1707B0F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515.9</w:t>
            </w:r>
          </w:p>
        </w:tc>
        <w:tc>
          <w:tcPr>
            <w:tcW w:w="1218" w:type="dxa"/>
            <w:tcBorders>
              <w:top w:val="nil"/>
              <w:left w:val="nil"/>
              <w:bottom w:val="nil"/>
              <w:right w:val="nil"/>
            </w:tcBorders>
            <w:shd w:val="clear" w:color="auto" w:fill="auto"/>
            <w:noWrap/>
            <w:vAlign w:val="center"/>
            <w:hideMark/>
          </w:tcPr>
          <w:p w14:paraId="1D1CAABB"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$8,950,796 </w:t>
            </w:r>
          </w:p>
        </w:tc>
        <w:tc>
          <w:tcPr>
            <w:tcW w:w="1218" w:type="dxa"/>
            <w:tcBorders>
              <w:top w:val="nil"/>
              <w:left w:val="nil"/>
              <w:bottom w:val="nil"/>
              <w:right w:val="nil"/>
            </w:tcBorders>
            <w:shd w:val="clear" w:color="auto" w:fill="auto"/>
            <w:noWrap/>
            <w:vAlign w:val="center"/>
            <w:hideMark/>
          </w:tcPr>
          <w:p w14:paraId="6FCE87D8"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$780,281 </w:t>
            </w:r>
          </w:p>
        </w:tc>
        <w:tc>
          <w:tcPr>
            <w:tcW w:w="1052" w:type="dxa"/>
            <w:tcBorders>
              <w:top w:val="nil"/>
              <w:left w:val="nil"/>
              <w:bottom w:val="nil"/>
              <w:right w:val="nil"/>
            </w:tcBorders>
            <w:shd w:val="clear" w:color="auto" w:fill="auto"/>
            <w:noWrap/>
            <w:vAlign w:val="center"/>
            <w:hideMark/>
          </w:tcPr>
          <w:p w14:paraId="613E6759"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$443,848 </w:t>
            </w:r>
          </w:p>
        </w:tc>
        <w:tc>
          <w:tcPr>
            <w:tcW w:w="1218" w:type="dxa"/>
            <w:tcBorders>
              <w:top w:val="nil"/>
              <w:left w:val="nil"/>
              <w:bottom w:val="nil"/>
              <w:right w:val="nil"/>
            </w:tcBorders>
            <w:shd w:val="clear" w:color="auto" w:fill="auto"/>
            <w:noWrap/>
            <w:vAlign w:val="center"/>
            <w:hideMark/>
          </w:tcPr>
          <w:p w14:paraId="320FA12B"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$1,224,129 </w:t>
            </w:r>
          </w:p>
        </w:tc>
        <w:tc>
          <w:tcPr>
            <w:tcW w:w="1218" w:type="dxa"/>
            <w:tcBorders>
              <w:top w:val="nil"/>
              <w:left w:val="nil"/>
              <w:bottom w:val="nil"/>
              <w:right w:val="nil"/>
            </w:tcBorders>
            <w:shd w:val="clear" w:color="auto" w:fill="auto"/>
            <w:vAlign w:val="center"/>
            <w:hideMark/>
          </w:tcPr>
          <w:p w14:paraId="1CA6AE50"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xml:space="preserve">$7,726,667 </w:t>
            </w:r>
          </w:p>
        </w:tc>
        <w:tc>
          <w:tcPr>
            <w:tcW w:w="875" w:type="dxa"/>
            <w:tcBorders>
              <w:top w:val="nil"/>
              <w:left w:val="nil"/>
              <w:bottom w:val="nil"/>
              <w:right w:val="nil"/>
            </w:tcBorders>
            <w:shd w:val="clear" w:color="auto" w:fill="auto"/>
            <w:vAlign w:val="center"/>
            <w:hideMark/>
          </w:tcPr>
          <w:p w14:paraId="4179F5AD"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86.30%</w:t>
            </w:r>
          </w:p>
        </w:tc>
      </w:tr>
      <w:tr w:rsidR="004C40CC" w:rsidRPr="004C40CC" w14:paraId="7276C2A9" w14:textId="77777777" w:rsidTr="00F95AFD">
        <w:trPr>
          <w:gridAfter w:val="1"/>
          <w:wAfter w:w="59" w:type="dxa"/>
          <w:trHeight w:val="288"/>
          <w:jc w:val="center"/>
        </w:trPr>
        <w:tc>
          <w:tcPr>
            <w:tcW w:w="1123" w:type="dxa"/>
            <w:tcBorders>
              <w:top w:val="nil"/>
              <w:left w:val="nil"/>
              <w:bottom w:val="single" w:sz="12" w:space="0" w:color="auto"/>
              <w:right w:val="nil"/>
            </w:tcBorders>
            <w:shd w:val="clear" w:color="auto" w:fill="auto"/>
            <w:noWrap/>
            <w:vAlign w:val="center"/>
            <w:hideMark/>
          </w:tcPr>
          <w:p w14:paraId="7443FF23" w14:textId="77777777" w:rsidR="004C40CC" w:rsidRPr="004C40CC" w:rsidRDefault="004C40CC" w:rsidP="004C40CC">
            <w:pPr>
              <w:rPr>
                <w:rFonts w:ascii="Calibri" w:hAnsi="Calibri"/>
                <w:color w:val="000000"/>
                <w:sz w:val="22"/>
                <w:szCs w:val="22"/>
              </w:rPr>
            </w:pPr>
            <w:r>
              <w:rPr>
                <w:rFonts w:ascii="Calibri" w:hAnsi="Calibri"/>
                <w:color w:val="000000"/>
                <w:sz w:val="22"/>
                <w:szCs w:val="22"/>
              </w:rPr>
              <w:t xml:space="preserve">% </w:t>
            </w:r>
            <w:r w:rsidRPr="004C40CC">
              <w:rPr>
                <w:rFonts w:ascii="Calibri" w:hAnsi="Calibri"/>
                <w:color w:val="000000"/>
                <w:sz w:val="22"/>
                <w:szCs w:val="22"/>
              </w:rPr>
              <w:t>Change</w:t>
            </w:r>
          </w:p>
        </w:tc>
        <w:tc>
          <w:tcPr>
            <w:tcW w:w="764" w:type="dxa"/>
            <w:tcBorders>
              <w:top w:val="nil"/>
              <w:left w:val="nil"/>
              <w:bottom w:val="single" w:sz="12" w:space="0" w:color="auto"/>
              <w:right w:val="nil"/>
            </w:tcBorders>
            <w:shd w:val="clear" w:color="auto" w:fill="auto"/>
            <w:noWrap/>
            <w:vAlign w:val="center"/>
            <w:hideMark/>
          </w:tcPr>
          <w:p w14:paraId="6F9FD554"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1.60%</w:t>
            </w:r>
          </w:p>
        </w:tc>
        <w:tc>
          <w:tcPr>
            <w:tcW w:w="1218" w:type="dxa"/>
            <w:tcBorders>
              <w:top w:val="nil"/>
              <w:left w:val="nil"/>
              <w:bottom w:val="single" w:sz="12" w:space="0" w:color="auto"/>
              <w:right w:val="nil"/>
            </w:tcBorders>
            <w:shd w:val="clear" w:color="auto" w:fill="auto"/>
            <w:noWrap/>
            <w:vAlign w:val="center"/>
            <w:hideMark/>
          </w:tcPr>
          <w:p w14:paraId="61C7DBD8"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38.10%</w:t>
            </w:r>
          </w:p>
        </w:tc>
        <w:tc>
          <w:tcPr>
            <w:tcW w:w="1218" w:type="dxa"/>
            <w:tcBorders>
              <w:top w:val="nil"/>
              <w:left w:val="nil"/>
              <w:bottom w:val="single" w:sz="12" w:space="0" w:color="auto"/>
              <w:right w:val="nil"/>
            </w:tcBorders>
            <w:shd w:val="clear" w:color="auto" w:fill="auto"/>
            <w:noWrap/>
            <w:vAlign w:val="center"/>
            <w:hideMark/>
          </w:tcPr>
          <w:p w14:paraId="4B49CFB3"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-52.50%</w:t>
            </w:r>
          </w:p>
        </w:tc>
        <w:tc>
          <w:tcPr>
            <w:tcW w:w="1052" w:type="dxa"/>
            <w:tcBorders>
              <w:top w:val="nil"/>
              <w:left w:val="nil"/>
              <w:bottom w:val="single" w:sz="12" w:space="0" w:color="auto"/>
              <w:right w:val="nil"/>
            </w:tcBorders>
            <w:shd w:val="clear" w:color="auto" w:fill="auto"/>
            <w:noWrap/>
            <w:vAlign w:val="center"/>
            <w:hideMark/>
          </w:tcPr>
          <w:p w14:paraId="69B1E4E2"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6.80%</w:t>
            </w:r>
          </w:p>
        </w:tc>
        <w:tc>
          <w:tcPr>
            <w:tcW w:w="1218" w:type="dxa"/>
            <w:tcBorders>
              <w:top w:val="nil"/>
              <w:left w:val="nil"/>
              <w:bottom w:val="single" w:sz="12" w:space="0" w:color="auto"/>
              <w:right w:val="nil"/>
            </w:tcBorders>
            <w:shd w:val="clear" w:color="auto" w:fill="auto"/>
            <w:noWrap/>
            <w:vAlign w:val="center"/>
            <w:hideMark/>
          </w:tcPr>
          <w:p w14:paraId="68A6B0A7"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-40.50%</w:t>
            </w:r>
          </w:p>
        </w:tc>
        <w:tc>
          <w:tcPr>
            <w:tcW w:w="1218" w:type="dxa"/>
            <w:tcBorders>
              <w:top w:val="nil"/>
              <w:left w:val="nil"/>
              <w:bottom w:val="single" w:sz="12" w:space="0" w:color="auto"/>
              <w:right w:val="nil"/>
            </w:tcBorders>
            <w:shd w:val="clear" w:color="auto" w:fill="auto"/>
            <w:vAlign w:val="center"/>
            <w:hideMark/>
          </w:tcPr>
          <w:p w14:paraId="5DD3EEDA"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74.70%</w:t>
            </w:r>
          </w:p>
        </w:tc>
        <w:tc>
          <w:tcPr>
            <w:tcW w:w="875" w:type="dxa"/>
            <w:tcBorders>
              <w:top w:val="nil"/>
              <w:left w:val="nil"/>
              <w:bottom w:val="single" w:sz="12" w:space="0" w:color="auto"/>
              <w:right w:val="nil"/>
            </w:tcBorders>
            <w:shd w:val="clear" w:color="auto" w:fill="auto"/>
            <w:vAlign w:val="center"/>
            <w:hideMark/>
          </w:tcPr>
          <w:p w14:paraId="267F0886" w14:textId="77777777" w:rsidR="004C40CC" w:rsidRPr="004C40CC" w:rsidRDefault="004C40CC" w:rsidP="004C40CC">
            <w:pPr>
              <w:jc w:val="right"/>
              <w:rPr>
                <w:rFonts w:ascii="Calibri" w:hAnsi="Calibri"/>
                <w:color w:val="000000"/>
                <w:sz w:val="22"/>
                <w:szCs w:val="22"/>
              </w:rPr>
            </w:pPr>
            <w:r w:rsidRPr="004C40CC">
              <w:rPr>
                <w:rFonts w:ascii="Calibri" w:hAnsi="Calibri"/>
                <w:color w:val="000000"/>
                <w:sz w:val="22"/>
                <w:szCs w:val="22"/>
              </w:rPr>
              <w:t> </w:t>
            </w:r>
          </w:p>
        </w:tc>
      </w:tr>
    </w:tbl>
    <w:p w14:paraId="5116C042" w14:textId="77777777" w:rsidR="009212B0" w:rsidRDefault="009212B0">
      <w:pPr>
        <w:rPr>
          <w:lang w:bidi="en-US"/>
        </w:rPr>
      </w:pPr>
    </w:p>
    <w:p w14:paraId="70DA8F59" w14:textId="77777777" w:rsidR="004C40CC" w:rsidRDefault="004C40CC" w:rsidP="0024666B">
      <w:pPr>
        <w:pStyle w:val="Heading1"/>
        <w:rPr>
          <w:lang w:bidi="en-US"/>
        </w:rPr>
      </w:pPr>
    </w:p>
    <w:p w14:paraId="0BBA2E57" w14:textId="77777777" w:rsidR="004C40CC" w:rsidRDefault="004C40CC" w:rsidP="004C40CC">
      <w:pPr>
        <w:rPr>
          <w:rFonts w:ascii="Arial" w:hAnsi="Arial" w:cs="Arial"/>
          <w:kern w:val="32"/>
          <w:sz w:val="32"/>
          <w:szCs w:val="32"/>
          <w:lang w:bidi="en-US"/>
        </w:rPr>
      </w:pPr>
      <w:r>
        <w:rPr>
          <w:lang w:bidi="en-US"/>
        </w:rPr>
        <w:br w:type="page"/>
      </w:r>
    </w:p>
    <w:p w14:paraId="00906D64" w14:textId="77777777" w:rsidR="00741A9A" w:rsidRDefault="00FA199A" w:rsidP="0024666B">
      <w:pPr>
        <w:pStyle w:val="Heading1"/>
        <w:rPr>
          <w:lang w:bidi="en-US"/>
        </w:rPr>
      </w:pPr>
      <w:bookmarkStart w:id="8" w:name="_Toc503258034"/>
      <w:r>
        <w:rPr>
          <w:lang w:bidi="en-US"/>
        </w:rPr>
        <w:lastRenderedPageBreak/>
        <w:t>Future Directions</w:t>
      </w:r>
      <w:bookmarkEnd w:id="8"/>
    </w:p>
    <w:p w14:paraId="3FC14821" w14:textId="77777777" w:rsidR="00C55477" w:rsidRDefault="00495B7E" w:rsidP="00C91761">
      <w:pPr>
        <w:rPr>
          <w:lang w:bidi="en-US"/>
        </w:rPr>
      </w:pPr>
      <w:r>
        <w:rPr>
          <w:lang w:bidi="en-US"/>
        </w:rPr>
        <w:t>D</w:t>
      </w:r>
      <w:r w:rsidR="00C55477">
        <w:rPr>
          <w:lang w:bidi="en-US"/>
        </w:rPr>
        <w:t>ec</w:t>
      </w:r>
      <w:r>
        <w:rPr>
          <w:lang w:bidi="en-US"/>
        </w:rPr>
        <w:t>lining enrollment and rising costs</w:t>
      </w:r>
      <w:r w:rsidR="00C55477">
        <w:rPr>
          <w:lang w:bidi="en-US"/>
        </w:rPr>
        <w:t xml:space="preserve"> are </w:t>
      </w:r>
      <w:r w:rsidR="00061C7D">
        <w:rPr>
          <w:lang w:bidi="en-US"/>
        </w:rPr>
        <w:t xml:space="preserve">at </w:t>
      </w:r>
      <w:r w:rsidR="00C55477">
        <w:rPr>
          <w:lang w:bidi="en-US"/>
        </w:rPr>
        <w:t>the heart of the challenges facing rural school districts.</w:t>
      </w:r>
      <w:r>
        <w:rPr>
          <w:lang w:bidi="en-US"/>
        </w:rPr>
        <w:t xml:space="preserve"> Given their size, it is difficult for these districts to achieve economies of scale. As a result, they employ more teachers and paraprofessionals per 100 students </w:t>
      </w:r>
      <w:r w:rsidR="000B0142">
        <w:rPr>
          <w:lang w:bidi="en-US"/>
        </w:rPr>
        <w:t>than they might otherwise need if their schools were larger</w:t>
      </w:r>
      <w:r>
        <w:rPr>
          <w:lang w:bidi="en-US"/>
        </w:rPr>
        <w:t>.</w:t>
      </w:r>
      <w:r w:rsidR="0098468A">
        <w:rPr>
          <w:lang w:bidi="en-US"/>
        </w:rPr>
        <w:t xml:space="preserve"> </w:t>
      </w:r>
      <w:r w:rsidR="007E5DF3">
        <w:rPr>
          <w:lang w:bidi="en-US"/>
        </w:rPr>
        <w:t xml:space="preserve">Mechanisms in </w:t>
      </w:r>
      <w:r w:rsidR="00A00409">
        <w:rPr>
          <w:lang w:bidi="en-US"/>
        </w:rPr>
        <w:t xml:space="preserve">the </w:t>
      </w:r>
      <w:r w:rsidR="0098468A">
        <w:rPr>
          <w:lang w:bidi="en-US"/>
        </w:rPr>
        <w:t>C</w:t>
      </w:r>
      <w:r w:rsidR="00703FE4">
        <w:rPr>
          <w:lang w:bidi="en-US"/>
        </w:rPr>
        <w:t>hapter 70</w:t>
      </w:r>
      <w:r w:rsidR="00A00409">
        <w:rPr>
          <w:lang w:bidi="en-US"/>
        </w:rPr>
        <w:t xml:space="preserve"> formula</w:t>
      </w:r>
      <w:r w:rsidR="007E5DF3">
        <w:rPr>
          <w:lang w:bidi="en-US"/>
        </w:rPr>
        <w:t>, including staff and salary assumptions, the wage factor</w:t>
      </w:r>
      <w:r w:rsidR="000B0142">
        <w:rPr>
          <w:lang w:bidi="en-US"/>
        </w:rPr>
        <w:t>,</w:t>
      </w:r>
      <w:r w:rsidR="007E5DF3">
        <w:rPr>
          <w:lang w:bidi="en-US"/>
        </w:rPr>
        <w:t xml:space="preserve"> and hold harmless provisions</w:t>
      </w:r>
      <w:r w:rsidR="000B0142">
        <w:rPr>
          <w:lang w:bidi="en-US"/>
        </w:rPr>
        <w:t xml:space="preserve"> </w:t>
      </w:r>
      <w:r w:rsidR="00703FE4">
        <w:rPr>
          <w:lang w:bidi="en-US"/>
        </w:rPr>
        <w:t>ha</w:t>
      </w:r>
      <w:r w:rsidR="007E5DF3">
        <w:rPr>
          <w:lang w:bidi="en-US"/>
        </w:rPr>
        <w:t>ve</w:t>
      </w:r>
      <w:r w:rsidR="00703FE4">
        <w:rPr>
          <w:lang w:bidi="en-US"/>
        </w:rPr>
        <w:t xml:space="preserve"> stabilized funding </w:t>
      </w:r>
      <w:r w:rsidR="00F57229">
        <w:rPr>
          <w:lang w:bidi="en-US"/>
        </w:rPr>
        <w:t xml:space="preserve">for these districts </w:t>
      </w:r>
      <w:r w:rsidR="00703FE4">
        <w:rPr>
          <w:lang w:bidi="en-US"/>
        </w:rPr>
        <w:t>despite declin</w:t>
      </w:r>
      <w:r w:rsidR="0064026C">
        <w:rPr>
          <w:lang w:bidi="en-US"/>
        </w:rPr>
        <w:t>ing enrollment</w:t>
      </w:r>
      <w:r w:rsidR="007E5DF3">
        <w:rPr>
          <w:lang w:bidi="en-US"/>
        </w:rPr>
        <w:t>.</w:t>
      </w:r>
      <w:r w:rsidR="00FA7FCD">
        <w:rPr>
          <w:lang w:bidi="en-US"/>
        </w:rPr>
        <w:t xml:space="preserve"> School choice </w:t>
      </w:r>
      <w:r w:rsidR="007E5DF3">
        <w:rPr>
          <w:lang w:bidi="en-US"/>
        </w:rPr>
        <w:t>provides</w:t>
      </w:r>
      <w:r w:rsidR="00FA7FCD">
        <w:rPr>
          <w:lang w:bidi="en-US"/>
        </w:rPr>
        <w:t xml:space="preserve"> a</w:t>
      </w:r>
      <w:r w:rsidR="0064026C">
        <w:rPr>
          <w:lang w:bidi="en-US"/>
        </w:rPr>
        <w:t>nother</w:t>
      </w:r>
      <w:r w:rsidR="00FA7FCD">
        <w:rPr>
          <w:lang w:bidi="en-US"/>
        </w:rPr>
        <w:t xml:space="preserve"> revenue source, but </w:t>
      </w:r>
      <w:r w:rsidR="00110DDC">
        <w:rPr>
          <w:lang w:bidi="en-US"/>
        </w:rPr>
        <w:t xml:space="preserve">rural </w:t>
      </w:r>
      <w:r w:rsidR="00FA7FCD">
        <w:rPr>
          <w:lang w:bidi="en-US"/>
        </w:rPr>
        <w:t xml:space="preserve">districts </w:t>
      </w:r>
      <w:r w:rsidR="00110DDC">
        <w:rPr>
          <w:lang w:bidi="en-US"/>
        </w:rPr>
        <w:t>that enroll large numbers of school choice students may</w:t>
      </w:r>
      <w:r w:rsidR="00FA7FCD">
        <w:rPr>
          <w:lang w:bidi="en-US"/>
        </w:rPr>
        <w:t xml:space="preserve"> not </w:t>
      </w:r>
      <w:r w:rsidR="00110DDC">
        <w:rPr>
          <w:lang w:bidi="en-US"/>
        </w:rPr>
        <w:t xml:space="preserve">be </w:t>
      </w:r>
      <w:r w:rsidR="00FA7FCD">
        <w:rPr>
          <w:lang w:bidi="en-US"/>
        </w:rPr>
        <w:t xml:space="preserve">covering the cost of educating these students </w:t>
      </w:r>
      <w:r w:rsidR="00F57229">
        <w:rPr>
          <w:lang w:bidi="en-US"/>
        </w:rPr>
        <w:t xml:space="preserve">with </w:t>
      </w:r>
      <w:r w:rsidR="00FA7FCD">
        <w:rPr>
          <w:lang w:bidi="en-US"/>
        </w:rPr>
        <w:t>the tuition that they receive.</w:t>
      </w:r>
    </w:p>
    <w:p w14:paraId="74F8F9AC" w14:textId="77777777" w:rsidR="0098468A" w:rsidRDefault="0098468A" w:rsidP="00C91761">
      <w:pPr>
        <w:rPr>
          <w:lang w:bidi="en-US"/>
        </w:rPr>
      </w:pPr>
    </w:p>
    <w:p w14:paraId="0E8F1F11" w14:textId="77777777" w:rsidR="005A2E87" w:rsidRPr="00C91761" w:rsidRDefault="00A5167F" w:rsidP="0058307E">
      <w:pPr>
        <w:rPr>
          <w:lang w:bidi="en-US"/>
        </w:rPr>
      </w:pPr>
      <w:r>
        <w:rPr>
          <w:lang w:bidi="en-US"/>
        </w:rPr>
        <w:t>Th</w:t>
      </w:r>
      <w:r w:rsidR="007036FE">
        <w:rPr>
          <w:lang w:bidi="en-US"/>
        </w:rPr>
        <w:t xml:space="preserve">e </w:t>
      </w:r>
      <w:r w:rsidR="009C3F85">
        <w:rPr>
          <w:lang w:bidi="en-US"/>
        </w:rPr>
        <w:t>C</w:t>
      </w:r>
      <w:r w:rsidR="007036FE">
        <w:rPr>
          <w:lang w:bidi="en-US"/>
        </w:rPr>
        <w:t xml:space="preserve">ommonwealth </w:t>
      </w:r>
      <w:r>
        <w:rPr>
          <w:lang w:bidi="en-US"/>
        </w:rPr>
        <w:t xml:space="preserve">faces a choice </w:t>
      </w:r>
      <w:r w:rsidR="007036FE">
        <w:rPr>
          <w:lang w:bidi="en-US"/>
        </w:rPr>
        <w:t xml:space="preserve">whether </w:t>
      </w:r>
      <w:r>
        <w:rPr>
          <w:lang w:bidi="en-US"/>
        </w:rPr>
        <w:t>t</w:t>
      </w:r>
      <w:r w:rsidR="007036FE">
        <w:rPr>
          <w:lang w:bidi="en-US"/>
        </w:rPr>
        <w:t xml:space="preserve">o direct additional funding to </w:t>
      </w:r>
      <w:r>
        <w:rPr>
          <w:lang w:bidi="en-US"/>
        </w:rPr>
        <w:t>rural</w:t>
      </w:r>
      <w:r w:rsidR="009C3F85">
        <w:rPr>
          <w:lang w:bidi="en-US"/>
        </w:rPr>
        <w:t xml:space="preserve"> </w:t>
      </w:r>
      <w:r w:rsidR="007036FE">
        <w:rPr>
          <w:lang w:bidi="en-US"/>
        </w:rPr>
        <w:t>districts</w:t>
      </w:r>
      <w:r w:rsidR="009C3F85">
        <w:rPr>
          <w:lang w:bidi="en-US"/>
        </w:rPr>
        <w:t>,</w:t>
      </w:r>
      <w:r w:rsidR="007036FE">
        <w:rPr>
          <w:lang w:bidi="en-US"/>
        </w:rPr>
        <w:t xml:space="preserve"> seek more </w:t>
      </w:r>
      <w:r w:rsidR="00110DDC">
        <w:rPr>
          <w:lang w:bidi="en-US"/>
        </w:rPr>
        <w:t>efficiency</w:t>
      </w:r>
      <w:r>
        <w:rPr>
          <w:lang w:bidi="en-US"/>
        </w:rPr>
        <w:t xml:space="preserve"> in how they deliver services,</w:t>
      </w:r>
      <w:r w:rsidR="007036FE">
        <w:rPr>
          <w:lang w:bidi="en-US"/>
        </w:rPr>
        <w:t xml:space="preserve"> or some combination of the two. </w:t>
      </w:r>
      <w:r w:rsidR="007C04E3">
        <w:rPr>
          <w:lang w:bidi="en-US"/>
        </w:rPr>
        <w:t xml:space="preserve">From the Department’s perspective, </w:t>
      </w:r>
      <w:r w:rsidR="00632FD6">
        <w:rPr>
          <w:lang w:bidi="en-US"/>
        </w:rPr>
        <w:t>alternatives</w:t>
      </w:r>
      <w:r w:rsidR="00484DE7">
        <w:rPr>
          <w:lang w:bidi="en-US"/>
        </w:rPr>
        <w:t xml:space="preserve"> to consider might</w:t>
      </w:r>
      <w:r w:rsidR="007C04E3">
        <w:rPr>
          <w:lang w:bidi="en-US"/>
        </w:rPr>
        <w:t xml:space="preserve"> include</w:t>
      </w:r>
      <w:r w:rsidR="00F03BF7">
        <w:rPr>
          <w:lang w:bidi="en-US"/>
        </w:rPr>
        <w:t xml:space="preserve"> </w:t>
      </w:r>
      <w:r w:rsidR="007C04E3">
        <w:rPr>
          <w:lang w:bidi="en-US"/>
        </w:rPr>
        <w:t>implementing changes to the</w:t>
      </w:r>
      <w:r w:rsidR="0058307E">
        <w:rPr>
          <w:lang w:bidi="en-US"/>
        </w:rPr>
        <w:t xml:space="preserve"> Chapter 70 formula, </w:t>
      </w:r>
      <w:r w:rsidR="007C04E3">
        <w:rPr>
          <w:lang w:bidi="en-US"/>
        </w:rPr>
        <w:t xml:space="preserve">updating the </w:t>
      </w:r>
      <w:r w:rsidR="0058307E">
        <w:rPr>
          <w:lang w:bidi="en-US"/>
        </w:rPr>
        <w:t>regional transportation reimbursement</w:t>
      </w:r>
      <w:r w:rsidR="007C04E3">
        <w:rPr>
          <w:lang w:bidi="en-US"/>
        </w:rPr>
        <w:t xml:space="preserve"> formula</w:t>
      </w:r>
      <w:r w:rsidR="0058307E">
        <w:rPr>
          <w:lang w:bidi="en-US"/>
        </w:rPr>
        <w:t xml:space="preserve">, </w:t>
      </w:r>
      <w:r w:rsidR="000B0142">
        <w:rPr>
          <w:lang w:bidi="en-US"/>
        </w:rPr>
        <w:t>encouraging more efficienc</w:t>
      </w:r>
      <w:r w:rsidR="00110DDC">
        <w:rPr>
          <w:lang w:bidi="en-US"/>
        </w:rPr>
        <w:t>y</w:t>
      </w:r>
      <w:r w:rsidR="000B0142">
        <w:rPr>
          <w:lang w:bidi="en-US"/>
        </w:rPr>
        <w:t xml:space="preserve"> through shared services or expanded regionalization</w:t>
      </w:r>
      <w:r w:rsidR="0058307E">
        <w:rPr>
          <w:lang w:bidi="en-US"/>
        </w:rPr>
        <w:t xml:space="preserve">, and </w:t>
      </w:r>
      <w:r w:rsidR="007C04E3">
        <w:rPr>
          <w:lang w:bidi="en-US"/>
        </w:rPr>
        <w:t xml:space="preserve">providing </w:t>
      </w:r>
      <w:r w:rsidR="0058307E">
        <w:rPr>
          <w:lang w:bidi="en-US"/>
        </w:rPr>
        <w:t xml:space="preserve">data tools to help districts model regional options. </w:t>
      </w:r>
      <w:r w:rsidR="007C04E3">
        <w:rPr>
          <w:lang w:bidi="en-US"/>
        </w:rPr>
        <w:t xml:space="preserve">Each of these </w:t>
      </w:r>
      <w:r w:rsidR="000B0142">
        <w:rPr>
          <w:lang w:bidi="en-US"/>
        </w:rPr>
        <w:t xml:space="preserve">alternatives </w:t>
      </w:r>
      <w:r w:rsidR="007C04E3">
        <w:rPr>
          <w:lang w:bidi="en-US"/>
        </w:rPr>
        <w:t>is explained in more detail below</w:t>
      </w:r>
      <w:r w:rsidR="000B0142">
        <w:rPr>
          <w:lang w:bidi="en-US"/>
        </w:rPr>
        <w:t>, divided into three categories: local aid changes, regional models, and regional incentives.</w:t>
      </w:r>
    </w:p>
    <w:p w14:paraId="23A79217" w14:textId="77777777" w:rsidR="00E25D7F" w:rsidRDefault="000B0142" w:rsidP="00E25D7F">
      <w:pPr>
        <w:pStyle w:val="Heading2"/>
        <w:rPr>
          <w:lang w:bidi="en-US"/>
        </w:rPr>
      </w:pPr>
      <w:bookmarkStart w:id="9" w:name="_Toc503258035"/>
      <w:r>
        <w:rPr>
          <w:lang w:bidi="en-US"/>
        </w:rPr>
        <w:t>Local aid changes</w:t>
      </w:r>
      <w:bookmarkEnd w:id="9"/>
    </w:p>
    <w:p w14:paraId="6E9C37B2" w14:textId="77777777" w:rsidR="000B0142" w:rsidRPr="000B0142" w:rsidRDefault="000B0142">
      <w:r>
        <w:t xml:space="preserve">Changes to the state’s local aid calculations, particularly Chapter 70 and transportation aid, could generate benefits for all districts in the Commonwealth, not just the districts included in this study. There are, however, limitations on the potential impact that some of these changes could have for districts </w:t>
      </w:r>
      <w:r w:rsidR="00E50B11">
        <w:t>that are seeing declining enrollments.</w:t>
      </w:r>
      <w:r w:rsidR="00D40F34">
        <w:t xml:space="preserve"> There are also questions about who should be eligible for this assistance.</w:t>
      </w:r>
    </w:p>
    <w:p w14:paraId="7A11A278" w14:textId="77777777" w:rsidR="00EC32BF" w:rsidRDefault="00EC32BF" w:rsidP="00F57229">
      <w:pPr>
        <w:rPr>
          <w:lang w:bidi="en-US"/>
        </w:rPr>
      </w:pPr>
    </w:p>
    <w:p w14:paraId="1192CAB6" w14:textId="77777777" w:rsidR="00E25D7F" w:rsidRDefault="00626DFC" w:rsidP="00E25D7F">
      <w:pPr>
        <w:pStyle w:val="ListParagraph"/>
        <w:numPr>
          <w:ilvl w:val="0"/>
          <w:numId w:val="8"/>
        </w:numPr>
        <w:rPr>
          <w:lang w:bidi="en-US"/>
        </w:rPr>
      </w:pPr>
      <w:r w:rsidRPr="000B0142">
        <w:rPr>
          <w:b/>
          <w:lang w:bidi="en-US"/>
        </w:rPr>
        <w:t xml:space="preserve">Further implementation of </w:t>
      </w:r>
      <w:r w:rsidR="001E220B">
        <w:rPr>
          <w:b/>
          <w:lang w:bidi="en-US"/>
        </w:rPr>
        <w:t xml:space="preserve">the </w:t>
      </w:r>
      <w:r w:rsidR="005122FB" w:rsidRPr="000B0142">
        <w:rPr>
          <w:b/>
          <w:lang w:bidi="en-US"/>
        </w:rPr>
        <w:t>Foundation Budget Review Commission</w:t>
      </w:r>
      <w:r w:rsidRPr="000B0142">
        <w:rPr>
          <w:b/>
          <w:lang w:bidi="en-US"/>
        </w:rPr>
        <w:t xml:space="preserve"> recommendations</w:t>
      </w:r>
      <w:r>
        <w:rPr>
          <w:lang w:bidi="en-US"/>
        </w:rPr>
        <w:t>:</w:t>
      </w:r>
      <w:r w:rsidRPr="00741A9A">
        <w:rPr>
          <w:lang w:bidi="en-US"/>
        </w:rPr>
        <w:t xml:space="preserve"> </w:t>
      </w:r>
      <w:r>
        <w:rPr>
          <w:lang w:bidi="en-US"/>
        </w:rPr>
        <w:t xml:space="preserve">In 2015, the Foundation Budget Review Commission </w:t>
      </w:r>
      <w:r w:rsidR="009D17C1">
        <w:rPr>
          <w:lang w:bidi="en-US"/>
        </w:rPr>
        <w:t xml:space="preserve">(FBRC) </w:t>
      </w:r>
      <w:r>
        <w:rPr>
          <w:lang w:bidi="en-US"/>
        </w:rPr>
        <w:t>released a set of recommendations that, if implemented, would significantly increase foundation budgets statewide. The primary recommendations</w:t>
      </w:r>
      <w:r w:rsidR="0026419F">
        <w:rPr>
          <w:lang w:bidi="en-US"/>
        </w:rPr>
        <w:t>—</w:t>
      </w:r>
      <w:r>
        <w:rPr>
          <w:lang w:bidi="en-US"/>
        </w:rPr>
        <w:t xml:space="preserve">increasing the employee benefits </w:t>
      </w:r>
      <w:r w:rsidR="009D17C1">
        <w:rPr>
          <w:lang w:bidi="en-US"/>
        </w:rPr>
        <w:t>and</w:t>
      </w:r>
      <w:r>
        <w:rPr>
          <w:lang w:bidi="en-US"/>
        </w:rPr>
        <w:t xml:space="preserve"> fixed charges cost rate, increasing the out-of-district special education cost rate, and raising the assumed percentage of in-district special education students</w:t>
      </w:r>
      <w:r w:rsidR="0026419F">
        <w:rPr>
          <w:lang w:bidi="en-US"/>
        </w:rPr>
        <w:t>—</w:t>
      </w:r>
      <w:r w:rsidR="009D17C1">
        <w:rPr>
          <w:lang w:bidi="en-US"/>
        </w:rPr>
        <w:t xml:space="preserve">would </w:t>
      </w:r>
      <w:r>
        <w:rPr>
          <w:lang w:bidi="en-US"/>
        </w:rPr>
        <w:t>raise statewide foundation by more than $800 million</w:t>
      </w:r>
      <w:r w:rsidR="009D17C1">
        <w:rPr>
          <w:lang w:bidi="en-US"/>
        </w:rPr>
        <w:t xml:space="preserve"> if fully implemented</w:t>
      </w:r>
      <w:r>
        <w:rPr>
          <w:lang w:bidi="en-US"/>
        </w:rPr>
        <w:t>.</w:t>
      </w:r>
      <w:r>
        <w:rPr>
          <w:rStyle w:val="FootnoteReference"/>
          <w:lang w:bidi="en-US"/>
        </w:rPr>
        <w:footnoteReference w:id="8"/>
      </w:r>
      <w:r>
        <w:rPr>
          <w:lang w:bidi="en-US"/>
        </w:rPr>
        <w:t xml:space="preserve"> </w:t>
      </w:r>
      <w:r w:rsidR="005122FB">
        <w:rPr>
          <w:lang w:bidi="en-US"/>
        </w:rPr>
        <w:t xml:space="preserve">However, this increase to foundation budgets would likely not lead to much, if any, additional </w:t>
      </w:r>
      <w:r w:rsidR="00741A9A" w:rsidRPr="00741A9A">
        <w:rPr>
          <w:lang w:bidi="en-US"/>
        </w:rPr>
        <w:t>Chapter 70</w:t>
      </w:r>
      <w:r w:rsidR="005122FB">
        <w:rPr>
          <w:lang w:bidi="en-US"/>
        </w:rPr>
        <w:t xml:space="preserve"> aid for most of the districts studied in this report. These districts, as discussed above, receive considerable hold harmless aid</w:t>
      </w:r>
      <w:r w:rsidR="00A335FD">
        <w:rPr>
          <w:lang w:bidi="en-US"/>
        </w:rPr>
        <w:t>. An increase in a district’s foundation budget would have to be sufficient to require additional foundation aid above the aid they are already receiving, after factoring in its required local contribution. For example, if a district has a $1 million foundation budget, and $500</w:t>
      </w:r>
      <w:r w:rsidR="004D54E9">
        <w:rPr>
          <w:lang w:bidi="en-US"/>
        </w:rPr>
        <w:t>,000</w:t>
      </w:r>
      <w:r w:rsidR="00A335FD">
        <w:rPr>
          <w:lang w:bidi="en-US"/>
        </w:rPr>
        <w:t xml:space="preserve"> is supported by its local contribution, the foundation aid it needs equals $500</w:t>
      </w:r>
      <w:r w:rsidR="004D54E9">
        <w:rPr>
          <w:lang w:bidi="en-US"/>
        </w:rPr>
        <w:t>,000</w:t>
      </w:r>
      <w:r w:rsidR="00A335FD">
        <w:rPr>
          <w:lang w:bidi="en-US"/>
        </w:rPr>
        <w:t>. However, if the district already receives Chapter 70 aid equal to $600</w:t>
      </w:r>
      <w:r w:rsidR="004D54E9">
        <w:rPr>
          <w:lang w:bidi="en-US"/>
        </w:rPr>
        <w:t>,000</w:t>
      </w:r>
      <w:r w:rsidR="00A335FD">
        <w:rPr>
          <w:lang w:bidi="en-US"/>
        </w:rPr>
        <w:t xml:space="preserve">, it </w:t>
      </w:r>
      <w:r w:rsidR="004D54E9">
        <w:rPr>
          <w:lang w:bidi="en-US"/>
        </w:rPr>
        <w:t>would not receive an</w:t>
      </w:r>
      <w:r w:rsidR="00A335FD">
        <w:rPr>
          <w:lang w:bidi="en-US"/>
        </w:rPr>
        <w:t xml:space="preserve"> aid increase until its foundation budget rose by </w:t>
      </w:r>
      <w:r w:rsidR="00411701">
        <w:rPr>
          <w:lang w:bidi="en-US"/>
        </w:rPr>
        <w:t xml:space="preserve">and additional </w:t>
      </w:r>
      <w:r w:rsidR="00A335FD">
        <w:rPr>
          <w:lang w:bidi="en-US"/>
        </w:rPr>
        <w:t>$100,001. At that point, the district would need $1 additional aid dollar</w:t>
      </w:r>
      <w:r w:rsidR="004D54E9">
        <w:rPr>
          <w:lang w:bidi="en-US"/>
        </w:rPr>
        <w:t xml:space="preserve"> to reach foundation</w:t>
      </w:r>
      <w:r w:rsidR="00A335FD">
        <w:rPr>
          <w:lang w:bidi="en-US"/>
        </w:rPr>
        <w:t xml:space="preserve">. </w:t>
      </w:r>
      <w:r>
        <w:rPr>
          <w:lang w:bidi="en-US"/>
        </w:rPr>
        <w:t xml:space="preserve"> </w:t>
      </w:r>
    </w:p>
    <w:p w14:paraId="477757FF" w14:textId="77777777" w:rsidR="00C927FE" w:rsidRPr="00741A9A" w:rsidRDefault="00C927FE" w:rsidP="00C927FE">
      <w:pPr>
        <w:ind w:left="360"/>
        <w:rPr>
          <w:lang w:bidi="en-US"/>
        </w:rPr>
      </w:pPr>
    </w:p>
    <w:p w14:paraId="4877AE19" w14:textId="77777777" w:rsidR="00E25D7F" w:rsidRDefault="00741A9A" w:rsidP="00E25D7F">
      <w:pPr>
        <w:pStyle w:val="ListParagraph"/>
        <w:numPr>
          <w:ilvl w:val="0"/>
          <w:numId w:val="8"/>
        </w:numPr>
        <w:rPr>
          <w:lang w:bidi="en-US"/>
        </w:rPr>
      </w:pPr>
      <w:r w:rsidRPr="000B0142">
        <w:rPr>
          <w:b/>
          <w:lang w:bidi="en-US"/>
        </w:rPr>
        <w:lastRenderedPageBreak/>
        <w:t>Continue and possibly increase minimum aid</w:t>
      </w:r>
      <w:r w:rsidR="005122FB">
        <w:rPr>
          <w:lang w:bidi="en-US"/>
        </w:rPr>
        <w:t xml:space="preserve">: Minimum per pupil aid is often available for districts that do not need any additional foundation aid. It provides a fixed dollar amount increase multiplied by foundation enrollment. </w:t>
      </w:r>
      <w:r w:rsidR="008B51CA">
        <w:rPr>
          <w:lang w:bidi="en-US"/>
        </w:rPr>
        <w:t xml:space="preserve">In the past 10 years, </w:t>
      </w:r>
      <w:r w:rsidR="00411701">
        <w:rPr>
          <w:lang w:bidi="en-US"/>
        </w:rPr>
        <w:t>minimum aid</w:t>
      </w:r>
      <w:r w:rsidR="008B51CA">
        <w:rPr>
          <w:lang w:bidi="en-US"/>
        </w:rPr>
        <w:t xml:space="preserve"> has varied from $0 to $50 per pupil in a single year. </w:t>
      </w:r>
      <w:r w:rsidRPr="00741A9A">
        <w:rPr>
          <w:lang w:bidi="en-US"/>
        </w:rPr>
        <w:t>While this may modestly help rural districts, overall it is not an equitable way to distribute limited</w:t>
      </w:r>
      <w:r w:rsidR="00C927FE">
        <w:rPr>
          <w:lang w:bidi="en-US"/>
        </w:rPr>
        <w:t xml:space="preserve"> state </w:t>
      </w:r>
      <w:r w:rsidRPr="00741A9A">
        <w:rPr>
          <w:lang w:bidi="en-US"/>
        </w:rPr>
        <w:t>resources</w:t>
      </w:r>
      <w:r w:rsidR="00C927FE">
        <w:rPr>
          <w:lang w:bidi="en-US"/>
        </w:rPr>
        <w:t xml:space="preserve"> because all districts get the same </w:t>
      </w:r>
      <w:r w:rsidR="00411701">
        <w:rPr>
          <w:lang w:bidi="en-US"/>
        </w:rPr>
        <w:t xml:space="preserve">aid </w:t>
      </w:r>
      <w:r w:rsidR="00C927FE">
        <w:rPr>
          <w:lang w:bidi="en-US"/>
        </w:rPr>
        <w:t>increase regardless of ability to pay</w:t>
      </w:r>
      <w:r w:rsidRPr="00741A9A">
        <w:rPr>
          <w:lang w:bidi="en-US"/>
        </w:rPr>
        <w:t>.</w:t>
      </w:r>
    </w:p>
    <w:p w14:paraId="325ED478" w14:textId="77777777" w:rsidR="00C927FE" w:rsidRPr="00741A9A" w:rsidRDefault="00C927FE" w:rsidP="00333FAC">
      <w:pPr>
        <w:rPr>
          <w:lang w:bidi="en-US"/>
        </w:rPr>
      </w:pPr>
    </w:p>
    <w:p w14:paraId="7B09BBD5" w14:textId="77777777" w:rsidR="008133F9" w:rsidRDefault="00741A9A" w:rsidP="00E25D7F">
      <w:pPr>
        <w:pStyle w:val="ListParagraph"/>
        <w:numPr>
          <w:ilvl w:val="0"/>
          <w:numId w:val="8"/>
        </w:numPr>
        <w:rPr>
          <w:lang w:bidi="en-US"/>
        </w:rPr>
      </w:pPr>
      <w:r w:rsidRPr="00E50B11">
        <w:rPr>
          <w:b/>
          <w:lang w:bidi="en-US"/>
        </w:rPr>
        <w:t xml:space="preserve">Regional </w:t>
      </w:r>
      <w:r w:rsidR="00636411" w:rsidRPr="00E50B11">
        <w:rPr>
          <w:b/>
          <w:lang w:bidi="en-US"/>
        </w:rPr>
        <w:t>t</w:t>
      </w:r>
      <w:r w:rsidRPr="00E50B11">
        <w:rPr>
          <w:b/>
          <w:lang w:bidi="en-US"/>
        </w:rPr>
        <w:t>ransportation reimbursement</w:t>
      </w:r>
      <w:r w:rsidR="005A2E87" w:rsidRPr="00E50B11">
        <w:rPr>
          <w:b/>
          <w:lang w:bidi="en-US"/>
        </w:rPr>
        <w:t xml:space="preserve">: </w:t>
      </w:r>
      <w:r w:rsidR="005A2E87" w:rsidRPr="00E50B11">
        <w:rPr>
          <w:lang w:bidi="en-US"/>
        </w:rPr>
        <w:t>Currently</w:t>
      </w:r>
      <w:r w:rsidR="00411701">
        <w:rPr>
          <w:lang w:bidi="en-US"/>
        </w:rPr>
        <w:t>,</w:t>
      </w:r>
      <w:r w:rsidR="005A2E87" w:rsidRPr="00E50B11">
        <w:rPr>
          <w:lang w:bidi="en-US"/>
        </w:rPr>
        <w:t xml:space="preserve"> the state reimburses regional</w:t>
      </w:r>
      <w:r w:rsidR="005A2E87">
        <w:rPr>
          <w:lang w:bidi="en-US"/>
        </w:rPr>
        <w:t xml:space="preserve"> school districts for the cost of transporting students who live more than 1.5 miles from school in grades K–12. Districts are reimbursed a</w:t>
      </w:r>
      <w:r w:rsidR="00636411">
        <w:rPr>
          <w:lang w:bidi="en-US"/>
        </w:rPr>
        <w:t>t a</w:t>
      </w:r>
      <w:r w:rsidR="005A2E87">
        <w:rPr>
          <w:lang w:bidi="en-US"/>
        </w:rPr>
        <w:t xml:space="preserve"> flat rate of total eligible costs, which in fiscal year 2017 was </w:t>
      </w:r>
      <w:r w:rsidR="000B1D73">
        <w:rPr>
          <w:lang w:bidi="en-US"/>
        </w:rPr>
        <w:t>73.4 percent, resulting in $59.7 million in total reimbursements. This formula</w:t>
      </w:r>
      <w:r w:rsidR="007C141D">
        <w:rPr>
          <w:lang w:bidi="en-US"/>
        </w:rPr>
        <w:t>, however,</w:t>
      </w:r>
      <w:r w:rsidR="000B1D73">
        <w:rPr>
          <w:lang w:bidi="en-US"/>
        </w:rPr>
        <w:t xml:space="preserve"> provides little incentive for districts to </w:t>
      </w:r>
      <w:r w:rsidR="00484DE7">
        <w:rPr>
          <w:lang w:bidi="en-US"/>
        </w:rPr>
        <w:t>opt</w:t>
      </w:r>
      <w:r w:rsidR="00007780">
        <w:rPr>
          <w:lang w:bidi="en-US"/>
        </w:rPr>
        <w:t>imize transportation spending</w:t>
      </w:r>
      <w:r w:rsidR="000B1D73">
        <w:rPr>
          <w:lang w:bidi="en-US"/>
        </w:rPr>
        <w:t xml:space="preserve"> because they </w:t>
      </w:r>
      <w:r w:rsidR="00411701">
        <w:rPr>
          <w:lang w:bidi="en-US"/>
        </w:rPr>
        <w:t xml:space="preserve">can </w:t>
      </w:r>
      <w:r w:rsidR="000B1D73">
        <w:rPr>
          <w:lang w:bidi="en-US"/>
        </w:rPr>
        <w:t xml:space="preserve">only </w:t>
      </w:r>
      <w:r w:rsidR="00E9135D">
        <w:rPr>
          <w:lang w:bidi="en-US"/>
        </w:rPr>
        <w:t xml:space="preserve">keep </w:t>
      </w:r>
      <w:r w:rsidR="000B1D73">
        <w:rPr>
          <w:lang w:bidi="en-US"/>
        </w:rPr>
        <w:t>27 cents of each dollar</w:t>
      </w:r>
      <w:r w:rsidR="00E9135D">
        <w:rPr>
          <w:lang w:bidi="en-US"/>
        </w:rPr>
        <w:t xml:space="preserve"> that they save</w:t>
      </w:r>
      <w:r w:rsidR="000B1D73">
        <w:rPr>
          <w:lang w:bidi="en-US"/>
        </w:rPr>
        <w:t>.</w:t>
      </w:r>
    </w:p>
    <w:p w14:paraId="3F77DC15" w14:textId="77777777" w:rsidR="008133F9" w:rsidRDefault="008133F9" w:rsidP="008133F9">
      <w:pPr>
        <w:pStyle w:val="ListParagraph"/>
        <w:rPr>
          <w:lang w:bidi="en-US"/>
        </w:rPr>
      </w:pPr>
    </w:p>
    <w:p w14:paraId="7442D549" w14:textId="77777777" w:rsidR="00430DC6" w:rsidRDefault="000B1D73" w:rsidP="008133F9">
      <w:pPr>
        <w:pStyle w:val="ListParagraph"/>
        <w:rPr>
          <w:lang w:bidi="en-US"/>
        </w:rPr>
      </w:pPr>
      <w:r>
        <w:rPr>
          <w:lang w:bidi="en-US"/>
        </w:rPr>
        <w:t xml:space="preserve">An </w:t>
      </w:r>
      <w:r w:rsidR="00484DE7">
        <w:rPr>
          <w:lang w:bidi="en-US"/>
        </w:rPr>
        <w:t xml:space="preserve">example of an </w:t>
      </w:r>
      <w:r>
        <w:rPr>
          <w:lang w:bidi="en-US"/>
        </w:rPr>
        <w:t xml:space="preserve">alternative approach </w:t>
      </w:r>
      <w:r w:rsidR="00CE4EBA">
        <w:rPr>
          <w:lang w:bidi="en-US"/>
        </w:rPr>
        <w:t xml:space="preserve">to distribute these funds </w:t>
      </w:r>
      <w:r>
        <w:rPr>
          <w:lang w:bidi="en-US"/>
        </w:rPr>
        <w:t xml:space="preserve">that </w:t>
      </w:r>
      <w:r w:rsidR="008133F9">
        <w:rPr>
          <w:lang w:bidi="en-US"/>
        </w:rPr>
        <w:t xml:space="preserve">might </w:t>
      </w:r>
      <w:r w:rsidR="00CE4EBA">
        <w:rPr>
          <w:lang w:bidi="en-US"/>
        </w:rPr>
        <w:t xml:space="preserve">provide </w:t>
      </w:r>
      <w:r w:rsidR="008133F9">
        <w:rPr>
          <w:lang w:bidi="en-US"/>
        </w:rPr>
        <w:t>a greater incentive to save</w:t>
      </w:r>
      <w:r w:rsidR="00E9135D">
        <w:rPr>
          <w:lang w:bidi="en-US"/>
        </w:rPr>
        <w:t xml:space="preserve"> </w:t>
      </w:r>
      <w:r>
        <w:rPr>
          <w:lang w:bidi="en-US"/>
        </w:rPr>
        <w:t xml:space="preserve">would be to </w:t>
      </w:r>
      <w:r w:rsidR="004A02A4">
        <w:rPr>
          <w:lang w:bidi="en-US"/>
        </w:rPr>
        <w:t xml:space="preserve">base at least part of the </w:t>
      </w:r>
      <w:r>
        <w:rPr>
          <w:lang w:bidi="en-US"/>
        </w:rPr>
        <w:t>reimburse</w:t>
      </w:r>
      <w:r w:rsidR="004A02A4">
        <w:rPr>
          <w:lang w:bidi="en-US"/>
        </w:rPr>
        <w:t>ment</w:t>
      </w:r>
      <w:r w:rsidR="00636411">
        <w:rPr>
          <w:lang w:bidi="en-US"/>
        </w:rPr>
        <w:t xml:space="preserve"> </w:t>
      </w:r>
      <w:r>
        <w:rPr>
          <w:lang w:bidi="en-US"/>
        </w:rPr>
        <w:t xml:space="preserve">on the average </w:t>
      </w:r>
      <w:r w:rsidR="00636411">
        <w:rPr>
          <w:lang w:bidi="en-US"/>
        </w:rPr>
        <w:t xml:space="preserve">per pupil </w:t>
      </w:r>
      <w:r w:rsidR="008133F9">
        <w:rPr>
          <w:lang w:bidi="en-US"/>
        </w:rPr>
        <w:t>c</w:t>
      </w:r>
      <w:r w:rsidR="004A02A4">
        <w:rPr>
          <w:lang w:bidi="en-US"/>
        </w:rPr>
        <w:t>ost</w:t>
      </w:r>
      <w:r w:rsidR="008133F9">
        <w:rPr>
          <w:lang w:bidi="en-US"/>
        </w:rPr>
        <w:t xml:space="preserve"> of eligible districts</w:t>
      </w:r>
      <w:r w:rsidR="00636411">
        <w:rPr>
          <w:lang w:bidi="en-US"/>
        </w:rPr>
        <w:t>.</w:t>
      </w:r>
      <w:r w:rsidR="00636411" w:rsidRPr="000B0142">
        <w:rPr>
          <w:b/>
          <w:lang w:bidi="en-US"/>
        </w:rPr>
        <w:t xml:space="preserve"> </w:t>
      </w:r>
      <w:r w:rsidR="008133F9">
        <w:rPr>
          <w:lang w:bidi="en-US"/>
        </w:rPr>
        <w:t>D</w:t>
      </w:r>
      <w:r w:rsidR="00636411">
        <w:rPr>
          <w:lang w:bidi="en-US"/>
        </w:rPr>
        <w:t>istricts tha</w:t>
      </w:r>
      <w:r w:rsidR="004D54E9">
        <w:rPr>
          <w:lang w:bidi="en-US"/>
        </w:rPr>
        <w:t>t</w:t>
      </w:r>
      <w:r w:rsidR="00636411">
        <w:rPr>
          <w:lang w:bidi="en-US"/>
        </w:rPr>
        <w:t xml:space="preserve"> spend closer to this level would </w:t>
      </w:r>
      <w:r w:rsidR="00437D88">
        <w:rPr>
          <w:lang w:bidi="en-US"/>
        </w:rPr>
        <w:t>be reimbursed a</w:t>
      </w:r>
      <w:r w:rsidR="004D54E9">
        <w:rPr>
          <w:lang w:bidi="en-US"/>
        </w:rPr>
        <w:t>t a</w:t>
      </w:r>
      <w:r w:rsidR="00437D88">
        <w:rPr>
          <w:lang w:bidi="en-US"/>
        </w:rPr>
        <w:t xml:space="preserve"> higher percentage of their </w:t>
      </w:r>
      <w:r w:rsidR="008133F9">
        <w:rPr>
          <w:lang w:bidi="en-US"/>
        </w:rPr>
        <w:t xml:space="preserve">eligible </w:t>
      </w:r>
      <w:r w:rsidR="00437D88">
        <w:rPr>
          <w:lang w:bidi="en-US"/>
        </w:rPr>
        <w:t>costs</w:t>
      </w:r>
      <w:r w:rsidR="00636411">
        <w:rPr>
          <w:lang w:bidi="en-US"/>
        </w:rPr>
        <w:t xml:space="preserve"> than districts with higher </w:t>
      </w:r>
      <w:r w:rsidR="00437D88">
        <w:rPr>
          <w:lang w:bidi="en-US"/>
        </w:rPr>
        <w:t>per pupil</w:t>
      </w:r>
      <w:r w:rsidR="00636411">
        <w:rPr>
          <w:lang w:bidi="en-US"/>
        </w:rPr>
        <w:t xml:space="preserve"> costs. Other provisions could be built into the formula as well to send additional reimbursement to districts with lower population densities or lower abilities to pay.</w:t>
      </w:r>
      <w:r w:rsidR="004A02A4">
        <w:rPr>
          <w:lang w:bidi="en-US"/>
        </w:rPr>
        <w:t xml:space="preserve"> </w:t>
      </w:r>
      <w:r w:rsidR="00437D88">
        <w:rPr>
          <w:lang w:bidi="en-US"/>
        </w:rPr>
        <w:t xml:space="preserve">These </w:t>
      </w:r>
      <w:r w:rsidR="004A02A4">
        <w:rPr>
          <w:lang w:bidi="en-US"/>
        </w:rPr>
        <w:t>changes could be phased</w:t>
      </w:r>
      <w:r w:rsidR="004D54E9">
        <w:rPr>
          <w:lang w:bidi="en-US"/>
        </w:rPr>
        <w:t>-</w:t>
      </w:r>
      <w:r w:rsidR="004A02A4">
        <w:rPr>
          <w:lang w:bidi="en-US"/>
        </w:rPr>
        <w:t>in over</w:t>
      </w:r>
      <w:r w:rsidR="004D54E9">
        <w:rPr>
          <w:lang w:bidi="en-US"/>
        </w:rPr>
        <w:t>-</w:t>
      </w:r>
      <w:r w:rsidR="004A02A4">
        <w:rPr>
          <w:lang w:bidi="en-US"/>
        </w:rPr>
        <w:t xml:space="preserve">time to </w:t>
      </w:r>
      <w:r w:rsidR="004D54E9">
        <w:rPr>
          <w:lang w:bidi="en-US"/>
        </w:rPr>
        <w:t>smooth out any</w:t>
      </w:r>
      <w:r w:rsidR="00437D88">
        <w:rPr>
          <w:lang w:bidi="en-US"/>
        </w:rPr>
        <w:t xml:space="preserve"> fiscal impacts.</w:t>
      </w:r>
      <w:r w:rsidR="008133F9">
        <w:rPr>
          <w:lang w:bidi="en-US"/>
        </w:rPr>
        <w:t xml:space="preserve"> </w:t>
      </w:r>
      <w:r w:rsidR="00B90E95">
        <w:rPr>
          <w:lang w:bidi="en-US"/>
        </w:rPr>
        <w:t>Another question that needs to be addressed is wheth</w:t>
      </w:r>
      <w:r w:rsidR="00943EFD">
        <w:rPr>
          <w:lang w:bidi="en-US"/>
        </w:rPr>
        <w:t xml:space="preserve">er transportation </w:t>
      </w:r>
      <w:r w:rsidR="008133F9">
        <w:rPr>
          <w:lang w:bidi="en-US"/>
        </w:rPr>
        <w:t>aid</w:t>
      </w:r>
      <w:r w:rsidR="00B90E95">
        <w:rPr>
          <w:lang w:bidi="en-US"/>
        </w:rPr>
        <w:t xml:space="preserve"> should</w:t>
      </w:r>
      <w:r w:rsidR="008133F9">
        <w:rPr>
          <w:lang w:bidi="en-US"/>
        </w:rPr>
        <w:t xml:space="preserve"> continue to</w:t>
      </w:r>
      <w:r w:rsidR="00B90E95">
        <w:rPr>
          <w:lang w:bidi="en-US"/>
        </w:rPr>
        <w:t xml:space="preserve"> </w:t>
      </w:r>
      <w:r w:rsidR="008133F9">
        <w:rPr>
          <w:lang w:bidi="en-US"/>
        </w:rPr>
        <w:t>only be</w:t>
      </w:r>
      <w:r w:rsidR="00B90E95">
        <w:rPr>
          <w:lang w:bidi="en-US"/>
        </w:rPr>
        <w:t xml:space="preserve"> provided to regional school districts </w:t>
      </w:r>
      <w:r w:rsidR="00943EFD">
        <w:rPr>
          <w:lang w:bidi="en-US"/>
        </w:rPr>
        <w:t xml:space="preserve">or should some municipal districts benefit as well, including some of </w:t>
      </w:r>
      <w:r w:rsidR="000B0142" w:rsidRPr="00D40F34">
        <w:rPr>
          <w:lang w:bidi="en-US"/>
        </w:rPr>
        <w:t>the municipal districts studied in this report</w:t>
      </w:r>
      <w:r w:rsidR="00E25D7F" w:rsidRPr="00E25D7F">
        <w:rPr>
          <w:lang w:bidi="en-US"/>
        </w:rPr>
        <w:t xml:space="preserve">. </w:t>
      </w:r>
    </w:p>
    <w:p w14:paraId="42FD528C" w14:textId="77777777" w:rsidR="000B1D73" w:rsidRPr="00C927FE" w:rsidRDefault="000B1D73" w:rsidP="00C927FE">
      <w:pPr>
        <w:ind w:left="360"/>
        <w:rPr>
          <w:b/>
          <w:lang w:bidi="en-US"/>
        </w:rPr>
      </w:pPr>
    </w:p>
    <w:p w14:paraId="0B54969C" w14:textId="77777777" w:rsidR="00E25D7F" w:rsidRPr="00E25D7F" w:rsidRDefault="00E25D7F" w:rsidP="00E25D7F">
      <w:pPr>
        <w:pStyle w:val="ListParagraph"/>
        <w:numPr>
          <w:ilvl w:val="0"/>
          <w:numId w:val="8"/>
        </w:numPr>
        <w:rPr>
          <w:b/>
          <w:lang w:bidi="en-US"/>
        </w:rPr>
      </w:pPr>
      <w:r w:rsidRPr="00E25D7F">
        <w:rPr>
          <w:b/>
          <w:lang w:bidi="en-US"/>
        </w:rPr>
        <w:t>Sparsity aid:</w:t>
      </w:r>
      <w:r w:rsidR="00E50B11">
        <w:rPr>
          <w:b/>
          <w:lang w:bidi="en-US"/>
        </w:rPr>
        <w:t xml:space="preserve"> </w:t>
      </w:r>
      <w:r w:rsidR="00E50B11">
        <w:rPr>
          <w:lang w:bidi="en-US"/>
        </w:rPr>
        <w:t xml:space="preserve">There </w:t>
      </w:r>
      <w:r w:rsidR="007F0855">
        <w:rPr>
          <w:lang w:bidi="en-US"/>
        </w:rPr>
        <w:t xml:space="preserve">have been </w:t>
      </w:r>
      <w:r w:rsidR="0026419F">
        <w:rPr>
          <w:lang w:bidi="en-US"/>
        </w:rPr>
        <w:t>proposals to</w:t>
      </w:r>
      <w:r w:rsidR="00FA499E">
        <w:rPr>
          <w:lang w:bidi="en-US"/>
        </w:rPr>
        <w:t xml:space="preserve"> creat</w:t>
      </w:r>
      <w:r w:rsidR="0026419F">
        <w:rPr>
          <w:lang w:bidi="en-US"/>
        </w:rPr>
        <w:t>e</w:t>
      </w:r>
      <w:r w:rsidR="00FA499E">
        <w:rPr>
          <w:lang w:bidi="en-US"/>
        </w:rPr>
        <w:t xml:space="preserve"> a new category of local aid to address fiscal impacts in districts with declining enrollments and rising average costs.</w:t>
      </w:r>
      <w:r w:rsidR="00943EFD">
        <w:rPr>
          <w:lang w:bidi="en-US"/>
        </w:rPr>
        <w:t xml:space="preserve"> While the state has not modeled how this aid could be calculated</w:t>
      </w:r>
      <w:r w:rsidR="00FA499E">
        <w:rPr>
          <w:lang w:bidi="en-US"/>
        </w:rPr>
        <w:t xml:space="preserve">, </w:t>
      </w:r>
      <w:r w:rsidR="00943EFD">
        <w:rPr>
          <w:lang w:bidi="en-US"/>
        </w:rPr>
        <w:t>o</w:t>
      </w:r>
      <w:r w:rsidR="00FA499E">
        <w:rPr>
          <w:lang w:bidi="en-US"/>
        </w:rPr>
        <w:t xml:space="preserve">ther states in the country have similar programs. Any </w:t>
      </w:r>
      <w:r w:rsidR="00D40F34">
        <w:rPr>
          <w:lang w:bidi="en-US"/>
        </w:rPr>
        <w:t>assistance that follows this form should take into account student density and ability to pay and create incentives for districts to adopt more efficient service delivery models</w:t>
      </w:r>
      <w:r w:rsidR="005D51A0">
        <w:rPr>
          <w:lang w:bidi="en-US"/>
        </w:rPr>
        <w:t xml:space="preserve"> in order to receive this support</w:t>
      </w:r>
      <w:r w:rsidR="00D40F34">
        <w:rPr>
          <w:lang w:bidi="en-US"/>
        </w:rPr>
        <w:t xml:space="preserve">. </w:t>
      </w:r>
      <w:r w:rsidR="00E50B11">
        <w:rPr>
          <w:lang w:bidi="en-US"/>
        </w:rPr>
        <w:t xml:space="preserve"> </w:t>
      </w:r>
    </w:p>
    <w:p w14:paraId="472298AB" w14:textId="77777777" w:rsidR="00E25D7F" w:rsidRPr="00E25D7F" w:rsidRDefault="00E25D7F" w:rsidP="00E25D7F">
      <w:pPr>
        <w:pStyle w:val="Heading2"/>
        <w:rPr>
          <w:lang w:bidi="en-US"/>
        </w:rPr>
      </w:pPr>
      <w:bookmarkStart w:id="10" w:name="_Toc503258036"/>
      <w:r w:rsidRPr="00E25D7F">
        <w:rPr>
          <w:lang w:bidi="en-US"/>
        </w:rPr>
        <w:t>Regional models</w:t>
      </w:r>
      <w:bookmarkEnd w:id="10"/>
    </w:p>
    <w:p w14:paraId="1547A23A" w14:textId="77777777" w:rsidR="00187F54" w:rsidRDefault="008D529C" w:rsidP="00E25D7F">
      <w:pPr>
        <w:rPr>
          <w:lang w:bidi="en-US"/>
        </w:rPr>
      </w:pPr>
      <w:r>
        <w:rPr>
          <w:lang w:bidi="en-US"/>
        </w:rPr>
        <w:t xml:space="preserve">It is becoming more difficult for </w:t>
      </w:r>
      <w:r w:rsidR="004D54E9">
        <w:rPr>
          <w:lang w:bidi="en-US"/>
        </w:rPr>
        <w:t>rural</w:t>
      </w:r>
      <w:r>
        <w:rPr>
          <w:lang w:bidi="en-US"/>
        </w:rPr>
        <w:t xml:space="preserve"> districts to sustain service levels within the</w:t>
      </w:r>
      <w:r w:rsidR="004D54E9">
        <w:rPr>
          <w:lang w:bidi="en-US"/>
        </w:rPr>
        <w:t>ir</w:t>
      </w:r>
      <w:r>
        <w:rPr>
          <w:lang w:bidi="en-US"/>
        </w:rPr>
        <w:t xml:space="preserve"> current </w:t>
      </w:r>
      <w:r w:rsidR="004D54E9">
        <w:rPr>
          <w:lang w:bidi="en-US"/>
        </w:rPr>
        <w:t xml:space="preserve">delivery </w:t>
      </w:r>
      <w:r>
        <w:rPr>
          <w:lang w:bidi="en-US"/>
        </w:rPr>
        <w:t>model</w:t>
      </w:r>
      <w:r w:rsidR="004D54E9">
        <w:rPr>
          <w:lang w:bidi="en-US"/>
        </w:rPr>
        <w:t>s</w:t>
      </w:r>
      <w:r>
        <w:rPr>
          <w:lang w:bidi="en-US"/>
        </w:rPr>
        <w:t>. Many of the districts included in this report share administrative teams</w:t>
      </w:r>
      <w:r w:rsidR="0026419F">
        <w:rPr>
          <w:lang w:bidi="en-US"/>
        </w:rPr>
        <w:t>;</w:t>
      </w:r>
      <w:r>
        <w:rPr>
          <w:lang w:bidi="en-US"/>
        </w:rPr>
        <w:t xml:space="preserve"> 42 of the 54 districts belong to one of 13 superintendency unions, which provides some level of efficiency. However, the</w:t>
      </w:r>
      <w:r w:rsidR="005D51A0">
        <w:rPr>
          <w:lang w:bidi="en-US"/>
        </w:rPr>
        <w:t>se</w:t>
      </w:r>
      <w:r>
        <w:rPr>
          <w:lang w:bidi="en-US"/>
        </w:rPr>
        <w:t xml:space="preserve"> districts still operate as separate entities, making it difficult for them to share resources beyond the central office administration. Also, maintaining separate districts and separate governance structures requires district administrators to repeat the same tasks for each district, including collective bargaining, procurement, budget development, fiscal management, and data reporting, undermining some of the efficiencies that they are trying to achieve by belonging to a superintendency union.</w:t>
      </w:r>
      <w:r w:rsidR="00163DC1">
        <w:rPr>
          <w:lang w:bidi="en-US"/>
        </w:rPr>
        <w:t xml:space="preserve"> </w:t>
      </w:r>
      <w:r w:rsidR="00430DC6" w:rsidRPr="007951BE">
        <w:rPr>
          <w:lang w:bidi="en-US"/>
        </w:rPr>
        <w:t>In Franklin</w:t>
      </w:r>
      <w:r w:rsidR="007951BE" w:rsidRPr="007951BE">
        <w:rPr>
          <w:lang w:bidi="en-US"/>
        </w:rPr>
        <w:t xml:space="preserve"> County</w:t>
      </w:r>
      <w:r w:rsidR="00CD35E6" w:rsidRPr="007951BE">
        <w:rPr>
          <w:lang w:bidi="en-US"/>
        </w:rPr>
        <w:t xml:space="preserve">, for example, there are </w:t>
      </w:r>
      <w:r w:rsidR="001B644C" w:rsidRPr="007951BE">
        <w:rPr>
          <w:lang w:bidi="en-US"/>
        </w:rPr>
        <w:t>9</w:t>
      </w:r>
      <w:r w:rsidR="00CD35E6" w:rsidRPr="007951BE">
        <w:rPr>
          <w:lang w:bidi="en-US"/>
        </w:rPr>
        <w:t xml:space="preserve"> superintendents managing 1</w:t>
      </w:r>
      <w:r w:rsidR="001B644C" w:rsidRPr="007951BE">
        <w:rPr>
          <w:lang w:bidi="en-US"/>
        </w:rPr>
        <w:t>8</w:t>
      </w:r>
      <w:r w:rsidR="00CD35E6" w:rsidRPr="007951BE">
        <w:rPr>
          <w:lang w:bidi="en-US"/>
        </w:rPr>
        <w:t xml:space="preserve"> school districts</w:t>
      </w:r>
      <w:r w:rsidR="001B644C" w:rsidRPr="007951BE">
        <w:rPr>
          <w:lang w:bidi="en-US"/>
        </w:rPr>
        <w:t xml:space="preserve"> that enroll a total of </w:t>
      </w:r>
      <w:r w:rsidR="00FD3D53" w:rsidRPr="007951BE">
        <w:rPr>
          <w:lang w:bidi="en-US"/>
        </w:rPr>
        <w:t>8,600 students.</w:t>
      </w:r>
      <w:r w:rsidR="00430DC6" w:rsidRPr="007951BE">
        <w:rPr>
          <w:lang w:bidi="en-US"/>
        </w:rPr>
        <w:t xml:space="preserve"> </w:t>
      </w:r>
      <w:r w:rsidR="00FD3D53">
        <w:rPr>
          <w:lang w:bidi="en-US"/>
        </w:rPr>
        <w:t>In Berkshire County</w:t>
      </w:r>
      <w:r w:rsidR="007951BE">
        <w:rPr>
          <w:lang w:bidi="en-US"/>
        </w:rPr>
        <w:t>,</w:t>
      </w:r>
      <w:r w:rsidR="00FD3D53">
        <w:rPr>
          <w:lang w:bidi="en-US"/>
        </w:rPr>
        <w:t xml:space="preserve"> there are 12 superintendents, 18 districts, and 16,000 students</w:t>
      </w:r>
      <w:r w:rsidR="008933B5">
        <w:rPr>
          <w:lang w:bidi="en-US"/>
        </w:rPr>
        <w:t xml:space="preserve">, a third </w:t>
      </w:r>
      <w:r w:rsidR="006F5394">
        <w:rPr>
          <w:lang w:bidi="en-US"/>
        </w:rPr>
        <w:t>who</w:t>
      </w:r>
      <w:r w:rsidR="00163DC1">
        <w:rPr>
          <w:lang w:bidi="en-US"/>
        </w:rPr>
        <w:t>m</w:t>
      </w:r>
      <w:r w:rsidR="008933B5">
        <w:rPr>
          <w:lang w:bidi="en-US"/>
        </w:rPr>
        <w:t xml:space="preserve"> attend school in Pittsfield</w:t>
      </w:r>
      <w:r w:rsidR="00FD3D53">
        <w:rPr>
          <w:lang w:bidi="en-US"/>
        </w:rPr>
        <w:t xml:space="preserve">. </w:t>
      </w:r>
    </w:p>
    <w:p w14:paraId="78275732" w14:textId="77777777" w:rsidR="00EC32BF" w:rsidRPr="00EC32BF" w:rsidRDefault="00EC32BF" w:rsidP="00187F54">
      <w:pPr>
        <w:rPr>
          <w:lang w:bidi="en-US"/>
        </w:rPr>
      </w:pPr>
    </w:p>
    <w:p w14:paraId="184907FC" w14:textId="77777777" w:rsidR="00E50B11" w:rsidRDefault="00EC32BF" w:rsidP="00EC32BF">
      <w:pPr>
        <w:rPr>
          <w:lang w:bidi="en-US"/>
        </w:rPr>
      </w:pPr>
      <w:r>
        <w:rPr>
          <w:lang w:bidi="en-US"/>
        </w:rPr>
        <w:lastRenderedPageBreak/>
        <w:t xml:space="preserve">There are efforts underway to look at new approaches to delivering education services in parts of the state hit hardest by declining enrollments. In Berkshire County, the Berkshire County Education Task Force has been meeting since July 2015 to explore possibilities for re-organizing the county’s 18 school districts. Task force members recognize that rising costs, declining enrollment, and flat or declining revenues </w:t>
      </w:r>
      <w:r w:rsidR="00CE4EBA">
        <w:rPr>
          <w:lang w:bidi="en-US"/>
        </w:rPr>
        <w:t xml:space="preserve">make it difficult for </w:t>
      </w:r>
      <w:r>
        <w:rPr>
          <w:lang w:bidi="en-US"/>
        </w:rPr>
        <w:t xml:space="preserve">Berkshire County districts to prepare students for the new economy. In order to address these challenges, the task force is considering new approaches to school governance, including forming modified supervisory unions or new regional school districts, encompassing either some or all of the districts in the county. </w:t>
      </w:r>
      <w:r w:rsidR="00D40F34">
        <w:rPr>
          <w:lang w:bidi="en-US"/>
        </w:rPr>
        <w:t>While i</w:t>
      </w:r>
      <w:r>
        <w:rPr>
          <w:lang w:bidi="en-US"/>
        </w:rPr>
        <w:t>t is not clear what direction this work will take,</w:t>
      </w:r>
      <w:r w:rsidR="00D40F34">
        <w:rPr>
          <w:lang w:bidi="en-US"/>
        </w:rPr>
        <w:t xml:space="preserve"> </w:t>
      </w:r>
      <w:r>
        <w:rPr>
          <w:lang w:bidi="en-US"/>
        </w:rPr>
        <w:t>the task force is continuing to work toward defining the future direction for school districts in the Berkshires.</w:t>
      </w:r>
      <w:r>
        <w:rPr>
          <w:rStyle w:val="FootnoteReference"/>
          <w:lang w:bidi="en-US"/>
        </w:rPr>
        <w:footnoteReference w:id="9"/>
      </w:r>
    </w:p>
    <w:p w14:paraId="44C41AE6" w14:textId="77777777" w:rsidR="00E25D7F" w:rsidRDefault="00E25D7F" w:rsidP="00E25D7F">
      <w:pPr>
        <w:rPr>
          <w:b/>
          <w:lang w:bidi="en-US"/>
        </w:rPr>
      </w:pPr>
    </w:p>
    <w:p w14:paraId="3248C6EB" w14:textId="77777777" w:rsidR="007947E2" w:rsidRDefault="008D529C" w:rsidP="00E25D7F">
      <w:pPr>
        <w:rPr>
          <w:lang w:bidi="en-US"/>
        </w:rPr>
      </w:pPr>
      <w:r>
        <w:rPr>
          <w:lang w:bidi="en-US"/>
        </w:rPr>
        <w:t xml:space="preserve">It should be noted that there are important differences between district consolidation and school consolidation. </w:t>
      </w:r>
      <w:r w:rsidR="00577D3A">
        <w:rPr>
          <w:lang w:bidi="en-US"/>
        </w:rPr>
        <w:t>While there are obstacles to consolidating central offices or fully regionali</w:t>
      </w:r>
      <w:r w:rsidR="00C15F65">
        <w:rPr>
          <w:lang w:bidi="en-US"/>
        </w:rPr>
        <w:t>zi</w:t>
      </w:r>
      <w:r w:rsidR="00577D3A">
        <w:rPr>
          <w:lang w:bidi="en-US"/>
        </w:rPr>
        <w:t xml:space="preserve">ng districts </w:t>
      </w:r>
      <w:r w:rsidR="00064821">
        <w:rPr>
          <w:lang w:bidi="en-US"/>
        </w:rPr>
        <w:t>that</w:t>
      </w:r>
      <w:r w:rsidR="000F44D8">
        <w:rPr>
          <w:lang w:bidi="en-US"/>
        </w:rPr>
        <w:t xml:space="preserve"> currently share a superintendent</w:t>
      </w:r>
      <w:r w:rsidR="00577D3A">
        <w:rPr>
          <w:lang w:bidi="en-US"/>
        </w:rPr>
        <w:t xml:space="preserve">, the obstacles to consolidating schools may be more difficult to overcome. </w:t>
      </w:r>
      <w:r w:rsidR="00E2621F">
        <w:rPr>
          <w:lang w:bidi="en-US"/>
        </w:rPr>
        <w:t xml:space="preserve">Most of these issues impact elementary schools. </w:t>
      </w:r>
      <w:r w:rsidR="00577D3A">
        <w:rPr>
          <w:lang w:bidi="en-US"/>
        </w:rPr>
        <w:t>Small elementary schools are often considered</w:t>
      </w:r>
      <w:r w:rsidR="00E2621F">
        <w:rPr>
          <w:lang w:bidi="en-US"/>
        </w:rPr>
        <w:t xml:space="preserve"> the centers of the communities that they serve</w:t>
      </w:r>
      <w:r w:rsidR="000F44D8">
        <w:rPr>
          <w:lang w:bidi="en-US"/>
        </w:rPr>
        <w:t>, and towns are often willing to pay a premium to keep their small schools open</w:t>
      </w:r>
      <w:r w:rsidR="00577D3A">
        <w:rPr>
          <w:lang w:bidi="en-US"/>
        </w:rPr>
        <w:t>.</w:t>
      </w:r>
      <w:r w:rsidR="00E2621F">
        <w:rPr>
          <w:lang w:bidi="en-US"/>
        </w:rPr>
        <w:t xml:space="preserve"> </w:t>
      </w:r>
      <w:r w:rsidR="00577D3A">
        <w:rPr>
          <w:lang w:bidi="en-US"/>
        </w:rPr>
        <w:t>Worthington</w:t>
      </w:r>
      <w:r w:rsidR="00E2621F">
        <w:rPr>
          <w:lang w:bidi="en-US"/>
        </w:rPr>
        <w:t>, for example,</w:t>
      </w:r>
      <w:r w:rsidR="00577D3A">
        <w:rPr>
          <w:lang w:bidi="en-US"/>
        </w:rPr>
        <w:t xml:space="preserve"> left Gateway</w:t>
      </w:r>
      <w:r w:rsidR="000F44D8">
        <w:rPr>
          <w:lang w:bidi="en-US"/>
        </w:rPr>
        <w:t xml:space="preserve"> Regional School District</w:t>
      </w:r>
      <w:r w:rsidR="00577D3A">
        <w:rPr>
          <w:lang w:bidi="en-US"/>
        </w:rPr>
        <w:t xml:space="preserve"> </w:t>
      </w:r>
      <w:r w:rsidR="009172D3">
        <w:rPr>
          <w:lang w:bidi="en-US"/>
        </w:rPr>
        <w:t xml:space="preserve">in 2016 </w:t>
      </w:r>
      <w:r w:rsidR="000F44D8">
        <w:rPr>
          <w:lang w:bidi="en-US"/>
        </w:rPr>
        <w:t xml:space="preserve">when the district proposed to close </w:t>
      </w:r>
      <w:r w:rsidR="00577D3A">
        <w:rPr>
          <w:lang w:bidi="en-US"/>
        </w:rPr>
        <w:t xml:space="preserve">Worthington Elementary School. </w:t>
      </w:r>
      <w:r w:rsidR="000F44D8">
        <w:rPr>
          <w:lang w:bidi="en-US"/>
        </w:rPr>
        <w:t>Worthington now operat</w:t>
      </w:r>
      <w:r w:rsidR="009172D3">
        <w:rPr>
          <w:lang w:bidi="en-US"/>
        </w:rPr>
        <w:t>es</w:t>
      </w:r>
      <w:r w:rsidR="000F44D8">
        <w:rPr>
          <w:lang w:bidi="en-US"/>
        </w:rPr>
        <w:t xml:space="preserve"> its school as a separate mu</w:t>
      </w:r>
      <w:r w:rsidR="0033057D">
        <w:rPr>
          <w:lang w:bidi="en-US"/>
        </w:rPr>
        <w:t>nicipal district</w:t>
      </w:r>
      <w:r w:rsidR="009172D3">
        <w:rPr>
          <w:lang w:bidi="en-US"/>
        </w:rPr>
        <w:t xml:space="preserve">, </w:t>
      </w:r>
      <w:r w:rsidR="00445275">
        <w:rPr>
          <w:lang w:bidi="en-US"/>
        </w:rPr>
        <w:t>shares</w:t>
      </w:r>
      <w:r w:rsidR="009172D3">
        <w:rPr>
          <w:lang w:bidi="en-US"/>
        </w:rPr>
        <w:t xml:space="preserve"> a superintendent with </w:t>
      </w:r>
      <w:r w:rsidR="00445275">
        <w:rPr>
          <w:lang w:bidi="en-US"/>
        </w:rPr>
        <w:t>the districts that belong to the Hampshire Regional School Districts</w:t>
      </w:r>
      <w:r w:rsidR="009172D3">
        <w:rPr>
          <w:lang w:bidi="en-US"/>
        </w:rPr>
        <w:t>,</w:t>
      </w:r>
      <w:r w:rsidR="0033057D">
        <w:rPr>
          <w:lang w:bidi="en-US"/>
        </w:rPr>
        <w:t xml:space="preserve"> and sends </w:t>
      </w:r>
      <w:r w:rsidR="000F44D8">
        <w:rPr>
          <w:lang w:bidi="en-US"/>
        </w:rPr>
        <w:t xml:space="preserve">their </w:t>
      </w:r>
      <w:r w:rsidR="0033057D">
        <w:rPr>
          <w:lang w:bidi="en-US"/>
        </w:rPr>
        <w:t xml:space="preserve">middle and high schools students to </w:t>
      </w:r>
      <w:r w:rsidR="009172D3">
        <w:rPr>
          <w:lang w:bidi="en-US"/>
        </w:rPr>
        <w:t>Hampshire through a tuitioning agreement</w:t>
      </w:r>
      <w:r w:rsidR="007947E2">
        <w:rPr>
          <w:lang w:bidi="en-US"/>
        </w:rPr>
        <w:t>.</w:t>
      </w:r>
      <w:r w:rsidR="0017686A">
        <w:rPr>
          <w:lang w:bidi="en-US"/>
        </w:rPr>
        <w:t xml:space="preserve"> It can also be difficult to bus young children long distances to attend school in a neighboring community.</w:t>
      </w:r>
    </w:p>
    <w:p w14:paraId="2D03E549" w14:textId="77777777" w:rsidR="007947E2" w:rsidRDefault="007947E2" w:rsidP="00E25D7F">
      <w:pPr>
        <w:rPr>
          <w:lang w:bidi="en-US"/>
        </w:rPr>
      </w:pPr>
    </w:p>
    <w:p w14:paraId="097FF90A" w14:textId="77777777" w:rsidR="00E25D7F" w:rsidRDefault="00843E35" w:rsidP="00E25D7F">
      <w:pPr>
        <w:rPr>
          <w:lang w:bidi="en-US"/>
        </w:rPr>
      </w:pPr>
      <w:r w:rsidRPr="006F5394">
        <w:rPr>
          <w:lang w:bidi="en-US"/>
        </w:rPr>
        <w:t xml:space="preserve">The costs of operating small elementary schools may be starting to out-weigh the benefits in some places. </w:t>
      </w:r>
      <w:r w:rsidR="0017686A">
        <w:rPr>
          <w:lang w:bidi="en-US"/>
        </w:rPr>
        <w:t>In May 2017, r</w:t>
      </w:r>
      <w:r w:rsidRPr="006F5394">
        <w:rPr>
          <w:lang w:bidi="en-US"/>
        </w:rPr>
        <w:t>esidents of Heath recently decided</w:t>
      </w:r>
      <w:r w:rsidR="0017686A">
        <w:rPr>
          <w:lang w:bidi="en-US"/>
        </w:rPr>
        <w:t xml:space="preserve"> to </w:t>
      </w:r>
      <w:r w:rsidRPr="006F5394">
        <w:rPr>
          <w:lang w:bidi="en-US"/>
        </w:rPr>
        <w:t xml:space="preserve">close their elementary school once enrollment fell to </w:t>
      </w:r>
      <w:r w:rsidR="00DA35C3">
        <w:rPr>
          <w:lang w:bidi="en-US"/>
        </w:rPr>
        <w:t>29 students</w:t>
      </w:r>
      <w:r w:rsidRPr="006F5394">
        <w:rPr>
          <w:lang w:bidi="en-US"/>
        </w:rPr>
        <w:t xml:space="preserve">. Heath students </w:t>
      </w:r>
      <w:r w:rsidR="006F5394" w:rsidRPr="006F5394">
        <w:rPr>
          <w:lang w:bidi="en-US"/>
        </w:rPr>
        <w:t>now attend Hawlemont Regional School District</w:t>
      </w:r>
      <w:r w:rsidRPr="006F5394">
        <w:rPr>
          <w:lang w:bidi="en-US"/>
        </w:rPr>
        <w:t xml:space="preserve">. While difficult, there are likely </w:t>
      </w:r>
      <w:r w:rsidR="006F5394" w:rsidRPr="006F5394">
        <w:rPr>
          <w:lang w:bidi="en-US"/>
        </w:rPr>
        <w:t xml:space="preserve">other </w:t>
      </w:r>
      <w:r w:rsidRPr="006F5394">
        <w:rPr>
          <w:lang w:bidi="en-US"/>
        </w:rPr>
        <w:t xml:space="preserve">opportunities for school consolidation </w:t>
      </w:r>
      <w:r w:rsidR="00445275">
        <w:rPr>
          <w:lang w:bidi="en-US"/>
        </w:rPr>
        <w:t xml:space="preserve">in rural school districts </w:t>
      </w:r>
      <w:r w:rsidRPr="006F5394">
        <w:rPr>
          <w:lang w:bidi="en-US"/>
        </w:rPr>
        <w:t>that have not been fully explored.</w:t>
      </w:r>
    </w:p>
    <w:p w14:paraId="0D81AE1B" w14:textId="77777777" w:rsidR="00E25D7F" w:rsidRDefault="00E25D7F" w:rsidP="00E25D7F">
      <w:pPr>
        <w:rPr>
          <w:lang w:bidi="en-US"/>
        </w:rPr>
      </w:pPr>
    </w:p>
    <w:p w14:paraId="4301017F" w14:textId="77777777" w:rsidR="00E25D7F" w:rsidRPr="00E25D7F" w:rsidRDefault="00445275" w:rsidP="00E25D7F">
      <w:pPr>
        <w:rPr>
          <w:lang w:bidi="en-US"/>
        </w:rPr>
      </w:pPr>
      <w:r>
        <w:t>The Department</w:t>
      </w:r>
      <w:r w:rsidR="005F17AF">
        <w:t xml:space="preserve"> has a Regional Governance Office that has been working with small districts for many years to encourage increased efficiencies through the formation or expansion of regional school districts, superintendency unions</w:t>
      </w:r>
      <w:r w:rsidR="0033057D">
        <w:t>,</w:t>
      </w:r>
      <w:r w:rsidR="005F17AF">
        <w:t xml:space="preserve"> or educational collaborative</w:t>
      </w:r>
      <w:r w:rsidR="0033057D">
        <w:t>s</w:t>
      </w:r>
      <w:r w:rsidR="005F17AF">
        <w:t xml:space="preserve">.  Over the last 6 years, three new regional districts have been established, two have expanded from secondary districts to </w:t>
      </w:r>
      <w:r w:rsidR="0033057D">
        <w:t xml:space="preserve">fully regionalize to </w:t>
      </w:r>
      <w:r w:rsidR="005F17AF">
        <w:t xml:space="preserve">serve </w:t>
      </w:r>
      <w:r w:rsidR="0033057D">
        <w:t xml:space="preserve">students in grades </w:t>
      </w:r>
      <w:r w:rsidR="0022014B">
        <w:t>PK–</w:t>
      </w:r>
      <w:r w:rsidR="005F17AF">
        <w:t>12 and 6 have added towns to their existing regional district</w:t>
      </w:r>
      <w:r w:rsidR="0033057D">
        <w:t>s</w:t>
      </w:r>
      <w:r w:rsidR="005F17AF">
        <w:t>.</w:t>
      </w:r>
      <w:r w:rsidR="0033057D">
        <w:rPr>
          <w:rStyle w:val="FootnoteReference"/>
        </w:rPr>
        <w:footnoteReference w:id="10"/>
      </w:r>
    </w:p>
    <w:p w14:paraId="18A34E1D" w14:textId="77777777" w:rsidR="00E25D7F" w:rsidRDefault="00E25D7F" w:rsidP="00E25D7F">
      <w:pPr>
        <w:rPr>
          <w:b/>
          <w:lang w:bidi="en-US"/>
        </w:rPr>
      </w:pPr>
    </w:p>
    <w:p w14:paraId="4BF8745E" w14:textId="77777777" w:rsidR="00E25D7F" w:rsidRDefault="00163DC1" w:rsidP="00E25D7F">
      <w:pPr>
        <w:rPr>
          <w:lang w:bidi="en-US"/>
        </w:rPr>
      </w:pPr>
      <w:r>
        <w:rPr>
          <w:lang w:bidi="en-US"/>
        </w:rPr>
        <w:t>There are</w:t>
      </w:r>
      <w:r w:rsidR="005F17AF">
        <w:rPr>
          <w:lang w:bidi="en-US"/>
        </w:rPr>
        <w:t xml:space="preserve"> a range of options that districts can consider as far as consolidating services, </w:t>
      </w:r>
      <w:r w:rsidR="00445275">
        <w:rPr>
          <w:lang w:bidi="en-US"/>
        </w:rPr>
        <w:t xml:space="preserve">including </w:t>
      </w:r>
      <w:r w:rsidR="005F17AF">
        <w:rPr>
          <w:lang w:bidi="en-US"/>
        </w:rPr>
        <w:t>full to par</w:t>
      </w:r>
      <w:r w:rsidR="00FC18A7">
        <w:rPr>
          <w:lang w:bidi="en-US"/>
        </w:rPr>
        <w:t>tial regionalization, expan</w:t>
      </w:r>
      <w:r w:rsidR="005F17AF">
        <w:rPr>
          <w:lang w:bidi="en-US"/>
        </w:rPr>
        <w:t>d</w:t>
      </w:r>
      <w:r w:rsidR="00445275">
        <w:rPr>
          <w:lang w:bidi="en-US"/>
        </w:rPr>
        <w:t>ing</w:t>
      </w:r>
      <w:r w:rsidR="005F17AF">
        <w:rPr>
          <w:lang w:bidi="en-US"/>
        </w:rPr>
        <w:t xml:space="preserve"> superintendency unions, </w:t>
      </w:r>
      <w:r w:rsidR="00445275">
        <w:rPr>
          <w:lang w:bidi="en-US"/>
        </w:rPr>
        <w:t>and</w:t>
      </w:r>
      <w:r w:rsidR="005F17AF">
        <w:rPr>
          <w:lang w:bidi="en-US"/>
        </w:rPr>
        <w:t xml:space="preserve"> using collaboratives to provide shared services.</w:t>
      </w:r>
      <w:r w:rsidR="00701D8E">
        <w:rPr>
          <w:lang w:bidi="en-US"/>
        </w:rPr>
        <w:t xml:space="preserve"> </w:t>
      </w:r>
      <w:r w:rsidR="00DA35C3">
        <w:rPr>
          <w:lang w:bidi="en-US"/>
        </w:rPr>
        <w:t xml:space="preserve">Districts </w:t>
      </w:r>
      <w:r w:rsidR="00701D8E">
        <w:rPr>
          <w:lang w:bidi="en-US"/>
        </w:rPr>
        <w:t xml:space="preserve">need to be willing to give up some level of control </w:t>
      </w:r>
      <w:r w:rsidR="00FC18A7">
        <w:rPr>
          <w:lang w:bidi="en-US"/>
        </w:rPr>
        <w:t xml:space="preserve">in favor of more efficient delivery and administration of </w:t>
      </w:r>
      <w:r w:rsidR="004F0190">
        <w:rPr>
          <w:lang w:bidi="en-US"/>
        </w:rPr>
        <w:t>services</w:t>
      </w:r>
      <w:r w:rsidR="00FC18A7">
        <w:rPr>
          <w:lang w:bidi="en-US"/>
        </w:rPr>
        <w:t xml:space="preserve"> </w:t>
      </w:r>
      <w:r w:rsidR="00445275">
        <w:rPr>
          <w:lang w:bidi="en-US"/>
        </w:rPr>
        <w:t>when</w:t>
      </w:r>
      <w:r w:rsidR="00FC18A7">
        <w:rPr>
          <w:lang w:bidi="en-US"/>
        </w:rPr>
        <w:t xml:space="preserve"> considering any one of these options. </w:t>
      </w:r>
    </w:p>
    <w:p w14:paraId="15951F14" w14:textId="77777777" w:rsidR="00E25D7F" w:rsidRPr="00E25D7F" w:rsidRDefault="00E25D7F" w:rsidP="00E25D7F">
      <w:pPr>
        <w:rPr>
          <w:lang w:bidi="en-US"/>
        </w:rPr>
      </w:pPr>
    </w:p>
    <w:p w14:paraId="14D60F72" w14:textId="77777777" w:rsidR="00E25D7F" w:rsidRPr="00E25D7F" w:rsidRDefault="00E25D7F" w:rsidP="00E25D7F">
      <w:pPr>
        <w:pStyle w:val="ListParagraph"/>
        <w:numPr>
          <w:ilvl w:val="0"/>
          <w:numId w:val="9"/>
        </w:numPr>
        <w:ind w:left="720"/>
        <w:rPr>
          <w:b/>
          <w:lang w:bidi="en-US"/>
        </w:rPr>
      </w:pPr>
      <w:r w:rsidRPr="00E25D7F">
        <w:rPr>
          <w:b/>
          <w:lang w:bidi="en-US"/>
        </w:rPr>
        <w:lastRenderedPageBreak/>
        <w:t>Full regionalization</w:t>
      </w:r>
      <w:r w:rsidR="00D40F34">
        <w:rPr>
          <w:b/>
          <w:lang w:bidi="en-US"/>
        </w:rPr>
        <w:t xml:space="preserve">: </w:t>
      </w:r>
      <w:r w:rsidR="005F17AF">
        <w:rPr>
          <w:lang w:bidi="en-US"/>
        </w:rPr>
        <w:t xml:space="preserve">There are </w:t>
      </w:r>
      <w:r w:rsidR="002879F1">
        <w:rPr>
          <w:lang w:bidi="en-US"/>
        </w:rPr>
        <w:t>58</w:t>
      </w:r>
      <w:r w:rsidR="005F17AF">
        <w:rPr>
          <w:lang w:bidi="en-US"/>
        </w:rPr>
        <w:t xml:space="preserve"> re</w:t>
      </w:r>
      <w:r w:rsidR="0021262E">
        <w:rPr>
          <w:lang w:bidi="en-US"/>
        </w:rPr>
        <w:t>gional school districts in the C</w:t>
      </w:r>
      <w:r w:rsidR="005F17AF">
        <w:rPr>
          <w:lang w:bidi="en-US"/>
        </w:rPr>
        <w:t>ommonwealth</w:t>
      </w:r>
      <w:r w:rsidR="0021262E">
        <w:rPr>
          <w:lang w:bidi="en-US"/>
        </w:rPr>
        <w:t xml:space="preserve">, not including vocational school districts. Out of this number, </w:t>
      </w:r>
      <w:r w:rsidR="00552213">
        <w:rPr>
          <w:lang w:bidi="en-US"/>
        </w:rPr>
        <w:t>35</w:t>
      </w:r>
      <w:r w:rsidR="0021262E">
        <w:rPr>
          <w:lang w:bidi="en-US"/>
        </w:rPr>
        <w:t xml:space="preserve"> are fully regionalized in grades K</w:t>
      </w:r>
      <w:r w:rsidR="00B1372C">
        <w:rPr>
          <w:lang w:bidi="en-US"/>
        </w:rPr>
        <w:t>–</w:t>
      </w:r>
      <w:r w:rsidR="0021262E">
        <w:rPr>
          <w:lang w:bidi="en-US"/>
        </w:rPr>
        <w:t>12. The</w:t>
      </w:r>
      <w:r w:rsidR="00DA35C3">
        <w:rPr>
          <w:lang w:bidi="en-US"/>
        </w:rPr>
        <w:t xml:space="preserve"> remaining </w:t>
      </w:r>
      <w:r w:rsidR="00552213">
        <w:rPr>
          <w:lang w:bidi="en-US"/>
        </w:rPr>
        <w:t>23</w:t>
      </w:r>
      <w:r w:rsidR="0021262E">
        <w:rPr>
          <w:lang w:bidi="en-US"/>
        </w:rPr>
        <w:t xml:space="preserve"> districts are partially regionalized, meaning that the member towns educate their students in </w:t>
      </w:r>
      <w:r w:rsidR="00DA35C3">
        <w:rPr>
          <w:lang w:bidi="en-US"/>
        </w:rPr>
        <w:t xml:space="preserve">separate municipal or regional districts at </w:t>
      </w:r>
      <w:r w:rsidR="0021262E">
        <w:rPr>
          <w:lang w:bidi="en-US"/>
        </w:rPr>
        <w:t xml:space="preserve">the elementary or middle school grades and send their students to a </w:t>
      </w:r>
      <w:r w:rsidR="00DA35C3">
        <w:rPr>
          <w:lang w:bidi="en-US"/>
        </w:rPr>
        <w:t>regional</w:t>
      </w:r>
      <w:r w:rsidR="0021262E">
        <w:rPr>
          <w:lang w:bidi="en-US"/>
        </w:rPr>
        <w:t xml:space="preserve"> middle or high school. </w:t>
      </w:r>
      <w:r w:rsidR="00DA35C3">
        <w:rPr>
          <w:lang w:bidi="en-US"/>
        </w:rPr>
        <w:t>In the current landscape, there may be</w:t>
      </w:r>
      <w:r w:rsidR="00701D8E">
        <w:rPr>
          <w:lang w:bidi="en-US"/>
        </w:rPr>
        <w:t xml:space="preserve"> opportunities for existing districts that are fully regionalized to add new members and opportunities for districts that are partially regionalized to fully regionalize</w:t>
      </w:r>
      <w:r w:rsidR="00FC18A7">
        <w:rPr>
          <w:lang w:bidi="en-US"/>
        </w:rPr>
        <w:t>. By fully regionalizing, districts consolidate governance under a single school committee with representation from each member town.</w:t>
      </w:r>
    </w:p>
    <w:p w14:paraId="731B3F55" w14:textId="77777777" w:rsidR="00E25D7F" w:rsidRPr="00E25D7F" w:rsidRDefault="00E25D7F" w:rsidP="00E25D7F">
      <w:pPr>
        <w:pStyle w:val="ListParagraph"/>
        <w:rPr>
          <w:b/>
          <w:lang w:bidi="en-US"/>
        </w:rPr>
      </w:pPr>
    </w:p>
    <w:p w14:paraId="7759A58C" w14:textId="77777777" w:rsidR="00E25D7F" w:rsidRDefault="005F17AF" w:rsidP="00E25D7F">
      <w:pPr>
        <w:pStyle w:val="ListParagraph"/>
        <w:numPr>
          <w:ilvl w:val="0"/>
          <w:numId w:val="9"/>
        </w:numPr>
        <w:ind w:left="720"/>
        <w:rPr>
          <w:b/>
          <w:lang w:bidi="en-US"/>
        </w:rPr>
      </w:pPr>
      <w:r>
        <w:rPr>
          <w:b/>
          <w:lang w:bidi="en-US"/>
        </w:rPr>
        <w:t>Partial regionalization</w:t>
      </w:r>
      <w:r w:rsidR="0021262E">
        <w:rPr>
          <w:b/>
          <w:lang w:bidi="en-US"/>
        </w:rPr>
        <w:t xml:space="preserve">: </w:t>
      </w:r>
      <w:r w:rsidR="00701D8E">
        <w:rPr>
          <w:lang w:bidi="en-US"/>
        </w:rPr>
        <w:t>For some districts, regionalizing K</w:t>
      </w:r>
      <w:r w:rsidR="0022014B">
        <w:rPr>
          <w:lang w:bidi="en-US"/>
        </w:rPr>
        <w:t>–</w:t>
      </w:r>
      <w:r w:rsidR="00701D8E">
        <w:rPr>
          <w:lang w:bidi="en-US"/>
        </w:rPr>
        <w:t xml:space="preserve">12 may not be an option, but a </w:t>
      </w:r>
      <w:r w:rsidR="0022014B">
        <w:rPr>
          <w:lang w:bidi="en-US"/>
        </w:rPr>
        <w:t>superintendency union</w:t>
      </w:r>
      <w:r w:rsidR="00701D8E">
        <w:rPr>
          <w:lang w:bidi="en-US"/>
        </w:rPr>
        <w:t xml:space="preserve"> that </w:t>
      </w:r>
      <w:r w:rsidR="00DA35C3">
        <w:rPr>
          <w:lang w:bidi="en-US"/>
        </w:rPr>
        <w:t xml:space="preserve">currently </w:t>
      </w:r>
      <w:r w:rsidR="00701D8E">
        <w:rPr>
          <w:lang w:bidi="en-US"/>
        </w:rPr>
        <w:t>serv</w:t>
      </w:r>
      <w:r w:rsidR="0022014B">
        <w:rPr>
          <w:lang w:bidi="en-US"/>
        </w:rPr>
        <w:t>es</w:t>
      </w:r>
      <w:r w:rsidR="00701D8E">
        <w:rPr>
          <w:lang w:bidi="en-US"/>
        </w:rPr>
        <w:t xml:space="preserve"> multiple municipal elementary districts and </w:t>
      </w:r>
      <w:r w:rsidR="00805D58">
        <w:rPr>
          <w:lang w:bidi="en-US"/>
        </w:rPr>
        <w:t xml:space="preserve">operates </w:t>
      </w:r>
      <w:r w:rsidR="00701D8E">
        <w:rPr>
          <w:lang w:bidi="en-US"/>
        </w:rPr>
        <w:t>a regional middle</w:t>
      </w:r>
      <w:r w:rsidR="00805D58">
        <w:rPr>
          <w:lang w:bidi="en-US"/>
        </w:rPr>
        <w:t>/</w:t>
      </w:r>
      <w:r w:rsidR="00701D8E">
        <w:rPr>
          <w:lang w:bidi="en-US"/>
        </w:rPr>
        <w:t xml:space="preserve">high school, </w:t>
      </w:r>
      <w:r w:rsidR="0022014B">
        <w:rPr>
          <w:lang w:bidi="en-US"/>
        </w:rPr>
        <w:t>may consider</w:t>
      </w:r>
      <w:r w:rsidR="00701D8E">
        <w:rPr>
          <w:lang w:bidi="en-US"/>
        </w:rPr>
        <w:t xml:space="preserve"> regionalizing all of their elementary districts </w:t>
      </w:r>
      <w:r w:rsidR="00966F49">
        <w:rPr>
          <w:lang w:bidi="en-US"/>
        </w:rPr>
        <w:t>as a single regional elementary</w:t>
      </w:r>
      <w:r w:rsidR="0022014B">
        <w:rPr>
          <w:lang w:bidi="en-US"/>
        </w:rPr>
        <w:t xml:space="preserve"> district and retaining a separate middle/high school district.</w:t>
      </w:r>
      <w:r w:rsidR="00701D8E">
        <w:rPr>
          <w:lang w:bidi="en-US"/>
        </w:rPr>
        <w:t xml:space="preserve"> </w:t>
      </w:r>
      <w:r w:rsidR="0022014B">
        <w:rPr>
          <w:lang w:bidi="en-US"/>
        </w:rPr>
        <w:t>A partial approach could</w:t>
      </w:r>
      <w:r w:rsidR="00805D58">
        <w:rPr>
          <w:lang w:bidi="en-US"/>
        </w:rPr>
        <w:t xml:space="preserve"> still streamline governance, mak</w:t>
      </w:r>
      <w:r w:rsidR="004F0190">
        <w:rPr>
          <w:lang w:bidi="en-US"/>
        </w:rPr>
        <w:t>ing</w:t>
      </w:r>
      <w:r w:rsidR="00805D58">
        <w:rPr>
          <w:lang w:bidi="en-US"/>
        </w:rPr>
        <w:t xml:space="preserve"> it easier for schools to coordinate instructional programs</w:t>
      </w:r>
      <w:r w:rsidR="004F0190">
        <w:rPr>
          <w:lang w:bidi="en-US"/>
        </w:rPr>
        <w:t xml:space="preserve"> and manage district operations</w:t>
      </w:r>
      <w:r w:rsidR="00805D58">
        <w:rPr>
          <w:lang w:bidi="en-US"/>
        </w:rPr>
        <w:t>.</w:t>
      </w:r>
    </w:p>
    <w:p w14:paraId="4530EDDC" w14:textId="77777777" w:rsidR="00E25D7F" w:rsidRPr="00E25D7F" w:rsidRDefault="00E25D7F" w:rsidP="00E25D7F">
      <w:pPr>
        <w:rPr>
          <w:b/>
          <w:lang w:bidi="en-US"/>
        </w:rPr>
      </w:pPr>
    </w:p>
    <w:p w14:paraId="0121F076" w14:textId="77777777" w:rsidR="00E25D7F" w:rsidRDefault="00E25D7F" w:rsidP="00E25D7F">
      <w:pPr>
        <w:pStyle w:val="ListParagraph"/>
        <w:numPr>
          <w:ilvl w:val="0"/>
          <w:numId w:val="9"/>
        </w:numPr>
        <w:ind w:left="720"/>
        <w:rPr>
          <w:b/>
          <w:lang w:bidi="en-US"/>
        </w:rPr>
      </w:pPr>
      <w:r w:rsidRPr="00E25D7F">
        <w:rPr>
          <w:b/>
          <w:lang w:bidi="en-US"/>
        </w:rPr>
        <w:t>Expand superintendency unions</w:t>
      </w:r>
      <w:r w:rsidR="00701D8E">
        <w:rPr>
          <w:b/>
          <w:lang w:bidi="en-US"/>
        </w:rPr>
        <w:t xml:space="preserve">: </w:t>
      </w:r>
      <w:r w:rsidR="00701D8E">
        <w:rPr>
          <w:lang w:bidi="en-US"/>
        </w:rPr>
        <w:t xml:space="preserve">There are currently </w:t>
      </w:r>
      <w:r w:rsidR="00445275">
        <w:rPr>
          <w:lang w:bidi="en-US"/>
        </w:rPr>
        <w:t>17</w:t>
      </w:r>
      <w:r w:rsidR="00701D8E">
        <w:rPr>
          <w:lang w:bidi="en-US"/>
        </w:rPr>
        <w:t xml:space="preserve"> superintendenc</w:t>
      </w:r>
      <w:r w:rsidR="00FC18A7">
        <w:rPr>
          <w:lang w:bidi="en-US"/>
        </w:rPr>
        <w:t>y</w:t>
      </w:r>
      <w:r w:rsidR="00701D8E">
        <w:rPr>
          <w:lang w:bidi="en-US"/>
        </w:rPr>
        <w:t xml:space="preserve"> unions in the Commonwealth. Unions allow districts to </w:t>
      </w:r>
      <w:r w:rsidR="00784C09">
        <w:rPr>
          <w:lang w:bidi="en-US"/>
        </w:rPr>
        <w:t xml:space="preserve">share a superintendent and central office </w:t>
      </w:r>
      <w:r w:rsidR="004F0190">
        <w:rPr>
          <w:lang w:bidi="en-US"/>
        </w:rPr>
        <w:t>staff,</w:t>
      </w:r>
      <w:r w:rsidR="00784C09">
        <w:rPr>
          <w:lang w:bidi="en-US"/>
        </w:rPr>
        <w:t xml:space="preserve"> but retain independent governance. </w:t>
      </w:r>
      <w:r w:rsidR="00870632">
        <w:rPr>
          <w:lang w:bidi="en-US"/>
        </w:rPr>
        <w:t>While more challenging, this can still afford dis</w:t>
      </w:r>
      <w:r w:rsidR="002A0131">
        <w:rPr>
          <w:lang w:bidi="en-US"/>
        </w:rPr>
        <w:t>t</w:t>
      </w:r>
      <w:r w:rsidR="00870632">
        <w:rPr>
          <w:lang w:bidi="en-US"/>
        </w:rPr>
        <w:t xml:space="preserve">ricts the opportunity to </w:t>
      </w:r>
      <w:r w:rsidR="002A0131">
        <w:rPr>
          <w:lang w:bidi="en-US"/>
        </w:rPr>
        <w:t xml:space="preserve">share and </w:t>
      </w:r>
      <w:r w:rsidR="00870632">
        <w:rPr>
          <w:lang w:bidi="en-US"/>
        </w:rPr>
        <w:t xml:space="preserve">coordinate services </w:t>
      </w:r>
      <w:r w:rsidR="002A0131">
        <w:rPr>
          <w:lang w:bidi="en-US"/>
        </w:rPr>
        <w:t xml:space="preserve">across schools to better serve the needs of their students. Since districts that belong to unions are typically regionalized at the middle and high school levels, unions can also provide more consistency in educational programs </w:t>
      </w:r>
      <w:r w:rsidR="004F0190">
        <w:rPr>
          <w:lang w:bidi="en-US"/>
        </w:rPr>
        <w:t>across districts</w:t>
      </w:r>
      <w:r w:rsidR="002A0131">
        <w:rPr>
          <w:lang w:bidi="en-US"/>
        </w:rPr>
        <w:t>.</w:t>
      </w:r>
      <w:r w:rsidR="00552213">
        <w:rPr>
          <w:lang w:bidi="en-US"/>
        </w:rPr>
        <w:t xml:space="preserve"> </w:t>
      </w:r>
      <w:r w:rsidR="00507A57">
        <w:rPr>
          <w:lang w:bidi="en-US"/>
        </w:rPr>
        <w:t>As outlined in the Berkshire County study, in places where full or partial regionalization is not possible, forming superintendency unions that encompass more districts may be the next best alternative to streamline governance and promote more shared services between districts</w:t>
      </w:r>
      <w:r w:rsidR="00552213" w:rsidRPr="00507A57">
        <w:rPr>
          <w:lang w:bidi="en-US"/>
        </w:rPr>
        <w:t>.</w:t>
      </w:r>
    </w:p>
    <w:p w14:paraId="0E1282B0" w14:textId="77777777" w:rsidR="00E25D7F" w:rsidRPr="00E25D7F" w:rsidRDefault="00E25D7F" w:rsidP="00E25D7F">
      <w:pPr>
        <w:rPr>
          <w:b/>
          <w:lang w:bidi="en-US"/>
        </w:rPr>
      </w:pPr>
    </w:p>
    <w:p w14:paraId="772C46AB" w14:textId="77777777" w:rsidR="00D47972" w:rsidRDefault="00E25D7F">
      <w:pPr>
        <w:pStyle w:val="ListParagraph"/>
        <w:numPr>
          <w:ilvl w:val="0"/>
          <w:numId w:val="9"/>
        </w:numPr>
        <w:ind w:left="720"/>
        <w:rPr>
          <w:lang w:bidi="en-US"/>
        </w:rPr>
      </w:pPr>
      <w:r w:rsidRPr="00E25D7F">
        <w:rPr>
          <w:b/>
          <w:lang w:bidi="en-US"/>
        </w:rPr>
        <w:t xml:space="preserve">Using </w:t>
      </w:r>
      <w:r w:rsidR="00966F49">
        <w:rPr>
          <w:b/>
          <w:lang w:bidi="en-US"/>
        </w:rPr>
        <w:t xml:space="preserve">education </w:t>
      </w:r>
      <w:r w:rsidRPr="00E25D7F">
        <w:rPr>
          <w:b/>
          <w:lang w:bidi="en-US"/>
        </w:rPr>
        <w:t>collaboratives or other organizations to provide shared services</w:t>
      </w:r>
      <w:r w:rsidR="00A3007B">
        <w:rPr>
          <w:b/>
          <w:lang w:bidi="en-US"/>
        </w:rPr>
        <w:t xml:space="preserve">: </w:t>
      </w:r>
      <w:r w:rsidR="00A3007B">
        <w:rPr>
          <w:lang w:bidi="en-US"/>
        </w:rPr>
        <w:t xml:space="preserve">School districts can also take advantage of existing collaborative networks to share services that they might not be able to provide </w:t>
      </w:r>
      <w:r w:rsidR="004F0190">
        <w:rPr>
          <w:lang w:bidi="en-US"/>
        </w:rPr>
        <w:t>on their own</w:t>
      </w:r>
      <w:r w:rsidR="00A3007B">
        <w:rPr>
          <w:lang w:bidi="en-US"/>
        </w:rPr>
        <w:t xml:space="preserve">. </w:t>
      </w:r>
      <w:r w:rsidR="004F0190">
        <w:rPr>
          <w:lang w:bidi="en-US"/>
        </w:rPr>
        <w:t xml:space="preserve">Currently, there are </w:t>
      </w:r>
      <w:r w:rsidR="00552213">
        <w:rPr>
          <w:lang w:bidi="en-US"/>
        </w:rPr>
        <w:t>26</w:t>
      </w:r>
      <w:r w:rsidR="004F0190">
        <w:rPr>
          <w:lang w:bidi="en-US"/>
        </w:rPr>
        <w:t xml:space="preserve"> collaboratives in the state serving </w:t>
      </w:r>
      <w:r w:rsidR="00552213">
        <w:rPr>
          <w:lang w:bidi="en-US"/>
        </w:rPr>
        <w:t>270</w:t>
      </w:r>
      <w:r w:rsidR="004F0190">
        <w:rPr>
          <w:lang w:bidi="en-US"/>
        </w:rPr>
        <w:t xml:space="preserve"> school districts. </w:t>
      </w:r>
      <w:r w:rsidR="00A3007B">
        <w:rPr>
          <w:lang w:bidi="en-US"/>
        </w:rPr>
        <w:t xml:space="preserve">Education collaboratives typically </w:t>
      </w:r>
      <w:r w:rsidR="00966F49">
        <w:rPr>
          <w:lang w:bidi="en-US"/>
        </w:rPr>
        <w:t xml:space="preserve">provide </w:t>
      </w:r>
      <w:r w:rsidR="00A3007B">
        <w:rPr>
          <w:lang w:bidi="en-US"/>
        </w:rPr>
        <w:t>special education or vocational programs</w:t>
      </w:r>
      <w:r w:rsidR="007F329A">
        <w:rPr>
          <w:lang w:bidi="en-US"/>
        </w:rPr>
        <w:t xml:space="preserve"> for their member districts.</w:t>
      </w:r>
      <w:r w:rsidR="004F0190">
        <w:rPr>
          <w:lang w:bidi="en-US"/>
        </w:rPr>
        <w:t xml:space="preserve"> </w:t>
      </w:r>
      <w:r w:rsidR="007F329A">
        <w:rPr>
          <w:lang w:bidi="en-US"/>
        </w:rPr>
        <w:t>C</w:t>
      </w:r>
      <w:r w:rsidR="00784C09">
        <w:rPr>
          <w:lang w:bidi="en-US"/>
        </w:rPr>
        <w:t xml:space="preserve">ollaboratives </w:t>
      </w:r>
      <w:r w:rsidR="007F329A">
        <w:rPr>
          <w:lang w:bidi="en-US"/>
        </w:rPr>
        <w:t>can</w:t>
      </w:r>
      <w:r w:rsidR="00784C09">
        <w:rPr>
          <w:lang w:bidi="en-US"/>
        </w:rPr>
        <w:t xml:space="preserve"> expand o</w:t>
      </w:r>
      <w:r w:rsidR="002A0131">
        <w:rPr>
          <w:lang w:bidi="en-US"/>
        </w:rPr>
        <w:t>n this role</w:t>
      </w:r>
      <w:r w:rsidR="00C43035">
        <w:rPr>
          <w:lang w:bidi="en-US"/>
        </w:rPr>
        <w:t xml:space="preserve"> to include </w:t>
      </w:r>
      <w:r w:rsidR="007F329A">
        <w:rPr>
          <w:lang w:bidi="en-US"/>
        </w:rPr>
        <w:t xml:space="preserve">providing </w:t>
      </w:r>
      <w:r w:rsidR="00784C09">
        <w:rPr>
          <w:lang w:bidi="en-US"/>
        </w:rPr>
        <w:t>professional development</w:t>
      </w:r>
      <w:r w:rsidR="002A0131">
        <w:rPr>
          <w:lang w:bidi="en-US"/>
        </w:rPr>
        <w:t xml:space="preserve">, promoting shared curriculum </w:t>
      </w:r>
      <w:r w:rsidR="00552213">
        <w:rPr>
          <w:lang w:bidi="en-US"/>
        </w:rPr>
        <w:t>and a</w:t>
      </w:r>
      <w:r w:rsidR="00703FA3">
        <w:rPr>
          <w:lang w:bidi="en-US"/>
        </w:rPr>
        <w:t>ssessments</w:t>
      </w:r>
      <w:r w:rsidR="00C43035">
        <w:rPr>
          <w:lang w:bidi="en-US"/>
        </w:rPr>
        <w:t xml:space="preserve"> across member districts,</w:t>
      </w:r>
      <w:r w:rsidR="002A0131">
        <w:rPr>
          <w:lang w:bidi="en-US"/>
        </w:rPr>
        <w:t xml:space="preserve"> </w:t>
      </w:r>
      <w:r w:rsidR="00C43035">
        <w:rPr>
          <w:lang w:bidi="en-US"/>
        </w:rPr>
        <w:t xml:space="preserve">coordinating </w:t>
      </w:r>
      <w:r w:rsidR="00703FA3">
        <w:rPr>
          <w:lang w:bidi="en-US"/>
        </w:rPr>
        <w:t>p</w:t>
      </w:r>
      <w:r w:rsidR="00C43035">
        <w:rPr>
          <w:lang w:bidi="en-US"/>
        </w:rPr>
        <w:t>urchasing groups for heating fuel and other commodities</w:t>
      </w:r>
      <w:r w:rsidR="00703FA3">
        <w:rPr>
          <w:lang w:bidi="en-US"/>
        </w:rPr>
        <w:t xml:space="preserve">, </w:t>
      </w:r>
      <w:r w:rsidR="00C43035">
        <w:rPr>
          <w:lang w:bidi="en-US"/>
        </w:rPr>
        <w:t xml:space="preserve">and providing </w:t>
      </w:r>
      <w:r w:rsidR="008F62D1">
        <w:rPr>
          <w:lang w:bidi="en-US"/>
        </w:rPr>
        <w:t>transportation.</w:t>
      </w:r>
      <w:r w:rsidR="00A3007B">
        <w:rPr>
          <w:lang w:bidi="en-US"/>
        </w:rPr>
        <w:t xml:space="preserve"> </w:t>
      </w:r>
      <w:r w:rsidR="008F62D1">
        <w:rPr>
          <w:lang w:bidi="en-US"/>
        </w:rPr>
        <w:t xml:space="preserve">Some collaboratives are already working in these areas, and the state should encourage them to </w:t>
      </w:r>
      <w:r w:rsidR="00C43035">
        <w:rPr>
          <w:lang w:bidi="en-US"/>
        </w:rPr>
        <w:t xml:space="preserve">expand on </w:t>
      </w:r>
      <w:r w:rsidR="008F62D1">
        <w:rPr>
          <w:lang w:bidi="en-US"/>
        </w:rPr>
        <w:t>these efforts, offer their services to more districts, and incentivize other collaboratives that are currently not addressing these needs to consider doing so.</w:t>
      </w:r>
    </w:p>
    <w:p w14:paraId="78A00451" w14:textId="77777777" w:rsidR="00E25D7F" w:rsidRDefault="00E50B11" w:rsidP="00E25D7F">
      <w:pPr>
        <w:pStyle w:val="Heading2"/>
        <w:rPr>
          <w:lang w:bidi="en-US"/>
        </w:rPr>
      </w:pPr>
      <w:bookmarkStart w:id="11" w:name="_Toc503258037"/>
      <w:r>
        <w:rPr>
          <w:lang w:bidi="en-US"/>
        </w:rPr>
        <w:t>Regional incentives</w:t>
      </w:r>
      <w:bookmarkEnd w:id="11"/>
    </w:p>
    <w:p w14:paraId="2DD29921" w14:textId="77777777" w:rsidR="00430DC6" w:rsidRDefault="00784C09" w:rsidP="00430DC6">
      <w:r>
        <w:t xml:space="preserve">In order to promote more regionalization and shared services, the state can </w:t>
      </w:r>
      <w:r w:rsidR="00A409D7">
        <w:t xml:space="preserve">continue to </w:t>
      </w:r>
      <w:r>
        <w:t xml:space="preserve">provide </w:t>
      </w:r>
      <w:r w:rsidR="00A409D7">
        <w:t xml:space="preserve">and look to expand </w:t>
      </w:r>
      <w:r>
        <w:t>incentives and resources to support districts</w:t>
      </w:r>
      <w:r w:rsidR="00DE3303">
        <w:t>, including:</w:t>
      </w:r>
    </w:p>
    <w:p w14:paraId="03494AA7" w14:textId="77777777" w:rsidR="00E50B11" w:rsidRDefault="00E50B11" w:rsidP="00C927FE">
      <w:pPr>
        <w:ind w:left="360"/>
        <w:rPr>
          <w:b/>
          <w:lang w:bidi="en-US"/>
        </w:rPr>
      </w:pPr>
    </w:p>
    <w:p w14:paraId="2DC19CF8" w14:textId="77777777" w:rsidR="00E25D7F" w:rsidRDefault="00741A9A" w:rsidP="00E25D7F">
      <w:pPr>
        <w:pStyle w:val="ListParagraph"/>
        <w:numPr>
          <w:ilvl w:val="0"/>
          <w:numId w:val="10"/>
        </w:numPr>
        <w:ind w:left="720"/>
        <w:rPr>
          <w:lang w:bidi="en-US"/>
        </w:rPr>
      </w:pPr>
      <w:r w:rsidRPr="00E50B11">
        <w:rPr>
          <w:b/>
          <w:lang w:bidi="en-US"/>
        </w:rPr>
        <w:t>Build on DOR</w:t>
      </w:r>
      <w:r w:rsidR="009C3F85" w:rsidRPr="00E50B11">
        <w:rPr>
          <w:b/>
          <w:lang w:bidi="en-US"/>
        </w:rPr>
        <w:t>’s</w:t>
      </w:r>
      <w:r w:rsidRPr="00E50B11">
        <w:rPr>
          <w:b/>
          <w:lang w:bidi="en-US"/>
        </w:rPr>
        <w:t xml:space="preserve"> Community Compact model</w:t>
      </w:r>
      <w:r w:rsidR="00A9589D" w:rsidRPr="00E50B11">
        <w:rPr>
          <w:b/>
          <w:lang w:bidi="en-US"/>
        </w:rPr>
        <w:t xml:space="preserve">: </w:t>
      </w:r>
      <w:r w:rsidR="00A9589D" w:rsidRPr="00A9589D">
        <w:rPr>
          <w:lang w:bidi="en-US"/>
        </w:rPr>
        <w:t>The Community Compact Cabinet</w:t>
      </w:r>
      <w:r w:rsidR="00A9589D">
        <w:rPr>
          <w:lang w:bidi="en-US"/>
        </w:rPr>
        <w:t xml:space="preserve">, an initiative of the Governor’s office, </w:t>
      </w:r>
      <w:r w:rsidR="005A2E87">
        <w:rPr>
          <w:lang w:bidi="en-US"/>
        </w:rPr>
        <w:t>has awarded</w:t>
      </w:r>
      <w:r w:rsidR="00A9589D">
        <w:rPr>
          <w:lang w:bidi="en-US"/>
        </w:rPr>
        <w:t xml:space="preserve"> several rounds of e</w:t>
      </w:r>
      <w:r w:rsidR="00A9589D" w:rsidRPr="00A9589D">
        <w:rPr>
          <w:lang w:bidi="en-US"/>
        </w:rPr>
        <w:t xml:space="preserve">fficiency and </w:t>
      </w:r>
      <w:r w:rsidR="00A9589D">
        <w:rPr>
          <w:lang w:bidi="en-US"/>
        </w:rPr>
        <w:lastRenderedPageBreak/>
        <w:t>r</w:t>
      </w:r>
      <w:r w:rsidR="00A9589D" w:rsidRPr="00A9589D">
        <w:rPr>
          <w:lang w:bidi="en-US"/>
        </w:rPr>
        <w:t>egionalization competitive grant</w:t>
      </w:r>
      <w:r w:rsidR="00A9589D">
        <w:rPr>
          <w:lang w:bidi="en-US"/>
        </w:rPr>
        <w:t>s “</w:t>
      </w:r>
      <w:r w:rsidR="00A9589D" w:rsidRPr="00A9589D">
        <w:rPr>
          <w:lang w:bidi="en-US"/>
        </w:rPr>
        <w:t>to provide financial support for governmental entities interested in implementing regionalization and other efficiency initiatives that allow for long-term sustainability.</w:t>
      </w:r>
      <w:r w:rsidR="00A9589D">
        <w:rPr>
          <w:lang w:bidi="en-US"/>
        </w:rPr>
        <w:t xml:space="preserve">” Recipients have included municipalities and school districts </w:t>
      </w:r>
      <w:r w:rsidR="00466627">
        <w:rPr>
          <w:lang w:bidi="en-US"/>
        </w:rPr>
        <w:t>studyi</w:t>
      </w:r>
      <w:r w:rsidR="00FD64B0">
        <w:rPr>
          <w:lang w:bidi="en-US"/>
        </w:rPr>
        <w:t>ng</w:t>
      </w:r>
      <w:r w:rsidR="00466627">
        <w:rPr>
          <w:lang w:bidi="en-US"/>
        </w:rPr>
        <w:t xml:space="preserve"> and implementing regionalization and other shared services models.</w:t>
      </w:r>
      <w:r w:rsidR="00466627">
        <w:rPr>
          <w:rStyle w:val="FootnoteReference"/>
          <w:lang w:bidi="en-US"/>
        </w:rPr>
        <w:footnoteReference w:id="11"/>
      </w:r>
      <w:r w:rsidR="00466627">
        <w:rPr>
          <w:lang w:bidi="en-US"/>
        </w:rPr>
        <w:t xml:space="preserve"> Building on this model would continue to promote best practices in the efficient use of scarce resources.</w:t>
      </w:r>
    </w:p>
    <w:p w14:paraId="77AFA7B1" w14:textId="77777777" w:rsidR="00E25D7F" w:rsidRDefault="00E25D7F" w:rsidP="00E25D7F">
      <w:pPr>
        <w:ind w:left="720"/>
        <w:rPr>
          <w:lang w:bidi="en-US"/>
        </w:rPr>
      </w:pPr>
    </w:p>
    <w:p w14:paraId="28C11ABA" w14:textId="77777777" w:rsidR="00E25D7F" w:rsidRDefault="005A2E87" w:rsidP="00E25D7F">
      <w:pPr>
        <w:pStyle w:val="ListParagraph"/>
        <w:numPr>
          <w:ilvl w:val="0"/>
          <w:numId w:val="10"/>
        </w:numPr>
        <w:ind w:left="720"/>
        <w:rPr>
          <w:lang w:bidi="en-US"/>
        </w:rPr>
      </w:pPr>
      <w:r w:rsidRPr="00E50B11">
        <w:rPr>
          <w:b/>
          <w:lang w:bidi="en-US"/>
        </w:rPr>
        <w:t xml:space="preserve">Provide </w:t>
      </w:r>
      <w:r w:rsidR="002E7369" w:rsidRPr="00E50B11">
        <w:rPr>
          <w:b/>
          <w:lang w:bidi="en-US"/>
        </w:rPr>
        <w:t xml:space="preserve">data </w:t>
      </w:r>
      <w:r w:rsidRPr="00E50B11">
        <w:rPr>
          <w:b/>
          <w:lang w:bidi="en-US"/>
        </w:rPr>
        <w:t>tool</w:t>
      </w:r>
      <w:r w:rsidR="002E7369" w:rsidRPr="00E50B11">
        <w:rPr>
          <w:b/>
          <w:lang w:bidi="en-US"/>
        </w:rPr>
        <w:t>s</w:t>
      </w:r>
      <w:r w:rsidRPr="00E50B11">
        <w:rPr>
          <w:b/>
          <w:lang w:bidi="en-US"/>
        </w:rPr>
        <w:t xml:space="preserve"> to districts looking to explore </w:t>
      </w:r>
      <w:r w:rsidR="00830C06" w:rsidRPr="00E50B11">
        <w:rPr>
          <w:b/>
          <w:lang w:bidi="en-US"/>
        </w:rPr>
        <w:t xml:space="preserve">new </w:t>
      </w:r>
      <w:r w:rsidRPr="00E50B11">
        <w:rPr>
          <w:b/>
          <w:lang w:bidi="en-US"/>
        </w:rPr>
        <w:t xml:space="preserve">regional </w:t>
      </w:r>
      <w:r w:rsidR="00830C06" w:rsidRPr="00E50B11">
        <w:rPr>
          <w:b/>
          <w:lang w:bidi="en-US"/>
        </w:rPr>
        <w:t>arrangement</w:t>
      </w:r>
      <w:r w:rsidR="00896B9B" w:rsidRPr="00E50B11">
        <w:rPr>
          <w:b/>
          <w:lang w:bidi="en-US"/>
        </w:rPr>
        <w:t>s</w:t>
      </w:r>
      <w:r w:rsidRPr="00E50B11">
        <w:rPr>
          <w:b/>
          <w:lang w:bidi="en-US"/>
        </w:rPr>
        <w:t xml:space="preserve">: </w:t>
      </w:r>
      <w:r>
        <w:rPr>
          <w:lang w:bidi="en-US"/>
        </w:rPr>
        <w:t xml:space="preserve">ESE is currently engaged in a project to develop data tools </w:t>
      </w:r>
      <w:r w:rsidR="00830C06">
        <w:rPr>
          <w:lang w:bidi="en-US"/>
        </w:rPr>
        <w:t xml:space="preserve">to assist districts in making resource allocation decisions. </w:t>
      </w:r>
      <w:r w:rsidR="002E7369">
        <w:rPr>
          <w:lang w:bidi="en-US"/>
        </w:rPr>
        <w:t>These resources</w:t>
      </w:r>
      <w:r w:rsidR="00830C06">
        <w:rPr>
          <w:lang w:bidi="en-US"/>
        </w:rPr>
        <w:t>, referred to as the Resource Allocation and District Action Reports (</w:t>
      </w:r>
      <w:hyperlink r:id="rId28" w:history="1">
        <w:r w:rsidR="00830C06" w:rsidRPr="002E7369">
          <w:rPr>
            <w:rStyle w:val="Hyperlink"/>
            <w:lang w:bidi="en-US"/>
          </w:rPr>
          <w:t>RADAR</w:t>
        </w:r>
      </w:hyperlink>
      <w:r w:rsidR="00830C06">
        <w:rPr>
          <w:lang w:bidi="en-US"/>
        </w:rPr>
        <w:t>), are visual reports</w:t>
      </w:r>
      <w:r w:rsidR="002E7369">
        <w:rPr>
          <w:lang w:bidi="en-US"/>
        </w:rPr>
        <w:t xml:space="preserve"> that allow districts to understand how they are using their people, time, and money to support student achievement. </w:t>
      </w:r>
      <w:r w:rsidR="00C43035">
        <w:rPr>
          <w:lang w:bidi="en-US"/>
        </w:rPr>
        <w:t>RADAR</w:t>
      </w:r>
      <w:r w:rsidR="00896B9B">
        <w:rPr>
          <w:lang w:bidi="en-US"/>
        </w:rPr>
        <w:t xml:space="preserve"> allow</w:t>
      </w:r>
      <w:r w:rsidR="00C43035">
        <w:rPr>
          <w:lang w:bidi="en-US"/>
        </w:rPr>
        <w:t>s</w:t>
      </w:r>
      <w:r w:rsidR="00896B9B">
        <w:rPr>
          <w:lang w:bidi="en-US"/>
        </w:rPr>
        <w:t xml:space="preserve"> districts to look at their own trend data and make comparisons to up to 10 other districts. </w:t>
      </w:r>
      <w:r w:rsidR="002E7369">
        <w:rPr>
          <w:lang w:bidi="en-US"/>
        </w:rPr>
        <w:t xml:space="preserve">An additional resource that the Department is considering creating as part of this project </w:t>
      </w:r>
      <w:r w:rsidR="00896B9B">
        <w:rPr>
          <w:lang w:bidi="en-US"/>
        </w:rPr>
        <w:t xml:space="preserve">is one focused on helping districts understand the implications of forming new regional </w:t>
      </w:r>
      <w:r w:rsidR="00C77F68">
        <w:rPr>
          <w:lang w:bidi="en-US"/>
        </w:rPr>
        <w:t xml:space="preserve">districts. This </w:t>
      </w:r>
      <w:r w:rsidR="00943EFD">
        <w:rPr>
          <w:lang w:bidi="en-US"/>
        </w:rPr>
        <w:t>tool could allow</w:t>
      </w:r>
      <w:r w:rsidR="00896B9B">
        <w:rPr>
          <w:lang w:bidi="en-US"/>
        </w:rPr>
        <w:t xml:space="preserve"> </w:t>
      </w:r>
      <w:r w:rsidR="00943EFD">
        <w:rPr>
          <w:lang w:bidi="en-US"/>
        </w:rPr>
        <w:t>districts to</w:t>
      </w:r>
      <w:r w:rsidR="00C77F68">
        <w:rPr>
          <w:lang w:bidi="en-US"/>
        </w:rPr>
        <w:t xml:space="preserve"> model</w:t>
      </w:r>
      <w:r w:rsidR="00896B9B">
        <w:rPr>
          <w:lang w:bidi="en-US"/>
        </w:rPr>
        <w:t xml:space="preserve"> enrollment, staffing, and funding</w:t>
      </w:r>
      <w:r w:rsidR="00C77F68">
        <w:rPr>
          <w:lang w:bidi="en-US"/>
        </w:rPr>
        <w:t xml:space="preserve"> implications at the district and school levels</w:t>
      </w:r>
      <w:r w:rsidR="00896B9B">
        <w:rPr>
          <w:lang w:bidi="en-US"/>
        </w:rPr>
        <w:t xml:space="preserve">. </w:t>
      </w:r>
    </w:p>
    <w:p w14:paraId="132B1AEE" w14:textId="77777777" w:rsidR="00E25D7F" w:rsidRDefault="00E25D7F" w:rsidP="00E25D7F">
      <w:pPr>
        <w:ind w:left="720"/>
        <w:rPr>
          <w:lang w:bidi="en-US"/>
        </w:rPr>
      </w:pPr>
    </w:p>
    <w:p w14:paraId="77B4C944" w14:textId="77777777" w:rsidR="00E25D7F" w:rsidRPr="00A409D7" w:rsidRDefault="00DE3303" w:rsidP="00E25D7F">
      <w:pPr>
        <w:pStyle w:val="ListParagraph"/>
        <w:numPr>
          <w:ilvl w:val="0"/>
          <w:numId w:val="10"/>
        </w:numPr>
        <w:ind w:left="720"/>
        <w:rPr>
          <w:b/>
          <w:lang w:bidi="en-US"/>
        </w:rPr>
      </w:pPr>
      <w:r w:rsidRPr="00A409D7">
        <w:rPr>
          <w:b/>
          <w:lang w:bidi="en-US"/>
        </w:rPr>
        <w:t>Reformulate regional b</w:t>
      </w:r>
      <w:r w:rsidR="00E25D7F" w:rsidRPr="00A409D7">
        <w:rPr>
          <w:b/>
          <w:lang w:bidi="en-US"/>
        </w:rPr>
        <w:t>onus aid</w:t>
      </w:r>
      <w:r w:rsidR="0021262E" w:rsidRPr="00A409D7">
        <w:rPr>
          <w:b/>
          <w:lang w:bidi="en-US"/>
        </w:rPr>
        <w:t xml:space="preserve">: </w:t>
      </w:r>
      <w:r w:rsidR="0021262E" w:rsidRPr="009B281C">
        <w:rPr>
          <w:lang w:bidi="en-US"/>
        </w:rPr>
        <w:t>ESE</w:t>
      </w:r>
      <w:r w:rsidR="0021262E" w:rsidRPr="00A409D7">
        <w:rPr>
          <w:lang w:bidi="en-US"/>
        </w:rPr>
        <w:t xml:space="preserve"> </w:t>
      </w:r>
      <w:r w:rsidR="00484DE7">
        <w:rPr>
          <w:lang w:bidi="en-US"/>
        </w:rPr>
        <w:t xml:space="preserve">has recently </w:t>
      </w:r>
      <w:r w:rsidR="0021262E" w:rsidRPr="00A409D7">
        <w:rPr>
          <w:lang w:bidi="en-US"/>
        </w:rPr>
        <w:t>provide</w:t>
      </w:r>
      <w:r w:rsidR="00484DE7">
        <w:rPr>
          <w:lang w:bidi="en-US"/>
        </w:rPr>
        <w:t>d</w:t>
      </w:r>
      <w:r w:rsidR="0021262E" w:rsidRPr="00A409D7">
        <w:rPr>
          <w:lang w:bidi="en-US"/>
        </w:rPr>
        <w:t xml:space="preserve"> </w:t>
      </w:r>
      <w:r w:rsidR="00484DE7">
        <w:rPr>
          <w:lang w:bidi="en-US"/>
        </w:rPr>
        <w:t xml:space="preserve">small amounts of </w:t>
      </w:r>
      <w:r w:rsidR="0021262E" w:rsidRPr="00A409D7">
        <w:rPr>
          <w:lang w:bidi="en-US"/>
        </w:rPr>
        <w:t>bonus aid for newly formed regional school districts</w:t>
      </w:r>
      <w:r w:rsidR="009B281C">
        <w:rPr>
          <w:lang w:bidi="en-US"/>
        </w:rPr>
        <w:t xml:space="preserve"> in the following amounts:</w:t>
      </w:r>
      <w:r w:rsidR="0021262E" w:rsidRPr="00A409D7">
        <w:rPr>
          <w:lang w:bidi="en-US"/>
        </w:rPr>
        <w:t xml:space="preserve"> $</w:t>
      </w:r>
      <w:r w:rsidR="00F70ED1" w:rsidRPr="00A409D7">
        <w:rPr>
          <w:lang w:bidi="en-US"/>
        </w:rPr>
        <w:t>50</w:t>
      </w:r>
      <w:r w:rsidR="0021262E" w:rsidRPr="00A409D7">
        <w:rPr>
          <w:lang w:bidi="en-US"/>
        </w:rPr>
        <w:t xml:space="preserve"> per student</w:t>
      </w:r>
      <w:r w:rsidR="00342F47" w:rsidRPr="00A409D7">
        <w:rPr>
          <w:lang w:bidi="en-US"/>
        </w:rPr>
        <w:t xml:space="preserve"> in the first year </w:t>
      </w:r>
      <w:r w:rsidR="00A409D7" w:rsidRPr="00A409D7">
        <w:rPr>
          <w:lang w:bidi="en-US"/>
        </w:rPr>
        <w:t>and then $40, $30, $20, and $10 per student in the next 4 years</w:t>
      </w:r>
      <w:r w:rsidR="0021262E" w:rsidRPr="00A409D7">
        <w:rPr>
          <w:lang w:bidi="en-US"/>
        </w:rPr>
        <w:t>.</w:t>
      </w:r>
      <w:r w:rsidR="00CA785D">
        <w:rPr>
          <w:rStyle w:val="FootnoteReference"/>
          <w:lang w:bidi="en-US"/>
        </w:rPr>
        <w:footnoteReference w:id="12"/>
      </w:r>
      <w:r w:rsidR="0021262E" w:rsidRPr="00A409D7">
        <w:rPr>
          <w:lang w:bidi="en-US"/>
        </w:rPr>
        <w:t xml:space="preserve"> The purpose of bonus aid is to assist newly formed regional school districts with transition costs that result from reconfiguring their operation</w:t>
      </w:r>
      <w:r w:rsidR="00342F47" w:rsidRPr="00A409D7">
        <w:rPr>
          <w:lang w:bidi="en-US"/>
        </w:rPr>
        <w:t>s</w:t>
      </w:r>
      <w:r w:rsidR="0021262E" w:rsidRPr="00A409D7">
        <w:rPr>
          <w:lang w:bidi="en-US"/>
        </w:rPr>
        <w:t xml:space="preserve">, such as </w:t>
      </w:r>
      <w:r w:rsidR="00342F47" w:rsidRPr="00A409D7">
        <w:rPr>
          <w:lang w:bidi="en-US"/>
        </w:rPr>
        <w:t>implementing new management information systems, establishing new offices, and other start-up expenses. Bonus aid is not added to a districts</w:t>
      </w:r>
      <w:r w:rsidR="00805D58" w:rsidRPr="00A409D7">
        <w:rPr>
          <w:lang w:bidi="en-US"/>
        </w:rPr>
        <w:t xml:space="preserve">’ </w:t>
      </w:r>
      <w:r w:rsidR="00342F47" w:rsidRPr="00A409D7">
        <w:rPr>
          <w:lang w:bidi="en-US"/>
        </w:rPr>
        <w:t>Chapter 70 aid</w:t>
      </w:r>
      <w:r w:rsidR="00805D58" w:rsidRPr="00A409D7">
        <w:rPr>
          <w:lang w:bidi="en-US"/>
        </w:rPr>
        <w:t xml:space="preserve"> nor is it </w:t>
      </w:r>
      <w:r w:rsidR="00342F47" w:rsidRPr="00A409D7">
        <w:rPr>
          <w:lang w:bidi="en-US"/>
        </w:rPr>
        <w:t>intended to</w:t>
      </w:r>
      <w:r w:rsidR="00805D58" w:rsidRPr="00A409D7">
        <w:rPr>
          <w:lang w:bidi="en-US"/>
        </w:rPr>
        <w:t xml:space="preserve"> provide the primary</w:t>
      </w:r>
      <w:r w:rsidR="00342F47" w:rsidRPr="00A409D7">
        <w:rPr>
          <w:lang w:bidi="en-US"/>
        </w:rPr>
        <w:t xml:space="preserve"> </w:t>
      </w:r>
      <w:r w:rsidR="002E5659" w:rsidRPr="00A409D7">
        <w:rPr>
          <w:lang w:bidi="en-US"/>
        </w:rPr>
        <w:t>motiv</w:t>
      </w:r>
      <w:r w:rsidR="00805D58" w:rsidRPr="00A409D7">
        <w:rPr>
          <w:lang w:bidi="en-US"/>
        </w:rPr>
        <w:t>ation for</w:t>
      </w:r>
      <w:r w:rsidR="00342F47" w:rsidRPr="00A409D7">
        <w:rPr>
          <w:lang w:bidi="en-US"/>
        </w:rPr>
        <w:t xml:space="preserve"> districts to form new regions</w:t>
      </w:r>
      <w:r w:rsidR="00163DC1">
        <w:rPr>
          <w:lang w:bidi="en-US"/>
        </w:rPr>
        <w:t>;</w:t>
      </w:r>
      <w:r w:rsidR="00342F47" w:rsidRPr="00A409D7">
        <w:rPr>
          <w:lang w:bidi="en-US"/>
        </w:rPr>
        <w:t xml:space="preserve"> </w:t>
      </w:r>
      <w:r w:rsidR="002E5659" w:rsidRPr="00A409D7">
        <w:rPr>
          <w:lang w:bidi="en-US"/>
        </w:rPr>
        <w:t>other longer-term benefits should provide stronger incentive</w:t>
      </w:r>
      <w:r w:rsidR="00805D58" w:rsidRPr="00A409D7">
        <w:rPr>
          <w:lang w:bidi="en-US"/>
        </w:rPr>
        <w:t>s</w:t>
      </w:r>
      <w:r w:rsidR="00B074F3" w:rsidRPr="00A409D7">
        <w:rPr>
          <w:lang w:bidi="en-US"/>
        </w:rPr>
        <w:t>.</w:t>
      </w:r>
      <w:r w:rsidR="00805D58" w:rsidRPr="00A409D7">
        <w:rPr>
          <w:lang w:bidi="en-US"/>
        </w:rPr>
        <w:t xml:space="preserve"> T</w:t>
      </w:r>
      <w:r w:rsidR="009B281C">
        <w:rPr>
          <w:lang w:bidi="en-US"/>
        </w:rPr>
        <w:t xml:space="preserve">o the degree that broader regionalization </w:t>
      </w:r>
      <w:r w:rsidR="00AB0259">
        <w:rPr>
          <w:lang w:bidi="en-US"/>
        </w:rPr>
        <w:t xml:space="preserve">is </w:t>
      </w:r>
      <w:r w:rsidR="009B281C">
        <w:rPr>
          <w:lang w:bidi="en-US"/>
        </w:rPr>
        <w:t>pursued by districts</w:t>
      </w:r>
      <w:r w:rsidR="00AB0259">
        <w:rPr>
          <w:lang w:bidi="en-US"/>
        </w:rPr>
        <w:t xml:space="preserve"> in the future</w:t>
      </w:r>
      <w:r w:rsidR="009B281C">
        <w:rPr>
          <w:lang w:bidi="en-US"/>
        </w:rPr>
        <w:t xml:space="preserve">, the Commonwealth may wish to explore </w:t>
      </w:r>
      <w:r w:rsidR="00805D58" w:rsidRPr="00A409D7">
        <w:rPr>
          <w:lang w:bidi="en-US"/>
        </w:rPr>
        <w:t xml:space="preserve">ways to </w:t>
      </w:r>
      <w:r w:rsidRPr="00A409D7">
        <w:rPr>
          <w:lang w:bidi="en-US"/>
        </w:rPr>
        <w:t>re</w:t>
      </w:r>
      <w:r w:rsidR="00805D58" w:rsidRPr="00A409D7">
        <w:rPr>
          <w:lang w:bidi="en-US"/>
        </w:rPr>
        <w:t xml:space="preserve">formulate bonus aid </w:t>
      </w:r>
      <w:r w:rsidR="00AB0259">
        <w:rPr>
          <w:lang w:bidi="en-US"/>
        </w:rPr>
        <w:t>to focus</w:t>
      </w:r>
      <w:r w:rsidR="00BE2188">
        <w:rPr>
          <w:lang w:bidi="en-US"/>
        </w:rPr>
        <w:t xml:space="preserve"> on</w:t>
      </w:r>
      <w:r w:rsidR="009B281C">
        <w:rPr>
          <w:lang w:bidi="en-US"/>
        </w:rPr>
        <w:t xml:space="preserve"> </w:t>
      </w:r>
      <w:r w:rsidR="00BE2188">
        <w:rPr>
          <w:lang w:bidi="en-US"/>
        </w:rPr>
        <w:t xml:space="preserve">specific </w:t>
      </w:r>
      <w:r w:rsidR="009B281C">
        <w:rPr>
          <w:lang w:bidi="en-US"/>
        </w:rPr>
        <w:t xml:space="preserve">obstacles to </w:t>
      </w:r>
      <w:r w:rsidR="00BE2188">
        <w:rPr>
          <w:lang w:bidi="en-US"/>
        </w:rPr>
        <w:t xml:space="preserve">regionalization and </w:t>
      </w:r>
      <w:r w:rsidR="00805D58" w:rsidRPr="00A409D7">
        <w:rPr>
          <w:lang w:bidi="en-US"/>
        </w:rPr>
        <w:t>provide</w:t>
      </w:r>
      <w:r w:rsidR="00BE2188">
        <w:rPr>
          <w:lang w:bidi="en-US"/>
        </w:rPr>
        <w:t xml:space="preserve"> </w:t>
      </w:r>
      <w:r w:rsidR="00805D58" w:rsidRPr="00A409D7">
        <w:rPr>
          <w:lang w:bidi="en-US"/>
        </w:rPr>
        <w:t>support</w:t>
      </w:r>
      <w:r w:rsidR="00BE2188">
        <w:rPr>
          <w:lang w:bidi="en-US"/>
        </w:rPr>
        <w:t xml:space="preserve"> to </w:t>
      </w:r>
      <w:r w:rsidR="00AB0259">
        <w:rPr>
          <w:lang w:bidi="en-US"/>
        </w:rPr>
        <w:t>resolve these issues</w:t>
      </w:r>
      <w:r w:rsidR="00805D58" w:rsidRPr="00A409D7">
        <w:rPr>
          <w:lang w:bidi="en-US"/>
        </w:rPr>
        <w:t>.</w:t>
      </w:r>
    </w:p>
    <w:p w14:paraId="6D9A275E" w14:textId="77777777" w:rsidR="00EC32BF" w:rsidRDefault="00EC32BF" w:rsidP="00C927FE">
      <w:pPr>
        <w:ind w:left="360"/>
        <w:rPr>
          <w:b/>
          <w:lang w:bidi="en-US"/>
        </w:rPr>
      </w:pPr>
    </w:p>
    <w:p w14:paraId="4DE5301E" w14:textId="77777777" w:rsidR="00E25D7F" w:rsidRDefault="0021262E" w:rsidP="00E25D7F">
      <w:pPr>
        <w:rPr>
          <w:lang w:bidi="en-US"/>
        </w:rPr>
      </w:pPr>
      <w:r>
        <w:rPr>
          <w:lang w:bidi="en-US"/>
        </w:rPr>
        <w:t>There are a number of options that school districts and the Commonwealth can consider to mitigate the effects of declining enrol</w:t>
      </w:r>
      <w:r w:rsidR="00B074F3">
        <w:rPr>
          <w:lang w:bidi="en-US"/>
        </w:rPr>
        <w:t>lments in</w:t>
      </w:r>
      <w:r>
        <w:rPr>
          <w:lang w:bidi="en-US"/>
        </w:rPr>
        <w:t xml:space="preserve"> rural districts. </w:t>
      </w:r>
      <w:r w:rsidR="00B074F3">
        <w:rPr>
          <w:lang w:bidi="en-US"/>
        </w:rPr>
        <w:t xml:space="preserve">Addressing these issues in a substantive way will allow districts to improve resource allocation and improve service delivery. The </w:t>
      </w:r>
      <w:r w:rsidR="00805D58">
        <w:rPr>
          <w:lang w:bidi="en-US"/>
        </w:rPr>
        <w:t>issues</w:t>
      </w:r>
      <w:r w:rsidR="00B074F3">
        <w:rPr>
          <w:lang w:bidi="en-US"/>
        </w:rPr>
        <w:t xml:space="preserve"> facing these </w:t>
      </w:r>
      <w:r w:rsidR="00805D58">
        <w:rPr>
          <w:lang w:bidi="en-US"/>
        </w:rPr>
        <w:t>communities,</w:t>
      </w:r>
      <w:r w:rsidR="00B074F3">
        <w:rPr>
          <w:lang w:bidi="en-US"/>
        </w:rPr>
        <w:t xml:space="preserve"> however, go beyond </w:t>
      </w:r>
      <w:r w:rsidR="00805D58">
        <w:rPr>
          <w:lang w:bidi="en-US"/>
        </w:rPr>
        <w:t xml:space="preserve">the challenges facing their </w:t>
      </w:r>
      <w:r w:rsidR="00B074F3">
        <w:rPr>
          <w:lang w:bidi="en-US"/>
        </w:rPr>
        <w:t>schools. Ultimately, improving economic development, investing in infrastructure, improving linkages between the eastern, southeastern, and western</w:t>
      </w:r>
      <w:r w:rsidR="00805D58">
        <w:rPr>
          <w:lang w:bidi="en-US"/>
        </w:rPr>
        <w:t xml:space="preserve"> parts</w:t>
      </w:r>
      <w:r w:rsidR="00B074F3">
        <w:rPr>
          <w:lang w:bidi="en-US"/>
        </w:rPr>
        <w:t xml:space="preserve"> of the state can help stabilize population loss and put </w:t>
      </w:r>
      <w:r w:rsidR="00805D58">
        <w:rPr>
          <w:lang w:bidi="en-US"/>
        </w:rPr>
        <w:t xml:space="preserve">rural </w:t>
      </w:r>
      <w:r w:rsidR="00B074F3">
        <w:rPr>
          <w:lang w:bidi="en-US"/>
        </w:rPr>
        <w:t>communities on a more s</w:t>
      </w:r>
      <w:r w:rsidR="00805D58">
        <w:rPr>
          <w:lang w:bidi="en-US"/>
        </w:rPr>
        <w:t>ustainable</w:t>
      </w:r>
      <w:r w:rsidR="00B074F3">
        <w:rPr>
          <w:lang w:bidi="en-US"/>
        </w:rPr>
        <w:t xml:space="preserve"> economic footing </w:t>
      </w:r>
      <w:r w:rsidR="00805D58">
        <w:rPr>
          <w:lang w:bidi="en-US"/>
        </w:rPr>
        <w:t xml:space="preserve">that will allow them </w:t>
      </w:r>
      <w:r w:rsidR="00B074F3">
        <w:rPr>
          <w:lang w:bidi="en-US"/>
        </w:rPr>
        <w:t xml:space="preserve">to </w:t>
      </w:r>
      <w:r w:rsidR="00805D58">
        <w:rPr>
          <w:lang w:bidi="en-US"/>
        </w:rPr>
        <w:t xml:space="preserve">better </w:t>
      </w:r>
      <w:r w:rsidR="00B074F3">
        <w:rPr>
          <w:lang w:bidi="en-US"/>
        </w:rPr>
        <w:t xml:space="preserve">address the needs of their students and families. </w:t>
      </w:r>
    </w:p>
    <w:p w14:paraId="6C73C92F" w14:textId="77777777" w:rsidR="00A9589D" w:rsidRDefault="00A9589D">
      <w:pPr>
        <w:rPr>
          <w:lang w:bidi="en-US"/>
        </w:rPr>
      </w:pPr>
    </w:p>
    <w:p w14:paraId="30FA0B8F" w14:textId="77777777" w:rsidR="00741A9A" w:rsidRPr="00741A9A" w:rsidRDefault="00741A9A" w:rsidP="00741A9A">
      <w:pPr>
        <w:rPr>
          <w:lang w:bidi="en-US"/>
        </w:rPr>
      </w:pPr>
    </w:p>
    <w:p w14:paraId="039A2D9E" w14:textId="77777777" w:rsidR="00472DAF" w:rsidRDefault="00472DAF" w:rsidP="00741A9A">
      <w:pPr>
        <w:rPr>
          <w:lang w:bidi="en-US"/>
        </w:rPr>
        <w:sectPr w:rsidR="00472DAF" w:rsidSect="00FA4067">
          <w:footerReference w:type="default" r:id="rId29"/>
          <w:pgSz w:w="12240" w:h="15840"/>
          <w:pgMar w:top="1440" w:right="1440" w:bottom="1440" w:left="1440" w:header="720" w:footer="720" w:gutter="0"/>
          <w:cols w:space="720"/>
          <w:docGrid w:linePitch="326"/>
        </w:sectPr>
      </w:pPr>
    </w:p>
    <w:p w14:paraId="4CD4B082" w14:textId="77777777" w:rsidR="00741A9A" w:rsidRPr="00741A9A" w:rsidRDefault="00CB7D25" w:rsidP="00CB7D25">
      <w:pPr>
        <w:pStyle w:val="Heading1"/>
        <w:rPr>
          <w:lang w:bidi="en-US"/>
        </w:rPr>
      </w:pPr>
      <w:bookmarkStart w:id="12" w:name="_Toc503258038"/>
      <w:r>
        <w:rPr>
          <w:lang w:bidi="en-US"/>
        </w:rPr>
        <w:lastRenderedPageBreak/>
        <w:t>Appendix A: Rural district data</w:t>
      </w:r>
      <w:bookmarkEnd w:id="12"/>
    </w:p>
    <w:p w14:paraId="16844837" w14:textId="77777777" w:rsidR="00741A9A" w:rsidRPr="00741A9A" w:rsidRDefault="00741A9A" w:rsidP="00741A9A">
      <w:pPr>
        <w:rPr>
          <w:lang w:bidi="en-US"/>
        </w:rPr>
      </w:pPr>
    </w:p>
    <w:tbl>
      <w:tblPr>
        <w:tblStyle w:val="ESETablesOpenStyle"/>
        <w:tblW w:w="0" w:type="auto"/>
        <w:tblLook w:val="04A0" w:firstRow="1" w:lastRow="0" w:firstColumn="1" w:lastColumn="0" w:noHBand="0" w:noVBand="1"/>
      </w:tblPr>
      <w:tblGrid>
        <w:gridCol w:w="718"/>
        <w:gridCol w:w="5321"/>
        <w:gridCol w:w="995"/>
        <w:gridCol w:w="1127"/>
        <w:gridCol w:w="1048"/>
        <w:gridCol w:w="777"/>
        <w:gridCol w:w="777"/>
        <w:gridCol w:w="977"/>
        <w:gridCol w:w="1053"/>
        <w:gridCol w:w="1044"/>
        <w:gridCol w:w="700"/>
        <w:gridCol w:w="1277"/>
        <w:gridCol w:w="1113"/>
        <w:gridCol w:w="900"/>
        <w:gridCol w:w="900"/>
        <w:gridCol w:w="979"/>
        <w:gridCol w:w="916"/>
        <w:gridCol w:w="958"/>
      </w:tblGrid>
      <w:tr w:rsidR="00494E93" w:rsidRPr="00472DAF" w14:paraId="713D0F22" w14:textId="77777777" w:rsidTr="004C40CC">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single" w:sz="8" w:space="0" w:color="auto"/>
              <w:bottom w:val="nil"/>
              <w:right w:val="single" w:sz="8" w:space="0" w:color="auto"/>
            </w:tcBorders>
            <w:noWrap/>
            <w:hideMark/>
          </w:tcPr>
          <w:p w14:paraId="6BD3296A" w14:textId="77777777" w:rsidR="007951BE" w:rsidRPr="00472DAF" w:rsidRDefault="007951BE" w:rsidP="00472DAF">
            <w:pPr>
              <w:rPr>
                <w:rFonts w:ascii="Calibri" w:hAnsi="Calibri"/>
                <w:color w:val="000000"/>
                <w:szCs w:val="22"/>
              </w:rPr>
            </w:pPr>
          </w:p>
        </w:tc>
        <w:tc>
          <w:tcPr>
            <w:tcW w:w="0" w:type="auto"/>
            <w:tcBorders>
              <w:top w:val="single" w:sz="8" w:space="0" w:color="auto"/>
              <w:left w:val="single" w:sz="8" w:space="0" w:color="auto"/>
              <w:bottom w:val="nil"/>
              <w:right w:val="single" w:sz="8" w:space="0" w:color="auto"/>
            </w:tcBorders>
            <w:noWrap/>
            <w:hideMark/>
          </w:tcPr>
          <w:p w14:paraId="1EE8B3A2" w14:textId="77777777" w:rsidR="007951BE"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tcBorders>
              <w:top w:val="single" w:sz="8" w:space="0" w:color="auto"/>
              <w:left w:val="single" w:sz="8" w:space="0" w:color="auto"/>
              <w:bottom w:val="nil"/>
              <w:right w:val="single" w:sz="8" w:space="0" w:color="auto"/>
            </w:tcBorders>
            <w:hideMark/>
          </w:tcPr>
          <w:p w14:paraId="60400586" w14:textId="77777777" w:rsidR="007951BE"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tcBorders>
              <w:top w:val="single" w:sz="8" w:space="0" w:color="auto"/>
              <w:left w:val="single" w:sz="8" w:space="0" w:color="auto"/>
              <w:bottom w:val="nil"/>
              <w:right w:val="single" w:sz="8" w:space="0" w:color="auto"/>
            </w:tcBorders>
            <w:hideMark/>
          </w:tcPr>
          <w:p w14:paraId="1320BDF3" w14:textId="77777777" w:rsidR="007951BE" w:rsidRDefault="007951BE" w:rsidP="00CB7D2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tcBorders>
              <w:top w:val="single" w:sz="8" w:space="0" w:color="auto"/>
              <w:left w:val="single" w:sz="8" w:space="0" w:color="auto"/>
              <w:bottom w:val="nil"/>
              <w:right w:val="single" w:sz="8" w:space="0" w:color="auto"/>
            </w:tcBorders>
            <w:hideMark/>
          </w:tcPr>
          <w:p w14:paraId="6A23C5B4" w14:textId="77777777" w:rsidR="007951BE" w:rsidRPr="00472DAF" w:rsidRDefault="007951BE" w:rsidP="00CB7D2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gridSpan w:val="3"/>
            <w:tcBorders>
              <w:top w:val="single" w:sz="8" w:space="0" w:color="auto"/>
              <w:left w:val="single" w:sz="8" w:space="0" w:color="auto"/>
              <w:bottom w:val="single" w:sz="8" w:space="0" w:color="auto"/>
              <w:right w:val="single" w:sz="8" w:space="0" w:color="auto"/>
            </w:tcBorders>
            <w:hideMark/>
          </w:tcPr>
          <w:p w14:paraId="79646D98" w14:textId="77777777" w:rsidR="007951BE"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Enrollment</w:t>
            </w:r>
          </w:p>
        </w:tc>
        <w:tc>
          <w:tcPr>
            <w:tcW w:w="0" w:type="auto"/>
            <w:tcBorders>
              <w:top w:val="single" w:sz="8" w:space="0" w:color="auto"/>
              <w:left w:val="single" w:sz="8" w:space="0" w:color="auto"/>
              <w:bottom w:val="single" w:sz="8" w:space="0" w:color="auto"/>
              <w:right w:val="single" w:sz="8" w:space="0" w:color="auto"/>
            </w:tcBorders>
            <w:hideMark/>
          </w:tcPr>
          <w:p w14:paraId="1CCD4CF1" w14:textId="77777777" w:rsidR="007951BE"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gridSpan w:val="4"/>
            <w:tcBorders>
              <w:top w:val="single" w:sz="8" w:space="0" w:color="auto"/>
              <w:left w:val="single" w:sz="8" w:space="0" w:color="auto"/>
              <w:bottom w:val="single" w:sz="8" w:space="0" w:color="auto"/>
              <w:right w:val="single" w:sz="8" w:space="0" w:color="auto"/>
            </w:tcBorders>
            <w:hideMark/>
          </w:tcPr>
          <w:p w14:paraId="0B0D829C" w14:textId="77777777" w:rsidR="007951BE"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FY17 Staffing levels</w:t>
            </w:r>
          </w:p>
        </w:tc>
        <w:tc>
          <w:tcPr>
            <w:tcW w:w="0" w:type="auto"/>
            <w:gridSpan w:val="3"/>
            <w:tcBorders>
              <w:top w:val="single" w:sz="8" w:space="0" w:color="auto"/>
              <w:left w:val="single" w:sz="8" w:space="0" w:color="auto"/>
              <w:bottom w:val="single" w:sz="8" w:space="0" w:color="auto"/>
              <w:right w:val="single" w:sz="8" w:space="0" w:color="auto"/>
            </w:tcBorders>
            <w:hideMark/>
          </w:tcPr>
          <w:p w14:paraId="205851F9" w14:textId="77777777" w:rsidR="007951BE" w:rsidRPr="00472DAF" w:rsidRDefault="007951BE"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In-district per pupil spending</w:t>
            </w:r>
          </w:p>
        </w:tc>
        <w:tc>
          <w:tcPr>
            <w:tcW w:w="0" w:type="auto"/>
            <w:gridSpan w:val="2"/>
            <w:tcBorders>
              <w:top w:val="single" w:sz="8" w:space="0" w:color="auto"/>
              <w:left w:val="single" w:sz="8" w:space="0" w:color="auto"/>
              <w:bottom w:val="single" w:sz="8" w:space="0" w:color="auto"/>
              <w:right w:val="single" w:sz="8" w:space="0" w:color="auto"/>
            </w:tcBorders>
            <w:hideMark/>
          </w:tcPr>
          <w:p w14:paraId="774D72E1" w14:textId="77777777" w:rsidR="007951BE"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FY17 School choice</w:t>
            </w:r>
          </w:p>
        </w:tc>
      </w:tr>
      <w:tr w:rsidR="00494E93" w:rsidRPr="00472DAF" w14:paraId="03D2E74B" w14:textId="77777777" w:rsidTr="004C40CC">
        <w:trPr>
          <w:cnfStyle w:val="100000000000" w:firstRow="1" w:lastRow="0" w:firstColumn="0" w:lastColumn="0" w:oddVBand="0" w:evenVBand="0" w:oddHBand="0" w:evenHBand="0" w:firstRowFirstColumn="0" w:firstRowLastColumn="0" w:lastRowFirstColumn="0" w:lastRowLastColumn="0"/>
          <w:trHeight w:val="902"/>
          <w:tblHeader/>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auto"/>
              <w:right w:val="single" w:sz="8" w:space="0" w:color="auto"/>
            </w:tcBorders>
            <w:noWrap/>
            <w:hideMark/>
          </w:tcPr>
          <w:p w14:paraId="4E7A6CAF" w14:textId="77777777" w:rsidR="00472DAF" w:rsidRPr="00472DAF" w:rsidRDefault="00472DAF" w:rsidP="00472DAF">
            <w:pPr>
              <w:rPr>
                <w:rFonts w:ascii="Calibri" w:hAnsi="Calibri"/>
                <w:color w:val="000000"/>
                <w:szCs w:val="22"/>
              </w:rPr>
            </w:pPr>
            <w:r w:rsidRPr="00472DAF">
              <w:rPr>
                <w:rFonts w:ascii="Calibri" w:hAnsi="Calibri"/>
                <w:color w:val="000000"/>
                <w:szCs w:val="22"/>
              </w:rPr>
              <w:t>LEA</w:t>
            </w:r>
          </w:p>
        </w:tc>
        <w:tc>
          <w:tcPr>
            <w:tcW w:w="0" w:type="auto"/>
            <w:tcBorders>
              <w:top w:val="nil"/>
              <w:left w:val="single" w:sz="8" w:space="0" w:color="auto"/>
              <w:right w:val="single" w:sz="8" w:space="0" w:color="auto"/>
            </w:tcBorders>
            <w:noWrap/>
            <w:hideMark/>
          </w:tcPr>
          <w:p w14:paraId="49A84D9D" w14:textId="77777777" w:rsidR="00472DAF" w:rsidRP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District</w:t>
            </w:r>
          </w:p>
        </w:tc>
        <w:tc>
          <w:tcPr>
            <w:tcW w:w="0" w:type="auto"/>
            <w:tcBorders>
              <w:top w:val="nil"/>
              <w:left w:val="single" w:sz="8" w:space="0" w:color="auto"/>
              <w:right w:val="single" w:sz="8" w:space="0" w:color="auto"/>
            </w:tcBorders>
            <w:hideMark/>
          </w:tcPr>
          <w:p w14:paraId="58B66A48" w14:textId="77777777" w:rsidR="00472DAF" w:rsidRP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N Schools</w:t>
            </w:r>
          </w:p>
        </w:tc>
        <w:tc>
          <w:tcPr>
            <w:tcW w:w="0" w:type="auto"/>
            <w:tcBorders>
              <w:top w:val="nil"/>
              <w:left w:val="single" w:sz="8" w:space="0" w:color="auto"/>
              <w:right w:val="single" w:sz="8" w:space="0" w:color="auto"/>
            </w:tcBorders>
            <w:hideMark/>
          </w:tcPr>
          <w:p w14:paraId="69183BB9" w14:textId="77777777" w:rsidR="00472DAF" w:rsidRPr="00472DAF" w:rsidRDefault="00CB7D25" w:rsidP="00CB7D2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N M</w:t>
            </w:r>
            <w:r w:rsidR="00472DAF" w:rsidRPr="00472DAF">
              <w:rPr>
                <w:rFonts w:ascii="Calibri" w:hAnsi="Calibri"/>
                <w:color w:val="000000"/>
                <w:szCs w:val="22"/>
              </w:rPr>
              <w:t xml:space="preserve">ember </w:t>
            </w:r>
            <w:r>
              <w:rPr>
                <w:rFonts w:ascii="Calibri" w:hAnsi="Calibri"/>
                <w:color w:val="000000"/>
                <w:szCs w:val="22"/>
              </w:rPr>
              <w:t>t</w:t>
            </w:r>
            <w:r w:rsidR="00472DAF" w:rsidRPr="00472DAF">
              <w:rPr>
                <w:rFonts w:ascii="Calibri" w:hAnsi="Calibri"/>
                <w:color w:val="000000"/>
                <w:szCs w:val="22"/>
              </w:rPr>
              <w:t>owns</w:t>
            </w:r>
          </w:p>
        </w:tc>
        <w:tc>
          <w:tcPr>
            <w:tcW w:w="0" w:type="auto"/>
            <w:tcBorders>
              <w:top w:val="nil"/>
              <w:left w:val="single" w:sz="8" w:space="0" w:color="auto"/>
              <w:right w:val="single" w:sz="8" w:space="0" w:color="auto"/>
            </w:tcBorders>
            <w:hideMark/>
          </w:tcPr>
          <w:p w14:paraId="61B813CD" w14:textId="77777777" w:rsidR="00472DAF" w:rsidRPr="00472DAF" w:rsidRDefault="00472DAF" w:rsidP="00CB7D2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xml:space="preserve">Square </w:t>
            </w:r>
            <w:r w:rsidR="00CB7D25">
              <w:rPr>
                <w:rFonts w:ascii="Calibri" w:hAnsi="Calibri"/>
                <w:color w:val="000000"/>
                <w:szCs w:val="22"/>
              </w:rPr>
              <w:t>m</w:t>
            </w:r>
            <w:r w:rsidRPr="00472DAF">
              <w:rPr>
                <w:rFonts w:ascii="Calibri" w:hAnsi="Calibri"/>
                <w:color w:val="000000"/>
                <w:szCs w:val="22"/>
              </w:rPr>
              <w:t>ileage</w:t>
            </w:r>
          </w:p>
        </w:tc>
        <w:tc>
          <w:tcPr>
            <w:tcW w:w="0" w:type="auto"/>
            <w:tcBorders>
              <w:top w:val="single" w:sz="8" w:space="0" w:color="auto"/>
              <w:left w:val="single" w:sz="8" w:space="0" w:color="auto"/>
              <w:right w:val="single" w:sz="8" w:space="0" w:color="auto"/>
            </w:tcBorders>
            <w:hideMark/>
          </w:tcPr>
          <w:p w14:paraId="6DDC9961" w14:textId="77777777" w:rsid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FY08</w:t>
            </w:r>
          </w:p>
          <w:p w14:paraId="42F50C62"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tcBorders>
              <w:top w:val="single" w:sz="8" w:space="0" w:color="auto"/>
              <w:left w:val="single" w:sz="8" w:space="0" w:color="auto"/>
              <w:right w:val="single" w:sz="8" w:space="0" w:color="auto"/>
            </w:tcBorders>
            <w:hideMark/>
          </w:tcPr>
          <w:p w14:paraId="4DE8E60A" w14:textId="77777777" w:rsid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FY17</w:t>
            </w:r>
          </w:p>
          <w:p w14:paraId="7ACDF0AF"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tcBorders>
              <w:top w:val="single" w:sz="8" w:space="0" w:color="auto"/>
              <w:left w:val="single" w:sz="8" w:space="0" w:color="auto"/>
              <w:right w:val="single" w:sz="8" w:space="0" w:color="auto"/>
            </w:tcBorders>
            <w:hideMark/>
          </w:tcPr>
          <w:p w14:paraId="49976EB9" w14:textId="77777777" w:rsidR="00472DAF" w:rsidRP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Change</w:t>
            </w:r>
          </w:p>
        </w:tc>
        <w:tc>
          <w:tcPr>
            <w:tcW w:w="0" w:type="auto"/>
            <w:tcBorders>
              <w:top w:val="single" w:sz="8" w:space="0" w:color="auto"/>
              <w:left w:val="single" w:sz="8" w:space="0" w:color="auto"/>
              <w:right w:val="single" w:sz="8" w:space="0" w:color="auto"/>
            </w:tcBorders>
            <w:hideMark/>
          </w:tcPr>
          <w:p w14:paraId="517F8081"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xml:space="preserve"> Student Density</w:t>
            </w:r>
          </w:p>
        </w:tc>
        <w:tc>
          <w:tcPr>
            <w:tcW w:w="0" w:type="auto"/>
            <w:tcBorders>
              <w:top w:val="single" w:sz="8" w:space="0" w:color="auto"/>
              <w:left w:val="single" w:sz="8" w:space="0" w:color="auto"/>
              <w:right w:val="single" w:sz="8" w:space="0" w:color="auto"/>
            </w:tcBorders>
            <w:hideMark/>
          </w:tcPr>
          <w:p w14:paraId="2371B1C7"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Teacher FTEs</w:t>
            </w:r>
          </w:p>
        </w:tc>
        <w:tc>
          <w:tcPr>
            <w:tcW w:w="0" w:type="auto"/>
            <w:tcBorders>
              <w:top w:val="single" w:sz="8" w:space="0" w:color="auto"/>
              <w:left w:val="single" w:sz="8" w:space="0" w:color="auto"/>
              <w:right w:val="single" w:sz="8" w:space="0" w:color="auto"/>
            </w:tcBorders>
            <w:hideMark/>
          </w:tcPr>
          <w:p w14:paraId="5BBDDBC2"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Para FTEs</w:t>
            </w:r>
          </w:p>
        </w:tc>
        <w:tc>
          <w:tcPr>
            <w:tcW w:w="0" w:type="auto"/>
            <w:tcBorders>
              <w:top w:val="single" w:sz="8" w:space="0" w:color="auto"/>
              <w:left w:val="single" w:sz="8" w:space="0" w:color="auto"/>
              <w:right w:val="single" w:sz="8" w:space="0" w:color="auto"/>
            </w:tcBorders>
            <w:hideMark/>
          </w:tcPr>
          <w:p w14:paraId="1DA491B9"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Teachers</w:t>
            </w:r>
            <w:r w:rsidR="007951BE">
              <w:rPr>
                <w:rFonts w:ascii="Calibri" w:hAnsi="Calibri"/>
                <w:color w:val="000000"/>
                <w:szCs w:val="22"/>
              </w:rPr>
              <w:t>/</w:t>
            </w:r>
            <w:r w:rsidRPr="00472DAF">
              <w:rPr>
                <w:rFonts w:ascii="Calibri" w:hAnsi="Calibri"/>
                <w:color w:val="000000"/>
                <w:szCs w:val="22"/>
              </w:rPr>
              <w:t xml:space="preserve"> 100 students</w:t>
            </w:r>
          </w:p>
        </w:tc>
        <w:tc>
          <w:tcPr>
            <w:tcW w:w="0" w:type="auto"/>
            <w:tcBorders>
              <w:top w:val="single" w:sz="8" w:space="0" w:color="auto"/>
              <w:left w:val="single" w:sz="8" w:space="0" w:color="auto"/>
              <w:right w:val="single" w:sz="8" w:space="0" w:color="auto"/>
            </w:tcBorders>
            <w:hideMark/>
          </w:tcPr>
          <w:p w14:paraId="4D771D6E" w14:textId="77777777" w:rsidR="007951BE"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Paras</w:t>
            </w:r>
            <w:r w:rsidR="007951BE">
              <w:rPr>
                <w:rFonts w:ascii="Calibri" w:hAnsi="Calibri"/>
                <w:color w:val="000000"/>
                <w:szCs w:val="22"/>
              </w:rPr>
              <w:t>/</w:t>
            </w:r>
          </w:p>
          <w:p w14:paraId="6DB0D9C7"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100 students</w:t>
            </w:r>
          </w:p>
        </w:tc>
        <w:tc>
          <w:tcPr>
            <w:tcW w:w="0" w:type="auto"/>
            <w:tcBorders>
              <w:top w:val="single" w:sz="8" w:space="0" w:color="auto"/>
              <w:left w:val="single" w:sz="8" w:space="0" w:color="auto"/>
              <w:right w:val="single" w:sz="8" w:space="0" w:color="auto"/>
            </w:tcBorders>
            <w:hideMark/>
          </w:tcPr>
          <w:p w14:paraId="349F98CF"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xml:space="preserve">FY08 </w:t>
            </w:r>
          </w:p>
        </w:tc>
        <w:tc>
          <w:tcPr>
            <w:tcW w:w="0" w:type="auto"/>
            <w:tcBorders>
              <w:top w:val="single" w:sz="8" w:space="0" w:color="auto"/>
              <w:left w:val="single" w:sz="8" w:space="0" w:color="auto"/>
              <w:right w:val="single" w:sz="8" w:space="0" w:color="auto"/>
            </w:tcBorders>
            <w:hideMark/>
          </w:tcPr>
          <w:p w14:paraId="69B61E3B" w14:textId="77777777" w:rsidR="00472DAF" w:rsidRPr="00472DAF" w:rsidRDefault="00472DAF" w:rsidP="007951BE">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xml:space="preserve">FY16 </w:t>
            </w:r>
          </w:p>
        </w:tc>
        <w:tc>
          <w:tcPr>
            <w:tcW w:w="0" w:type="auto"/>
            <w:tcBorders>
              <w:top w:val="single" w:sz="8" w:space="0" w:color="auto"/>
              <w:left w:val="single" w:sz="8" w:space="0" w:color="auto"/>
              <w:right w:val="single" w:sz="8" w:space="0" w:color="auto"/>
            </w:tcBorders>
            <w:hideMark/>
          </w:tcPr>
          <w:p w14:paraId="0AB29FE5" w14:textId="77777777" w:rsidR="00472DAF" w:rsidRPr="00472DAF" w:rsidRDefault="00472DAF"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 Change</w:t>
            </w:r>
          </w:p>
        </w:tc>
        <w:tc>
          <w:tcPr>
            <w:tcW w:w="0" w:type="auto"/>
            <w:tcBorders>
              <w:top w:val="single" w:sz="8" w:space="0" w:color="auto"/>
              <w:left w:val="single" w:sz="8" w:space="0" w:color="auto"/>
              <w:right w:val="single" w:sz="8" w:space="0" w:color="auto"/>
            </w:tcBorders>
            <w:hideMark/>
          </w:tcPr>
          <w:p w14:paraId="01ACBB3C" w14:textId="77777777" w:rsidR="00472DAF" w:rsidRPr="00472DAF" w:rsidRDefault="007951BE"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 xml:space="preserve">Choice </w:t>
            </w:r>
            <w:r w:rsidR="00472DAF" w:rsidRPr="00472DAF">
              <w:rPr>
                <w:rFonts w:ascii="Calibri" w:hAnsi="Calibri"/>
                <w:color w:val="000000"/>
                <w:szCs w:val="22"/>
              </w:rPr>
              <w:t>FTEs</w:t>
            </w:r>
          </w:p>
        </w:tc>
        <w:tc>
          <w:tcPr>
            <w:tcW w:w="0" w:type="auto"/>
            <w:tcBorders>
              <w:top w:val="single" w:sz="8" w:space="0" w:color="auto"/>
              <w:left w:val="single" w:sz="8" w:space="0" w:color="auto"/>
              <w:right w:val="single" w:sz="8" w:space="0" w:color="auto"/>
            </w:tcBorders>
            <w:hideMark/>
          </w:tcPr>
          <w:p w14:paraId="5A979242" w14:textId="77777777" w:rsidR="00472DAF" w:rsidRPr="00472DAF" w:rsidRDefault="00CB7D25" w:rsidP="00472DAF">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C</w:t>
            </w:r>
            <w:r w:rsidR="00472DAF" w:rsidRPr="00472DAF">
              <w:rPr>
                <w:rFonts w:ascii="Calibri" w:hAnsi="Calibri"/>
                <w:color w:val="000000"/>
                <w:szCs w:val="22"/>
              </w:rPr>
              <w:t>hoice % of total enro</w:t>
            </w:r>
          </w:p>
        </w:tc>
      </w:tr>
      <w:tr w:rsidR="00494E93" w:rsidRPr="00472DAF" w14:paraId="635B9B63"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4CFFCF49" w14:textId="77777777" w:rsidR="00494E93" w:rsidRPr="00472DAF" w:rsidRDefault="00494E93" w:rsidP="00472DAF">
            <w:pPr>
              <w:rPr>
                <w:rFonts w:ascii="Calibri" w:hAnsi="Calibri"/>
                <w:color w:val="000000"/>
                <w:szCs w:val="22"/>
              </w:rPr>
            </w:pPr>
            <w:r w:rsidRPr="00472DAF">
              <w:rPr>
                <w:rFonts w:ascii="Calibri" w:hAnsi="Calibri"/>
                <w:color w:val="000000"/>
                <w:szCs w:val="22"/>
              </w:rPr>
              <w:t>0028</w:t>
            </w:r>
          </w:p>
        </w:tc>
        <w:tc>
          <w:tcPr>
            <w:tcW w:w="0" w:type="auto"/>
            <w:noWrap/>
            <w:hideMark/>
          </w:tcPr>
          <w:p w14:paraId="0CBFEF5A"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Berlin</w:t>
            </w:r>
          </w:p>
        </w:tc>
        <w:tc>
          <w:tcPr>
            <w:tcW w:w="0" w:type="auto"/>
            <w:noWrap/>
            <w:hideMark/>
          </w:tcPr>
          <w:p w14:paraId="3A4DFC4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5CD40C8E"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4DF2787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12.97</w:t>
            </w:r>
          </w:p>
        </w:tc>
        <w:tc>
          <w:tcPr>
            <w:tcW w:w="0" w:type="auto"/>
            <w:noWrap/>
            <w:hideMark/>
          </w:tcPr>
          <w:p w14:paraId="6A04D8C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216</w:t>
            </w:r>
          </w:p>
        </w:tc>
        <w:tc>
          <w:tcPr>
            <w:tcW w:w="0" w:type="auto"/>
            <w:noWrap/>
            <w:hideMark/>
          </w:tcPr>
          <w:p w14:paraId="56FE33A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190</w:t>
            </w:r>
          </w:p>
        </w:tc>
        <w:tc>
          <w:tcPr>
            <w:tcW w:w="0" w:type="auto"/>
            <w:noWrap/>
            <w:hideMark/>
          </w:tcPr>
          <w:p w14:paraId="7111295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-12.0%</w:t>
            </w:r>
          </w:p>
        </w:tc>
        <w:tc>
          <w:tcPr>
            <w:tcW w:w="0" w:type="auto"/>
            <w:noWrap/>
            <w:hideMark/>
          </w:tcPr>
          <w:p w14:paraId="3A6C095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12.3</w:t>
            </w:r>
          </w:p>
        </w:tc>
        <w:tc>
          <w:tcPr>
            <w:tcW w:w="0" w:type="auto"/>
            <w:noWrap/>
            <w:hideMark/>
          </w:tcPr>
          <w:p w14:paraId="5DAEDF2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16.3</w:t>
            </w:r>
          </w:p>
        </w:tc>
        <w:tc>
          <w:tcPr>
            <w:tcW w:w="0" w:type="auto"/>
            <w:noWrap/>
            <w:hideMark/>
          </w:tcPr>
          <w:p w14:paraId="18B42D9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noWrap/>
            <w:hideMark/>
          </w:tcPr>
          <w:p w14:paraId="5344EF5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8.6</w:t>
            </w:r>
          </w:p>
        </w:tc>
        <w:tc>
          <w:tcPr>
            <w:tcW w:w="0" w:type="auto"/>
            <w:noWrap/>
            <w:hideMark/>
          </w:tcPr>
          <w:p w14:paraId="169DAF8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w:t>
            </w:r>
          </w:p>
        </w:tc>
        <w:tc>
          <w:tcPr>
            <w:tcW w:w="0" w:type="auto"/>
            <w:noWrap/>
            <w:hideMark/>
          </w:tcPr>
          <w:p w14:paraId="3A636AE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14,546</w:t>
            </w:r>
          </w:p>
        </w:tc>
        <w:tc>
          <w:tcPr>
            <w:tcW w:w="0" w:type="auto"/>
            <w:noWrap/>
            <w:hideMark/>
          </w:tcPr>
          <w:p w14:paraId="1308840C"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19,357</w:t>
            </w:r>
          </w:p>
        </w:tc>
        <w:tc>
          <w:tcPr>
            <w:tcW w:w="0" w:type="auto"/>
            <w:noWrap/>
            <w:hideMark/>
          </w:tcPr>
          <w:p w14:paraId="48BE845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33.1%</w:t>
            </w:r>
          </w:p>
        </w:tc>
        <w:tc>
          <w:tcPr>
            <w:tcW w:w="0" w:type="auto"/>
            <w:noWrap/>
            <w:hideMark/>
          </w:tcPr>
          <w:p w14:paraId="4FE70DF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17.9</w:t>
            </w:r>
          </w:p>
        </w:tc>
        <w:tc>
          <w:tcPr>
            <w:tcW w:w="0" w:type="auto"/>
            <w:noWrap/>
            <w:hideMark/>
          </w:tcPr>
          <w:p w14:paraId="6E0F7DD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9.4%</w:t>
            </w:r>
          </w:p>
        </w:tc>
      </w:tr>
      <w:tr w:rsidR="003B6049" w:rsidRPr="00472DAF" w14:paraId="53C27CF8"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C650F96" w14:textId="77777777" w:rsidR="00494E93" w:rsidRPr="00472DAF" w:rsidRDefault="00494E93" w:rsidP="00472DAF">
            <w:pPr>
              <w:rPr>
                <w:rFonts w:ascii="Calibri" w:hAnsi="Calibri"/>
                <w:color w:val="000000"/>
                <w:szCs w:val="22"/>
              </w:rPr>
            </w:pPr>
            <w:r w:rsidRPr="00472DAF">
              <w:rPr>
                <w:rFonts w:ascii="Calibri" w:hAnsi="Calibri"/>
                <w:color w:val="000000"/>
                <w:szCs w:val="22"/>
              </w:rPr>
              <w:t>0043</w:t>
            </w:r>
          </w:p>
        </w:tc>
        <w:tc>
          <w:tcPr>
            <w:tcW w:w="0" w:type="auto"/>
            <w:shd w:val="clear" w:color="auto" w:fill="D9D9D9" w:themeFill="background1" w:themeFillShade="D9"/>
            <w:noWrap/>
            <w:hideMark/>
          </w:tcPr>
          <w:p w14:paraId="5C13D98A"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Brimfield</w:t>
            </w:r>
          </w:p>
        </w:tc>
        <w:tc>
          <w:tcPr>
            <w:tcW w:w="0" w:type="auto"/>
            <w:shd w:val="clear" w:color="auto" w:fill="D9D9D9" w:themeFill="background1" w:themeFillShade="D9"/>
            <w:noWrap/>
            <w:hideMark/>
          </w:tcPr>
          <w:p w14:paraId="008D5A2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49C7530B"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7EC9A98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34.74</w:t>
            </w:r>
          </w:p>
        </w:tc>
        <w:tc>
          <w:tcPr>
            <w:tcW w:w="0" w:type="auto"/>
            <w:shd w:val="clear" w:color="auto" w:fill="D9D9D9" w:themeFill="background1" w:themeFillShade="D9"/>
            <w:noWrap/>
            <w:hideMark/>
          </w:tcPr>
          <w:p w14:paraId="1979B8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350</w:t>
            </w:r>
          </w:p>
        </w:tc>
        <w:tc>
          <w:tcPr>
            <w:tcW w:w="0" w:type="auto"/>
            <w:shd w:val="clear" w:color="auto" w:fill="D9D9D9" w:themeFill="background1" w:themeFillShade="D9"/>
            <w:noWrap/>
            <w:hideMark/>
          </w:tcPr>
          <w:p w14:paraId="6D9D393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285</w:t>
            </w:r>
          </w:p>
        </w:tc>
        <w:tc>
          <w:tcPr>
            <w:tcW w:w="0" w:type="auto"/>
            <w:shd w:val="clear" w:color="auto" w:fill="D9D9D9" w:themeFill="background1" w:themeFillShade="D9"/>
            <w:noWrap/>
            <w:hideMark/>
          </w:tcPr>
          <w:p w14:paraId="43AA1E3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-18.6%</w:t>
            </w:r>
          </w:p>
        </w:tc>
        <w:tc>
          <w:tcPr>
            <w:tcW w:w="0" w:type="auto"/>
            <w:shd w:val="clear" w:color="auto" w:fill="D9D9D9" w:themeFill="background1" w:themeFillShade="D9"/>
            <w:noWrap/>
            <w:hideMark/>
          </w:tcPr>
          <w:p w14:paraId="70563FC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7.7</w:t>
            </w:r>
          </w:p>
        </w:tc>
        <w:tc>
          <w:tcPr>
            <w:tcW w:w="0" w:type="auto"/>
            <w:shd w:val="clear" w:color="auto" w:fill="D9D9D9" w:themeFill="background1" w:themeFillShade="D9"/>
            <w:noWrap/>
            <w:hideMark/>
          </w:tcPr>
          <w:p w14:paraId="37D8C12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26.4</w:t>
            </w:r>
          </w:p>
        </w:tc>
        <w:tc>
          <w:tcPr>
            <w:tcW w:w="0" w:type="auto"/>
            <w:shd w:val="clear" w:color="auto" w:fill="D9D9D9" w:themeFill="background1" w:themeFillShade="D9"/>
            <w:noWrap/>
            <w:hideMark/>
          </w:tcPr>
          <w:p w14:paraId="1176E0B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12.0</w:t>
            </w:r>
          </w:p>
        </w:tc>
        <w:tc>
          <w:tcPr>
            <w:tcW w:w="0" w:type="auto"/>
            <w:shd w:val="clear" w:color="auto" w:fill="D9D9D9" w:themeFill="background1" w:themeFillShade="D9"/>
            <w:noWrap/>
            <w:hideMark/>
          </w:tcPr>
          <w:p w14:paraId="1896B2E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9.2</w:t>
            </w:r>
          </w:p>
        </w:tc>
        <w:tc>
          <w:tcPr>
            <w:tcW w:w="0" w:type="auto"/>
            <w:shd w:val="clear" w:color="auto" w:fill="D9D9D9" w:themeFill="background1" w:themeFillShade="D9"/>
            <w:noWrap/>
            <w:hideMark/>
          </w:tcPr>
          <w:p w14:paraId="68592DA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w:t>
            </w:r>
          </w:p>
        </w:tc>
        <w:tc>
          <w:tcPr>
            <w:tcW w:w="0" w:type="auto"/>
            <w:shd w:val="clear" w:color="auto" w:fill="D9D9D9" w:themeFill="background1" w:themeFillShade="D9"/>
            <w:noWrap/>
            <w:hideMark/>
          </w:tcPr>
          <w:p w14:paraId="4038C67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10,349</w:t>
            </w:r>
          </w:p>
        </w:tc>
        <w:tc>
          <w:tcPr>
            <w:tcW w:w="0" w:type="auto"/>
            <w:shd w:val="clear" w:color="auto" w:fill="D9D9D9" w:themeFill="background1" w:themeFillShade="D9"/>
            <w:noWrap/>
            <w:hideMark/>
          </w:tcPr>
          <w:p w14:paraId="5D23A86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13,389</w:t>
            </w:r>
          </w:p>
        </w:tc>
        <w:tc>
          <w:tcPr>
            <w:tcW w:w="0" w:type="auto"/>
            <w:shd w:val="clear" w:color="auto" w:fill="D9D9D9" w:themeFill="background1" w:themeFillShade="D9"/>
            <w:noWrap/>
            <w:hideMark/>
          </w:tcPr>
          <w:p w14:paraId="3C00BFC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29.4%</w:t>
            </w:r>
          </w:p>
        </w:tc>
        <w:tc>
          <w:tcPr>
            <w:tcW w:w="0" w:type="auto"/>
            <w:shd w:val="clear" w:color="auto" w:fill="D9D9D9" w:themeFill="background1" w:themeFillShade="D9"/>
            <w:noWrap/>
            <w:hideMark/>
          </w:tcPr>
          <w:p w14:paraId="03CA03E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shd w:val="clear" w:color="auto" w:fill="D9D9D9" w:themeFill="background1" w:themeFillShade="D9"/>
            <w:noWrap/>
            <w:hideMark/>
          </w:tcPr>
          <w:p w14:paraId="7804306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r>
      <w:tr w:rsidR="00494E93" w:rsidRPr="00472DAF" w14:paraId="55F746E4"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674118EC" w14:textId="77777777" w:rsidR="00494E93" w:rsidRPr="00472DAF" w:rsidRDefault="00494E93" w:rsidP="00472DAF">
            <w:pPr>
              <w:rPr>
                <w:rFonts w:ascii="Calibri" w:hAnsi="Calibri"/>
                <w:color w:val="000000"/>
                <w:szCs w:val="22"/>
              </w:rPr>
            </w:pPr>
            <w:r w:rsidRPr="00472DAF">
              <w:rPr>
                <w:rFonts w:ascii="Calibri" w:hAnsi="Calibri"/>
                <w:color w:val="000000"/>
                <w:szCs w:val="22"/>
              </w:rPr>
              <w:t>0045</w:t>
            </w:r>
          </w:p>
        </w:tc>
        <w:tc>
          <w:tcPr>
            <w:tcW w:w="0" w:type="auto"/>
            <w:noWrap/>
            <w:hideMark/>
          </w:tcPr>
          <w:p w14:paraId="476605FA"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Brookfield</w:t>
            </w:r>
          </w:p>
        </w:tc>
        <w:tc>
          <w:tcPr>
            <w:tcW w:w="0" w:type="auto"/>
            <w:noWrap/>
            <w:hideMark/>
          </w:tcPr>
          <w:p w14:paraId="300025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10A7DB9A"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12A06E1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15.55</w:t>
            </w:r>
          </w:p>
        </w:tc>
        <w:tc>
          <w:tcPr>
            <w:tcW w:w="0" w:type="auto"/>
            <w:noWrap/>
            <w:hideMark/>
          </w:tcPr>
          <w:p w14:paraId="2FAC960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270</w:t>
            </w:r>
          </w:p>
        </w:tc>
        <w:tc>
          <w:tcPr>
            <w:tcW w:w="0" w:type="auto"/>
            <w:noWrap/>
            <w:hideMark/>
          </w:tcPr>
          <w:p w14:paraId="0B04D9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318</w:t>
            </w:r>
          </w:p>
        </w:tc>
        <w:tc>
          <w:tcPr>
            <w:tcW w:w="0" w:type="auto"/>
            <w:noWrap/>
            <w:hideMark/>
          </w:tcPr>
          <w:p w14:paraId="540A4B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17.8%</w:t>
            </w:r>
          </w:p>
        </w:tc>
        <w:tc>
          <w:tcPr>
            <w:tcW w:w="0" w:type="auto"/>
            <w:noWrap/>
            <w:hideMark/>
          </w:tcPr>
          <w:p w14:paraId="2A0A297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noWrap/>
            <w:hideMark/>
          </w:tcPr>
          <w:p w14:paraId="62E5DD6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24.2</w:t>
            </w:r>
          </w:p>
        </w:tc>
        <w:tc>
          <w:tcPr>
            <w:tcW w:w="0" w:type="auto"/>
            <w:noWrap/>
            <w:hideMark/>
          </w:tcPr>
          <w:p w14:paraId="276C699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11.7</w:t>
            </w:r>
          </w:p>
        </w:tc>
        <w:tc>
          <w:tcPr>
            <w:tcW w:w="0" w:type="auto"/>
            <w:noWrap/>
            <w:hideMark/>
          </w:tcPr>
          <w:p w14:paraId="051C0BF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7.6</w:t>
            </w:r>
          </w:p>
        </w:tc>
        <w:tc>
          <w:tcPr>
            <w:tcW w:w="0" w:type="auto"/>
            <w:noWrap/>
            <w:hideMark/>
          </w:tcPr>
          <w:p w14:paraId="2003E67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3.7</w:t>
            </w:r>
          </w:p>
        </w:tc>
        <w:tc>
          <w:tcPr>
            <w:tcW w:w="0" w:type="auto"/>
            <w:noWrap/>
            <w:hideMark/>
          </w:tcPr>
          <w:p w14:paraId="50AD0DA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12,041</w:t>
            </w:r>
          </w:p>
        </w:tc>
        <w:tc>
          <w:tcPr>
            <w:tcW w:w="0" w:type="auto"/>
            <w:noWrap/>
            <w:hideMark/>
          </w:tcPr>
          <w:p w14:paraId="19F11F1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11,567</w:t>
            </w:r>
          </w:p>
        </w:tc>
        <w:tc>
          <w:tcPr>
            <w:tcW w:w="0" w:type="auto"/>
            <w:noWrap/>
            <w:hideMark/>
          </w:tcPr>
          <w:p w14:paraId="5241F5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w:t>
            </w:r>
          </w:p>
        </w:tc>
        <w:tc>
          <w:tcPr>
            <w:tcW w:w="0" w:type="auto"/>
            <w:noWrap/>
            <w:hideMark/>
          </w:tcPr>
          <w:p w14:paraId="47692C9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58.6</w:t>
            </w:r>
          </w:p>
        </w:tc>
        <w:tc>
          <w:tcPr>
            <w:tcW w:w="0" w:type="auto"/>
            <w:noWrap/>
            <w:hideMark/>
          </w:tcPr>
          <w:p w14:paraId="28E0DF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18.4%</w:t>
            </w:r>
          </w:p>
        </w:tc>
      </w:tr>
      <w:tr w:rsidR="003B6049" w:rsidRPr="00472DAF" w14:paraId="19137283"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A677D3C" w14:textId="77777777" w:rsidR="00494E93" w:rsidRPr="00472DAF" w:rsidRDefault="00494E93" w:rsidP="00472DAF">
            <w:pPr>
              <w:rPr>
                <w:rFonts w:ascii="Calibri" w:hAnsi="Calibri"/>
                <w:color w:val="000000"/>
                <w:szCs w:val="22"/>
              </w:rPr>
            </w:pPr>
            <w:r w:rsidRPr="00472DAF">
              <w:rPr>
                <w:rFonts w:ascii="Calibri" w:hAnsi="Calibri"/>
                <w:color w:val="000000"/>
                <w:szCs w:val="22"/>
              </w:rPr>
              <w:t>0063</w:t>
            </w:r>
          </w:p>
        </w:tc>
        <w:tc>
          <w:tcPr>
            <w:tcW w:w="0" w:type="auto"/>
            <w:shd w:val="clear" w:color="auto" w:fill="D9D9D9" w:themeFill="background1" w:themeFillShade="D9"/>
            <w:noWrap/>
            <w:hideMark/>
          </w:tcPr>
          <w:p w14:paraId="3F3C298F"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Clarksburg</w:t>
            </w:r>
          </w:p>
        </w:tc>
        <w:tc>
          <w:tcPr>
            <w:tcW w:w="0" w:type="auto"/>
            <w:shd w:val="clear" w:color="auto" w:fill="D9D9D9" w:themeFill="background1" w:themeFillShade="D9"/>
            <w:noWrap/>
            <w:hideMark/>
          </w:tcPr>
          <w:p w14:paraId="021326B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33C13D88"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1762585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12.69</w:t>
            </w:r>
          </w:p>
        </w:tc>
        <w:tc>
          <w:tcPr>
            <w:tcW w:w="0" w:type="auto"/>
            <w:shd w:val="clear" w:color="auto" w:fill="D9D9D9" w:themeFill="background1" w:themeFillShade="D9"/>
            <w:noWrap/>
            <w:hideMark/>
          </w:tcPr>
          <w:p w14:paraId="32E3A2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207</w:t>
            </w:r>
          </w:p>
        </w:tc>
        <w:tc>
          <w:tcPr>
            <w:tcW w:w="0" w:type="auto"/>
            <w:shd w:val="clear" w:color="auto" w:fill="D9D9D9" w:themeFill="background1" w:themeFillShade="D9"/>
            <w:noWrap/>
            <w:hideMark/>
          </w:tcPr>
          <w:p w14:paraId="61CF790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173</w:t>
            </w:r>
          </w:p>
        </w:tc>
        <w:tc>
          <w:tcPr>
            <w:tcW w:w="0" w:type="auto"/>
            <w:shd w:val="clear" w:color="auto" w:fill="D9D9D9" w:themeFill="background1" w:themeFillShade="D9"/>
            <w:noWrap/>
            <w:hideMark/>
          </w:tcPr>
          <w:p w14:paraId="6F62950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-16.4%</w:t>
            </w:r>
          </w:p>
        </w:tc>
        <w:tc>
          <w:tcPr>
            <w:tcW w:w="0" w:type="auto"/>
            <w:shd w:val="clear" w:color="auto" w:fill="D9D9D9" w:themeFill="background1" w:themeFillShade="D9"/>
            <w:noWrap/>
            <w:hideMark/>
          </w:tcPr>
          <w:p w14:paraId="33FBE9B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14.2</w:t>
            </w:r>
          </w:p>
        </w:tc>
        <w:tc>
          <w:tcPr>
            <w:tcW w:w="0" w:type="auto"/>
            <w:shd w:val="clear" w:color="auto" w:fill="D9D9D9" w:themeFill="background1" w:themeFillShade="D9"/>
            <w:noWrap/>
            <w:hideMark/>
          </w:tcPr>
          <w:p w14:paraId="6241BF8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15.4</w:t>
            </w:r>
          </w:p>
        </w:tc>
        <w:tc>
          <w:tcPr>
            <w:tcW w:w="0" w:type="auto"/>
            <w:shd w:val="clear" w:color="auto" w:fill="D9D9D9" w:themeFill="background1" w:themeFillShade="D9"/>
            <w:noWrap/>
            <w:hideMark/>
          </w:tcPr>
          <w:p w14:paraId="0F5EC5F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11.6</w:t>
            </w:r>
          </w:p>
        </w:tc>
        <w:tc>
          <w:tcPr>
            <w:tcW w:w="0" w:type="auto"/>
            <w:shd w:val="clear" w:color="auto" w:fill="D9D9D9" w:themeFill="background1" w:themeFillShade="D9"/>
            <w:noWrap/>
            <w:hideMark/>
          </w:tcPr>
          <w:p w14:paraId="41DE4A1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8.9</w:t>
            </w:r>
          </w:p>
        </w:tc>
        <w:tc>
          <w:tcPr>
            <w:tcW w:w="0" w:type="auto"/>
            <w:shd w:val="clear" w:color="auto" w:fill="D9D9D9" w:themeFill="background1" w:themeFillShade="D9"/>
            <w:noWrap/>
            <w:hideMark/>
          </w:tcPr>
          <w:p w14:paraId="07CDEDC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6.7</w:t>
            </w:r>
          </w:p>
        </w:tc>
        <w:tc>
          <w:tcPr>
            <w:tcW w:w="0" w:type="auto"/>
            <w:shd w:val="clear" w:color="auto" w:fill="D9D9D9" w:themeFill="background1" w:themeFillShade="D9"/>
            <w:noWrap/>
            <w:hideMark/>
          </w:tcPr>
          <w:p w14:paraId="02281B27"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11,022</w:t>
            </w:r>
          </w:p>
        </w:tc>
        <w:tc>
          <w:tcPr>
            <w:tcW w:w="0" w:type="auto"/>
            <w:shd w:val="clear" w:color="auto" w:fill="D9D9D9" w:themeFill="background1" w:themeFillShade="D9"/>
            <w:noWrap/>
            <w:hideMark/>
          </w:tcPr>
          <w:p w14:paraId="57A6668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15,360</w:t>
            </w:r>
          </w:p>
        </w:tc>
        <w:tc>
          <w:tcPr>
            <w:tcW w:w="0" w:type="auto"/>
            <w:shd w:val="clear" w:color="auto" w:fill="D9D9D9" w:themeFill="background1" w:themeFillShade="D9"/>
            <w:noWrap/>
            <w:hideMark/>
          </w:tcPr>
          <w:p w14:paraId="25B9490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39.4%</w:t>
            </w:r>
          </w:p>
        </w:tc>
        <w:tc>
          <w:tcPr>
            <w:tcW w:w="0" w:type="auto"/>
            <w:shd w:val="clear" w:color="auto" w:fill="D9D9D9" w:themeFill="background1" w:themeFillShade="D9"/>
            <w:noWrap/>
            <w:hideMark/>
          </w:tcPr>
          <w:p w14:paraId="5034650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46.0</w:t>
            </w:r>
          </w:p>
        </w:tc>
        <w:tc>
          <w:tcPr>
            <w:tcW w:w="0" w:type="auto"/>
            <w:shd w:val="clear" w:color="auto" w:fill="D9D9D9" w:themeFill="background1" w:themeFillShade="D9"/>
            <w:noWrap/>
            <w:hideMark/>
          </w:tcPr>
          <w:p w14:paraId="0515315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26.6%</w:t>
            </w:r>
          </w:p>
        </w:tc>
      </w:tr>
      <w:tr w:rsidR="00494E93" w:rsidRPr="00472DAF" w14:paraId="6A30E556"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CC822" w14:textId="77777777" w:rsidR="00494E93" w:rsidRPr="00472DAF" w:rsidRDefault="00494E93" w:rsidP="00472DAF">
            <w:pPr>
              <w:rPr>
                <w:rFonts w:ascii="Calibri" w:hAnsi="Calibri"/>
                <w:color w:val="000000"/>
                <w:szCs w:val="22"/>
              </w:rPr>
            </w:pPr>
            <w:r w:rsidRPr="00472DAF">
              <w:rPr>
                <w:rFonts w:ascii="Calibri" w:hAnsi="Calibri"/>
                <w:color w:val="000000"/>
                <w:szCs w:val="22"/>
              </w:rPr>
              <w:t>0068</w:t>
            </w:r>
          </w:p>
        </w:tc>
        <w:tc>
          <w:tcPr>
            <w:tcW w:w="0" w:type="auto"/>
            <w:noWrap/>
            <w:hideMark/>
          </w:tcPr>
          <w:p w14:paraId="5D369133"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Conway</w:t>
            </w:r>
          </w:p>
        </w:tc>
        <w:tc>
          <w:tcPr>
            <w:tcW w:w="0" w:type="auto"/>
            <w:noWrap/>
            <w:hideMark/>
          </w:tcPr>
          <w:p w14:paraId="116D2AF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24172778"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751EE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37.69</w:t>
            </w:r>
          </w:p>
        </w:tc>
        <w:tc>
          <w:tcPr>
            <w:tcW w:w="0" w:type="auto"/>
            <w:noWrap/>
            <w:hideMark/>
          </w:tcPr>
          <w:p w14:paraId="0D2CF36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177</w:t>
            </w:r>
          </w:p>
        </w:tc>
        <w:tc>
          <w:tcPr>
            <w:tcW w:w="0" w:type="auto"/>
            <w:noWrap/>
            <w:hideMark/>
          </w:tcPr>
          <w:p w14:paraId="1083539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141</w:t>
            </w:r>
          </w:p>
        </w:tc>
        <w:tc>
          <w:tcPr>
            <w:tcW w:w="0" w:type="auto"/>
            <w:noWrap/>
            <w:hideMark/>
          </w:tcPr>
          <w:p w14:paraId="192AD4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-20.3%</w:t>
            </w:r>
          </w:p>
        </w:tc>
        <w:tc>
          <w:tcPr>
            <w:tcW w:w="0" w:type="auto"/>
            <w:noWrap/>
            <w:hideMark/>
          </w:tcPr>
          <w:p w14:paraId="1B26E3A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w:t>
            </w:r>
          </w:p>
        </w:tc>
        <w:tc>
          <w:tcPr>
            <w:tcW w:w="0" w:type="auto"/>
            <w:noWrap/>
            <w:hideMark/>
          </w:tcPr>
          <w:p w14:paraId="3DF85D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12.6</w:t>
            </w:r>
          </w:p>
        </w:tc>
        <w:tc>
          <w:tcPr>
            <w:tcW w:w="0" w:type="auto"/>
            <w:noWrap/>
            <w:hideMark/>
          </w:tcPr>
          <w:p w14:paraId="7C27DD8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noWrap/>
            <w:hideMark/>
          </w:tcPr>
          <w:p w14:paraId="206B533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8.9</w:t>
            </w:r>
          </w:p>
        </w:tc>
        <w:tc>
          <w:tcPr>
            <w:tcW w:w="0" w:type="auto"/>
            <w:noWrap/>
            <w:hideMark/>
          </w:tcPr>
          <w:p w14:paraId="5063916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10.6</w:t>
            </w:r>
          </w:p>
        </w:tc>
        <w:tc>
          <w:tcPr>
            <w:tcW w:w="0" w:type="auto"/>
            <w:noWrap/>
            <w:hideMark/>
          </w:tcPr>
          <w:p w14:paraId="16CF3B3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13,210</w:t>
            </w:r>
          </w:p>
        </w:tc>
        <w:tc>
          <w:tcPr>
            <w:tcW w:w="0" w:type="auto"/>
            <w:noWrap/>
            <w:hideMark/>
          </w:tcPr>
          <w:p w14:paraId="271FC2C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17,639</w:t>
            </w:r>
          </w:p>
        </w:tc>
        <w:tc>
          <w:tcPr>
            <w:tcW w:w="0" w:type="auto"/>
            <w:noWrap/>
            <w:hideMark/>
          </w:tcPr>
          <w:p w14:paraId="087F908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33.5%</w:t>
            </w:r>
          </w:p>
        </w:tc>
        <w:tc>
          <w:tcPr>
            <w:tcW w:w="0" w:type="auto"/>
            <w:noWrap/>
            <w:hideMark/>
          </w:tcPr>
          <w:p w14:paraId="20D75A4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24.0</w:t>
            </w:r>
          </w:p>
        </w:tc>
        <w:tc>
          <w:tcPr>
            <w:tcW w:w="0" w:type="auto"/>
            <w:noWrap/>
            <w:hideMark/>
          </w:tcPr>
          <w:p w14:paraId="00AF8FE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17.0%</w:t>
            </w:r>
          </w:p>
        </w:tc>
      </w:tr>
      <w:tr w:rsidR="003B6049" w:rsidRPr="00472DAF" w14:paraId="1BFE86C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0DB1292" w14:textId="77777777" w:rsidR="00494E93" w:rsidRPr="00472DAF" w:rsidRDefault="00494E93" w:rsidP="00472DAF">
            <w:pPr>
              <w:rPr>
                <w:rFonts w:ascii="Calibri" w:hAnsi="Calibri"/>
                <w:color w:val="000000"/>
                <w:szCs w:val="22"/>
              </w:rPr>
            </w:pPr>
            <w:r w:rsidRPr="00472DAF">
              <w:rPr>
                <w:rFonts w:ascii="Calibri" w:hAnsi="Calibri"/>
                <w:color w:val="000000"/>
                <w:szCs w:val="22"/>
              </w:rPr>
              <w:t>0074</w:t>
            </w:r>
          </w:p>
        </w:tc>
        <w:tc>
          <w:tcPr>
            <w:tcW w:w="0" w:type="auto"/>
            <w:shd w:val="clear" w:color="auto" w:fill="D9D9D9" w:themeFill="background1" w:themeFillShade="D9"/>
            <w:noWrap/>
            <w:hideMark/>
          </w:tcPr>
          <w:p w14:paraId="1F6459C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Deerfield</w:t>
            </w:r>
          </w:p>
        </w:tc>
        <w:tc>
          <w:tcPr>
            <w:tcW w:w="0" w:type="auto"/>
            <w:shd w:val="clear" w:color="auto" w:fill="D9D9D9" w:themeFill="background1" w:themeFillShade="D9"/>
            <w:noWrap/>
            <w:hideMark/>
          </w:tcPr>
          <w:p w14:paraId="67D539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7A0AE5C4"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0F1D985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32.39</w:t>
            </w:r>
          </w:p>
        </w:tc>
        <w:tc>
          <w:tcPr>
            <w:tcW w:w="0" w:type="auto"/>
            <w:shd w:val="clear" w:color="auto" w:fill="D9D9D9" w:themeFill="background1" w:themeFillShade="D9"/>
            <w:noWrap/>
            <w:hideMark/>
          </w:tcPr>
          <w:p w14:paraId="7D6A69D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487</w:t>
            </w:r>
          </w:p>
        </w:tc>
        <w:tc>
          <w:tcPr>
            <w:tcW w:w="0" w:type="auto"/>
            <w:shd w:val="clear" w:color="auto" w:fill="D9D9D9" w:themeFill="background1" w:themeFillShade="D9"/>
            <w:noWrap/>
            <w:hideMark/>
          </w:tcPr>
          <w:p w14:paraId="766A6EC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401</w:t>
            </w:r>
          </w:p>
        </w:tc>
        <w:tc>
          <w:tcPr>
            <w:tcW w:w="0" w:type="auto"/>
            <w:shd w:val="clear" w:color="auto" w:fill="D9D9D9" w:themeFill="background1" w:themeFillShade="D9"/>
            <w:noWrap/>
            <w:hideMark/>
          </w:tcPr>
          <w:p w14:paraId="6C29ED0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-17.7%</w:t>
            </w:r>
          </w:p>
        </w:tc>
        <w:tc>
          <w:tcPr>
            <w:tcW w:w="0" w:type="auto"/>
            <w:shd w:val="clear" w:color="auto" w:fill="D9D9D9" w:themeFill="background1" w:themeFillShade="D9"/>
            <w:noWrap/>
            <w:hideMark/>
          </w:tcPr>
          <w:p w14:paraId="1F7688F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10.2</w:t>
            </w:r>
          </w:p>
        </w:tc>
        <w:tc>
          <w:tcPr>
            <w:tcW w:w="0" w:type="auto"/>
            <w:shd w:val="clear" w:color="auto" w:fill="D9D9D9" w:themeFill="background1" w:themeFillShade="D9"/>
            <w:noWrap/>
            <w:hideMark/>
          </w:tcPr>
          <w:p w14:paraId="217270A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37.5</w:t>
            </w:r>
          </w:p>
        </w:tc>
        <w:tc>
          <w:tcPr>
            <w:tcW w:w="0" w:type="auto"/>
            <w:shd w:val="clear" w:color="auto" w:fill="D9D9D9" w:themeFill="background1" w:themeFillShade="D9"/>
            <w:noWrap/>
            <w:hideMark/>
          </w:tcPr>
          <w:p w14:paraId="3E59BF7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27.0</w:t>
            </w:r>
          </w:p>
        </w:tc>
        <w:tc>
          <w:tcPr>
            <w:tcW w:w="0" w:type="auto"/>
            <w:shd w:val="clear" w:color="auto" w:fill="D9D9D9" w:themeFill="background1" w:themeFillShade="D9"/>
            <w:noWrap/>
            <w:hideMark/>
          </w:tcPr>
          <w:p w14:paraId="1412320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shd w:val="clear" w:color="auto" w:fill="D9D9D9" w:themeFill="background1" w:themeFillShade="D9"/>
            <w:noWrap/>
            <w:hideMark/>
          </w:tcPr>
          <w:p w14:paraId="191650E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6.7</w:t>
            </w:r>
          </w:p>
        </w:tc>
        <w:tc>
          <w:tcPr>
            <w:tcW w:w="0" w:type="auto"/>
            <w:shd w:val="clear" w:color="auto" w:fill="D9D9D9" w:themeFill="background1" w:themeFillShade="D9"/>
            <w:noWrap/>
            <w:hideMark/>
          </w:tcPr>
          <w:p w14:paraId="082A41E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10,839</w:t>
            </w:r>
          </w:p>
        </w:tc>
        <w:tc>
          <w:tcPr>
            <w:tcW w:w="0" w:type="auto"/>
            <w:shd w:val="clear" w:color="auto" w:fill="D9D9D9" w:themeFill="background1" w:themeFillShade="D9"/>
            <w:noWrap/>
            <w:hideMark/>
          </w:tcPr>
          <w:p w14:paraId="582FE7A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14,863</w:t>
            </w:r>
          </w:p>
        </w:tc>
        <w:tc>
          <w:tcPr>
            <w:tcW w:w="0" w:type="auto"/>
            <w:shd w:val="clear" w:color="auto" w:fill="D9D9D9" w:themeFill="background1" w:themeFillShade="D9"/>
            <w:noWrap/>
            <w:hideMark/>
          </w:tcPr>
          <w:p w14:paraId="40D7DC1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37.1%</w:t>
            </w:r>
          </w:p>
        </w:tc>
        <w:tc>
          <w:tcPr>
            <w:tcW w:w="0" w:type="auto"/>
            <w:shd w:val="clear" w:color="auto" w:fill="D9D9D9" w:themeFill="background1" w:themeFillShade="D9"/>
            <w:noWrap/>
            <w:hideMark/>
          </w:tcPr>
          <w:p w14:paraId="3423756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80.1</w:t>
            </w:r>
          </w:p>
        </w:tc>
        <w:tc>
          <w:tcPr>
            <w:tcW w:w="0" w:type="auto"/>
            <w:shd w:val="clear" w:color="auto" w:fill="D9D9D9" w:themeFill="background1" w:themeFillShade="D9"/>
            <w:noWrap/>
            <w:hideMark/>
          </w:tcPr>
          <w:p w14:paraId="4F5C1E2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20.0%</w:t>
            </w:r>
          </w:p>
        </w:tc>
      </w:tr>
      <w:tr w:rsidR="00494E93" w:rsidRPr="00472DAF" w14:paraId="4BAF4DF2"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0E865A3D" w14:textId="77777777" w:rsidR="00494E93" w:rsidRPr="00472DAF" w:rsidRDefault="00494E93" w:rsidP="00472DAF">
            <w:pPr>
              <w:rPr>
                <w:rFonts w:ascii="Calibri" w:hAnsi="Calibri"/>
                <w:color w:val="000000"/>
                <w:szCs w:val="22"/>
              </w:rPr>
            </w:pPr>
            <w:r w:rsidRPr="00472DAF">
              <w:rPr>
                <w:rFonts w:ascii="Calibri" w:hAnsi="Calibri"/>
                <w:color w:val="000000"/>
                <w:szCs w:val="22"/>
              </w:rPr>
              <w:t>0089</w:t>
            </w:r>
          </w:p>
        </w:tc>
        <w:tc>
          <w:tcPr>
            <w:tcW w:w="0" w:type="auto"/>
            <w:noWrap/>
            <w:hideMark/>
          </w:tcPr>
          <w:p w14:paraId="5340A1F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Edgartown</w:t>
            </w:r>
          </w:p>
        </w:tc>
        <w:tc>
          <w:tcPr>
            <w:tcW w:w="0" w:type="auto"/>
            <w:noWrap/>
            <w:hideMark/>
          </w:tcPr>
          <w:p w14:paraId="719339D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81F6352"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73215D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26.81</w:t>
            </w:r>
          </w:p>
        </w:tc>
        <w:tc>
          <w:tcPr>
            <w:tcW w:w="0" w:type="auto"/>
            <w:noWrap/>
            <w:hideMark/>
          </w:tcPr>
          <w:p w14:paraId="477C6C7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336</w:t>
            </w:r>
          </w:p>
        </w:tc>
        <w:tc>
          <w:tcPr>
            <w:tcW w:w="0" w:type="auto"/>
            <w:noWrap/>
            <w:hideMark/>
          </w:tcPr>
          <w:p w14:paraId="0B58D94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348</w:t>
            </w:r>
          </w:p>
        </w:tc>
        <w:tc>
          <w:tcPr>
            <w:tcW w:w="0" w:type="auto"/>
            <w:noWrap/>
            <w:hideMark/>
          </w:tcPr>
          <w:p w14:paraId="6A947BC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3.6%</w:t>
            </w:r>
          </w:p>
        </w:tc>
        <w:tc>
          <w:tcPr>
            <w:tcW w:w="0" w:type="auto"/>
            <w:noWrap/>
            <w:hideMark/>
          </w:tcPr>
          <w:p w14:paraId="5D5CFB8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15.3</w:t>
            </w:r>
          </w:p>
        </w:tc>
        <w:tc>
          <w:tcPr>
            <w:tcW w:w="0" w:type="auto"/>
            <w:noWrap/>
            <w:hideMark/>
          </w:tcPr>
          <w:p w14:paraId="532A1E0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39.9</w:t>
            </w:r>
          </w:p>
        </w:tc>
        <w:tc>
          <w:tcPr>
            <w:tcW w:w="0" w:type="auto"/>
            <w:noWrap/>
            <w:hideMark/>
          </w:tcPr>
          <w:p w14:paraId="11CF681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32.3</w:t>
            </w:r>
          </w:p>
        </w:tc>
        <w:tc>
          <w:tcPr>
            <w:tcW w:w="0" w:type="auto"/>
            <w:noWrap/>
            <w:hideMark/>
          </w:tcPr>
          <w:p w14:paraId="5CD8D08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11.5</w:t>
            </w:r>
          </w:p>
        </w:tc>
        <w:tc>
          <w:tcPr>
            <w:tcW w:w="0" w:type="auto"/>
            <w:noWrap/>
            <w:hideMark/>
          </w:tcPr>
          <w:p w14:paraId="04C4E89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noWrap/>
            <w:hideMark/>
          </w:tcPr>
          <w:p w14:paraId="111CCED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20,153</w:t>
            </w:r>
          </w:p>
        </w:tc>
        <w:tc>
          <w:tcPr>
            <w:tcW w:w="0" w:type="auto"/>
            <w:noWrap/>
            <w:hideMark/>
          </w:tcPr>
          <w:p w14:paraId="1938C97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26,568</w:t>
            </w:r>
          </w:p>
        </w:tc>
        <w:tc>
          <w:tcPr>
            <w:tcW w:w="0" w:type="auto"/>
            <w:noWrap/>
            <w:hideMark/>
          </w:tcPr>
          <w:p w14:paraId="32963B5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31.8%</w:t>
            </w:r>
          </w:p>
        </w:tc>
        <w:tc>
          <w:tcPr>
            <w:tcW w:w="0" w:type="auto"/>
            <w:noWrap/>
            <w:hideMark/>
          </w:tcPr>
          <w:p w14:paraId="486E5EC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9.4</w:t>
            </w:r>
          </w:p>
        </w:tc>
        <w:tc>
          <w:tcPr>
            <w:tcW w:w="0" w:type="auto"/>
            <w:noWrap/>
            <w:hideMark/>
          </w:tcPr>
          <w:p w14:paraId="4D36D5A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w:t>
            </w:r>
          </w:p>
        </w:tc>
      </w:tr>
      <w:tr w:rsidR="003B6049" w:rsidRPr="00472DAF" w14:paraId="2A0557AD"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1F4E146F" w14:textId="77777777" w:rsidR="00494E93" w:rsidRPr="00472DAF" w:rsidRDefault="00494E93" w:rsidP="00472DAF">
            <w:pPr>
              <w:rPr>
                <w:rFonts w:ascii="Calibri" w:hAnsi="Calibri"/>
                <w:color w:val="000000"/>
                <w:szCs w:val="22"/>
              </w:rPr>
            </w:pPr>
            <w:r w:rsidRPr="00472DAF">
              <w:rPr>
                <w:rFonts w:ascii="Calibri" w:hAnsi="Calibri"/>
                <w:color w:val="000000"/>
                <w:szCs w:val="22"/>
              </w:rPr>
              <w:t>0091</w:t>
            </w:r>
          </w:p>
        </w:tc>
        <w:tc>
          <w:tcPr>
            <w:tcW w:w="0" w:type="auto"/>
            <w:shd w:val="clear" w:color="auto" w:fill="D9D9D9" w:themeFill="background1" w:themeFillShade="D9"/>
            <w:noWrap/>
            <w:hideMark/>
          </w:tcPr>
          <w:p w14:paraId="11729FCC"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Erving</w:t>
            </w:r>
          </w:p>
        </w:tc>
        <w:tc>
          <w:tcPr>
            <w:tcW w:w="0" w:type="auto"/>
            <w:shd w:val="clear" w:color="auto" w:fill="D9D9D9" w:themeFill="background1" w:themeFillShade="D9"/>
            <w:noWrap/>
            <w:hideMark/>
          </w:tcPr>
          <w:p w14:paraId="756914C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5B4FBF15"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1D6274E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13.82</w:t>
            </w:r>
          </w:p>
        </w:tc>
        <w:tc>
          <w:tcPr>
            <w:tcW w:w="0" w:type="auto"/>
            <w:shd w:val="clear" w:color="auto" w:fill="D9D9D9" w:themeFill="background1" w:themeFillShade="D9"/>
            <w:noWrap/>
            <w:hideMark/>
          </w:tcPr>
          <w:p w14:paraId="652B877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189</w:t>
            </w:r>
          </w:p>
        </w:tc>
        <w:tc>
          <w:tcPr>
            <w:tcW w:w="0" w:type="auto"/>
            <w:shd w:val="clear" w:color="auto" w:fill="D9D9D9" w:themeFill="background1" w:themeFillShade="D9"/>
            <w:noWrap/>
            <w:hideMark/>
          </w:tcPr>
          <w:p w14:paraId="51F8363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136</w:t>
            </w:r>
          </w:p>
        </w:tc>
        <w:tc>
          <w:tcPr>
            <w:tcW w:w="0" w:type="auto"/>
            <w:shd w:val="clear" w:color="auto" w:fill="D9D9D9" w:themeFill="background1" w:themeFillShade="D9"/>
            <w:noWrap/>
            <w:hideMark/>
          </w:tcPr>
          <w:p w14:paraId="3A43F9D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-28.0%</w:t>
            </w:r>
          </w:p>
        </w:tc>
        <w:tc>
          <w:tcPr>
            <w:tcW w:w="0" w:type="auto"/>
            <w:shd w:val="clear" w:color="auto" w:fill="D9D9D9" w:themeFill="background1" w:themeFillShade="D9"/>
            <w:noWrap/>
            <w:hideMark/>
          </w:tcPr>
          <w:p w14:paraId="5CD3EF7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16.4</w:t>
            </w:r>
          </w:p>
        </w:tc>
        <w:tc>
          <w:tcPr>
            <w:tcW w:w="0" w:type="auto"/>
            <w:shd w:val="clear" w:color="auto" w:fill="D9D9D9" w:themeFill="background1" w:themeFillShade="D9"/>
            <w:noWrap/>
            <w:hideMark/>
          </w:tcPr>
          <w:p w14:paraId="4995891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18.1</w:t>
            </w:r>
          </w:p>
        </w:tc>
        <w:tc>
          <w:tcPr>
            <w:tcW w:w="0" w:type="auto"/>
            <w:shd w:val="clear" w:color="auto" w:fill="D9D9D9" w:themeFill="background1" w:themeFillShade="D9"/>
            <w:noWrap/>
            <w:hideMark/>
          </w:tcPr>
          <w:p w14:paraId="08B8CBF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shd w:val="clear" w:color="auto" w:fill="D9D9D9" w:themeFill="background1" w:themeFillShade="D9"/>
            <w:noWrap/>
            <w:hideMark/>
          </w:tcPr>
          <w:p w14:paraId="3475745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13.3</w:t>
            </w:r>
          </w:p>
        </w:tc>
        <w:tc>
          <w:tcPr>
            <w:tcW w:w="0" w:type="auto"/>
            <w:shd w:val="clear" w:color="auto" w:fill="D9D9D9" w:themeFill="background1" w:themeFillShade="D9"/>
            <w:noWrap/>
            <w:hideMark/>
          </w:tcPr>
          <w:p w14:paraId="18FCC42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w:t>
            </w:r>
          </w:p>
        </w:tc>
        <w:tc>
          <w:tcPr>
            <w:tcW w:w="0" w:type="auto"/>
            <w:shd w:val="clear" w:color="auto" w:fill="D9D9D9" w:themeFill="background1" w:themeFillShade="D9"/>
            <w:noWrap/>
            <w:hideMark/>
          </w:tcPr>
          <w:p w14:paraId="33FE263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15,712</w:t>
            </w:r>
          </w:p>
        </w:tc>
        <w:tc>
          <w:tcPr>
            <w:tcW w:w="0" w:type="auto"/>
            <w:shd w:val="clear" w:color="auto" w:fill="D9D9D9" w:themeFill="background1" w:themeFillShade="D9"/>
            <w:noWrap/>
            <w:hideMark/>
          </w:tcPr>
          <w:p w14:paraId="380D1D9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27,620</w:t>
            </w:r>
          </w:p>
        </w:tc>
        <w:tc>
          <w:tcPr>
            <w:tcW w:w="0" w:type="auto"/>
            <w:shd w:val="clear" w:color="auto" w:fill="D9D9D9" w:themeFill="background1" w:themeFillShade="D9"/>
            <w:noWrap/>
            <w:hideMark/>
          </w:tcPr>
          <w:p w14:paraId="6A341AB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75.8%</w:t>
            </w:r>
          </w:p>
        </w:tc>
        <w:tc>
          <w:tcPr>
            <w:tcW w:w="0" w:type="auto"/>
            <w:shd w:val="clear" w:color="auto" w:fill="D9D9D9" w:themeFill="background1" w:themeFillShade="D9"/>
            <w:noWrap/>
            <w:hideMark/>
          </w:tcPr>
          <w:p w14:paraId="6BF2C7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shd w:val="clear" w:color="auto" w:fill="D9D9D9" w:themeFill="background1" w:themeFillShade="D9"/>
            <w:noWrap/>
            <w:hideMark/>
          </w:tcPr>
          <w:p w14:paraId="5BD8DF8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r>
      <w:tr w:rsidR="00494E93" w:rsidRPr="00472DAF" w14:paraId="3B9AF50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2A0162D0" w14:textId="77777777" w:rsidR="00494E93" w:rsidRPr="00472DAF" w:rsidRDefault="00494E93" w:rsidP="00472DAF">
            <w:pPr>
              <w:rPr>
                <w:rFonts w:ascii="Calibri" w:hAnsi="Calibri"/>
                <w:color w:val="000000"/>
                <w:szCs w:val="22"/>
              </w:rPr>
            </w:pPr>
            <w:r w:rsidRPr="00472DAF">
              <w:rPr>
                <w:rFonts w:ascii="Calibri" w:hAnsi="Calibri"/>
                <w:color w:val="000000"/>
                <w:szCs w:val="22"/>
              </w:rPr>
              <w:t>0098</w:t>
            </w:r>
          </w:p>
        </w:tc>
        <w:tc>
          <w:tcPr>
            <w:tcW w:w="0" w:type="auto"/>
            <w:noWrap/>
            <w:hideMark/>
          </w:tcPr>
          <w:p w14:paraId="12388CAC"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Florida</w:t>
            </w:r>
          </w:p>
        </w:tc>
        <w:tc>
          <w:tcPr>
            <w:tcW w:w="0" w:type="auto"/>
            <w:noWrap/>
            <w:hideMark/>
          </w:tcPr>
          <w:p w14:paraId="1E79646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20E5715"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6B2F7DE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24.36</w:t>
            </w:r>
          </w:p>
        </w:tc>
        <w:tc>
          <w:tcPr>
            <w:tcW w:w="0" w:type="auto"/>
            <w:noWrap/>
            <w:hideMark/>
          </w:tcPr>
          <w:p w14:paraId="17FE908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105</w:t>
            </w:r>
          </w:p>
        </w:tc>
        <w:tc>
          <w:tcPr>
            <w:tcW w:w="0" w:type="auto"/>
            <w:noWrap/>
            <w:hideMark/>
          </w:tcPr>
          <w:p w14:paraId="1BFBD4D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81</w:t>
            </w:r>
          </w:p>
        </w:tc>
        <w:tc>
          <w:tcPr>
            <w:tcW w:w="0" w:type="auto"/>
            <w:noWrap/>
            <w:hideMark/>
          </w:tcPr>
          <w:p w14:paraId="2720829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-22.9%</w:t>
            </w:r>
          </w:p>
        </w:tc>
        <w:tc>
          <w:tcPr>
            <w:tcW w:w="0" w:type="auto"/>
            <w:noWrap/>
            <w:hideMark/>
          </w:tcPr>
          <w:p w14:paraId="253D94F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w:t>
            </w:r>
          </w:p>
        </w:tc>
        <w:tc>
          <w:tcPr>
            <w:tcW w:w="0" w:type="auto"/>
            <w:noWrap/>
            <w:hideMark/>
          </w:tcPr>
          <w:p w14:paraId="4688D2F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11.6</w:t>
            </w:r>
          </w:p>
        </w:tc>
        <w:tc>
          <w:tcPr>
            <w:tcW w:w="0" w:type="auto"/>
            <w:noWrap/>
            <w:hideMark/>
          </w:tcPr>
          <w:p w14:paraId="0A117A7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w:t>
            </w:r>
          </w:p>
        </w:tc>
        <w:tc>
          <w:tcPr>
            <w:tcW w:w="0" w:type="auto"/>
            <w:noWrap/>
            <w:hideMark/>
          </w:tcPr>
          <w:p w14:paraId="5B94C87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14.3</w:t>
            </w:r>
          </w:p>
        </w:tc>
        <w:tc>
          <w:tcPr>
            <w:tcW w:w="0" w:type="auto"/>
            <w:noWrap/>
            <w:hideMark/>
          </w:tcPr>
          <w:p w14:paraId="75DAE91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6.8</w:t>
            </w:r>
          </w:p>
        </w:tc>
        <w:tc>
          <w:tcPr>
            <w:tcW w:w="0" w:type="auto"/>
            <w:noWrap/>
            <w:hideMark/>
          </w:tcPr>
          <w:p w14:paraId="6A2C5D0F"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11,937</w:t>
            </w:r>
          </w:p>
        </w:tc>
        <w:tc>
          <w:tcPr>
            <w:tcW w:w="0" w:type="auto"/>
            <w:noWrap/>
            <w:hideMark/>
          </w:tcPr>
          <w:p w14:paraId="42FAFCA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19,251</w:t>
            </w:r>
          </w:p>
        </w:tc>
        <w:tc>
          <w:tcPr>
            <w:tcW w:w="0" w:type="auto"/>
            <w:noWrap/>
            <w:hideMark/>
          </w:tcPr>
          <w:p w14:paraId="31BBD50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61.3%</w:t>
            </w:r>
          </w:p>
        </w:tc>
        <w:tc>
          <w:tcPr>
            <w:tcW w:w="0" w:type="auto"/>
            <w:noWrap/>
            <w:hideMark/>
          </w:tcPr>
          <w:p w14:paraId="0DE8747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4.9</w:t>
            </w:r>
          </w:p>
        </w:tc>
        <w:tc>
          <w:tcPr>
            <w:tcW w:w="0" w:type="auto"/>
            <w:noWrap/>
            <w:hideMark/>
          </w:tcPr>
          <w:p w14:paraId="29C9BE6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w:t>
            </w:r>
          </w:p>
        </w:tc>
      </w:tr>
      <w:tr w:rsidR="003B6049" w:rsidRPr="00472DAF" w14:paraId="177F7031"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2B5CA94" w14:textId="77777777" w:rsidR="00494E93" w:rsidRPr="00472DAF" w:rsidRDefault="00494E93" w:rsidP="00472DAF">
            <w:pPr>
              <w:rPr>
                <w:rFonts w:ascii="Calibri" w:hAnsi="Calibri"/>
                <w:color w:val="000000"/>
                <w:szCs w:val="22"/>
              </w:rPr>
            </w:pPr>
            <w:r w:rsidRPr="00472DAF">
              <w:rPr>
                <w:rFonts w:ascii="Calibri" w:hAnsi="Calibri"/>
                <w:color w:val="000000"/>
                <w:szCs w:val="22"/>
              </w:rPr>
              <w:t>0121</w:t>
            </w:r>
          </w:p>
        </w:tc>
        <w:tc>
          <w:tcPr>
            <w:tcW w:w="0" w:type="auto"/>
            <w:shd w:val="clear" w:color="auto" w:fill="D9D9D9" w:themeFill="background1" w:themeFillShade="D9"/>
            <w:noWrap/>
            <w:hideMark/>
          </w:tcPr>
          <w:p w14:paraId="532977D7"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Hancock</w:t>
            </w:r>
          </w:p>
        </w:tc>
        <w:tc>
          <w:tcPr>
            <w:tcW w:w="0" w:type="auto"/>
            <w:shd w:val="clear" w:color="auto" w:fill="D9D9D9" w:themeFill="background1" w:themeFillShade="D9"/>
            <w:noWrap/>
            <w:hideMark/>
          </w:tcPr>
          <w:p w14:paraId="78E758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5E377DCC"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11E1EA3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35.67</w:t>
            </w:r>
          </w:p>
        </w:tc>
        <w:tc>
          <w:tcPr>
            <w:tcW w:w="0" w:type="auto"/>
            <w:shd w:val="clear" w:color="auto" w:fill="D9D9D9" w:themeFill="background1" w:themeFillShade="D9"/>
            <w:noWrap/>
            <w:hideMark/>
          </w:tcPr>
          <w:p w14:paraId="22E39B3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w:t>
            </w:r>
          </w:p>
        </w:tc>
        <w:tc>
          <w:tcPr>
            <w:tcW w:w="0" w:type="auto"/>
            <w:shd w:val="clear" w:color="auto" w:fill="D9D9D9" w:themeFill="background1" w:themeFillShade="D9"/>
            <w:noWrap/>
            <w:hideMark/>
          </w:tcPr>
          <w:p w14:paraId="10C69F9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36</w:t>
            </w:r>
          </w:p>
        </w:tc>
        <w:tc>
          <w:tcPr>
            <w:tcW w:w="0" w:type="auto"/>
            <w:shd w:val="clear" w:color="auto" w:fill="D9D9D9" w:themeFill="background1" w:themeFillShade="D9"/>
            <w:noWrap/>
            <w:hideMark/>
          </w:tcPr>
          <w:p w14:paraId="2EE635E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-7.7%</w:t>
            </w:r>
          </w:p>
        </w:tc>
        <w:tc>
          <w:tcPr>
            <w:tcW w:w="0" w:type="auto"/>
            <w:shd w:val="clear" w:color="auto" w:fill="D9D9D9" w:themeFill="background1" w:themeFillShade="D9"/>
            <w:noWrap/>
            <w:hideMark/>
          </w:tcPr>
          <w:p w14:paraId="50AFDAE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w:t>
            </w:r>
          </w:p>
        </w:tc>
        <w:tc>
          <w:tcPr>
            <w:tcW w:w="0" w:type="auto"/>
            <w:shd w:val="clear" w:color="auto" w:fill="D9D9D9" w:themeFill="background1" w:themeFillShade="D9"/>
            <w:noWrap/>
            <w:hideMark/>
          </w:tcPr>
          <w:p w14:paraId="056CC76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w:t>
            </w:r>
          </w:p>
        </w:tc>
        <w:tc>
          <w:tcPr>
            <w:tcW w:w="0" w:type="auto"/>
            <w:shd w:val="clear" w:color="auto" w:fill="D9D9D9" w:themeFill="background1" w:themeFillShade="D9"/>
            <w:noWrap/>
            <w:hideMark/>
          </w:tcPr>
          <w:p w14:paraId="392A6FD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w:t>
            </w:r>
          </w:p>
        </w:tc>
        <w:tc>
          <w:tcPr>
            <w:tcW w:w="0" w:type="auto"/>
            <w:shd w:val="clear" w:color="auto" w:fill="D9D9D9" w:themeFill="background1" w:themeFillShade="D9"/>
            <w:noWrap/>
            <w:hideMark/>
          </w:tcPr>
          <w:p w14:paraId="2C11788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16.1</w:t>
            </w:r>
          </w:p>
        </w:tc>
        <w:tc>
          <w:tcPr>
            <w:tcW w:w="0" w:type="auto"/>
            <w:shd w:val="clear" w:color="auto" w:fill="D9D9D9" w:themeFill="background1" w:themeFillShade="D9"/>
            <w:noWrap/>
            <w:hideMark/>
          </w:tcPr>
          <w:p w14:paraId="3548A7D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5.6</w:t>
            </w:r>
          </w:p>
        </w:tc>
        <w:tc>
          <w:tcPr>
            <w:tcW w:w="0" w:type="auto"/>
            <w:shd w:val="clear" w:color="auto" w:fill="D9D9D9" w:themeFill="background1" w:themeFillShade="D9"/>
            <w:noWrap/>
            <w:hideMark/>
          </w:tcPr>
          <w:p w14:paraId="3F5B6E5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12,871</w:t>
            </w:r>
          </w:p>
        </w:tc>
        <w:tc>
          <w:tcPr>
            <w:tcW w:w="0" w:type="auto"/>
            <w:shd w:val="clear" w:color="auto" w:fill="D9D9D9" w:themeFill="background1" w:themeFillShade="D9"/>
            <w:noWrap/>
            <w:hideMark/>
          </w:tcPr>
          <w:p w14:paraId="31A50940"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18,219</w:t>
            </w:r>
          </w:p>
        </w:tc>
        <w:tc>
          <w:tcPr>
            <w:tcW w:w="0" w:type="auto"/>
            <w:shd w:val="clear" w:color="auto" w:fill="D9D9D9" w:themeFill="background1" w:themeFillShade="D9"/>
            <w:noWrap/>
            <w:hideMark/>
          </w:tcPr>
          <w:p w14:paraId="2360A99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41.6%</w:t>
            </w:r>
          </w:p>
        </w:tc>
        <w:tc>
          <w:tcPr>
            <w:tcW w:w="0" w:type="auto"/>
            <w:shd w:val="clear" w:color="auto" w:fill="D9D9D9" w:themeFill="background1" w:themeFillShade="D9"/>
            <w:noWrap/>
            <w:hideMark/>
          </w:tcPr>
          <w:p w14:paraId="4E5657A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shd w:val="clear" w:color="auto" w:fill="D9D9D9" w:themeFill="background1" w:themeFillShade="D9"/>
            <w:noWrap/>
            <w:hideMark/>
          </w:tcPr>
          <w:p w14:paraId="616C6C3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22.2%</w:t>
            </w:r>
          </w:p>
        </w:tc>
      </w:tr>
      <w:tr w:rsidR="00494E93" w:rsidRPr="00472DAF" w14:paraId="59C75F7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0EFFB9DB" w14:textId="77777777" w:rsidR="00494E93" w:rsidRPr="00472DAF" w:rsidRDefault="00494E93" w:rsidP="00472DAF">
            <w:pPr>
              <w:rPr>
                <w:rFonts w:ascii="Calibri" w:hAnsi="Calibri"/>
                <w:color w:val="000000"/>
                <w:szCs w:val="22"/>
              </w:rPr>
            </w:pPr>
            <w:r w:rsidRPr="00472DAF">
              <w:rPr>
                <w:rFonts w:ascii="Calibri" w:hAnsi="Calibri"/>
                <w:color w:val="000000"/>
                <w:szCs w:val="22"/>
              </w:rPr>
              <w:t>0135</w:t>
            </w:r>
          </w:p>
        </w:tc>
        <w:tc>
          <w:tcPr>
            <w:tcW w:w="0" w:type="auto"/>
            <w:noWrap/>
            <w:hideMark/>
          </w:tcPr>
          <w:p w14:paraId="0389C6E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Holland</w:t>
            </w:r>
          </w:p>
        </w:tc>
        <w:tc>
          <w:tcPr>
            <w:tcW w:w="0" w:type="auto"/>
            <w:noWrap/>
            <w:hideMark/>
          </w:tcPr>
          <w:p w14:paraId="57A126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5C566822"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79E5C8A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12.29</w:t>
            </w:r>
          </w:p>
        </w:tc>
        <w:tc>
          <w:tcPr>
            <w:tcW w:w="0" w:type="auto"/>
            <w:noWrap/>
            <w:hideMark/>
          </w:tcPr>
          <w:p w14:paraId="7F4F828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267</w:t>
            </w:r>
          </w:p>
        </w:tc>
        <w:tc>
          <w:tcPr>
            <w:tcW w:w="0" w:type="auto"/>
            <w:noWrap/>
            <w:hideMark/>
          </w:tcPr>
          <w:p w14:paraId="284EBF5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237</w:t>
            </w:r>
          </w:p>
        </w:tc>
        <w:tc>
          <w:tcPr>
            <w:tcW w:w="0" w:type="auto"/>
            <w:noWrap/>
            <w:hideMark/>
          </w:tcPr>
          <w:p w14:paraId="700E7DA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-11.2%</w:t>
            </w:r>
          </w:p>
        </w:tc>
        <w:tc>
          <w:tcPr>
            <w:tcW w:w="0" w:type="auto"/>
            <w:noWrap/>
            <w:hideMark/>
          </w:tcPr>
          <w:p w14:paraId="76F6AFA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12.4</w:t>
            </w:r>
          </w:p>
        </w:tc>
        <w:tc>
          <w:tcPr>
            <w:tcW w:w="0" w:type="auto"/>
            <w:noWrap/>
            <w:hideMark/>
          </w:tcPr>
          <w:p w14:paraId="70BE7B8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19.6</w:t>
            </w:r>
          </w:p>
        </w:tc>
        <w:tc>
          <w:tcPr>
            <w:tcW w:w="0" w:type="auto"/>
            <w:noWrap/>
            <w:hideMark/>
          </w:tcPr>
          <w:p w14:paraId="5696CC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c>
          <w:tcPr>
            <w:tcW w:w="0" w:type="auto"/>
            <w:noWrap/>
            <w:hideMark/>
          </w:tcPr>
          <w:p w14:paraId="7225BE9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8.3</w:t>
            </w:r>
          </w:p>
        </w:tc>
        <w:tc>
          <w:tcPr>
            <w:tcW w:w="0" w:type="auto"/>
            <w:noWrap/>
            <w:hideMark/>
          </w:tcPr>
          <w:p w14:paraId="2D0D617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w:t>
            </w:r>
          </w:p>
        </w:tc>
        <w:tc>
          <w:tcPr>
            <w:tcW w:w="0" w:type="auto"/>
            <w:noWrap/>
            <w:hideMark/>
          </w:tcPr>
          <w:p w14:paraId="7560546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9,293</w:t>
            </w:r>
          </w:p>
        </w:tc>
        <w:tc>
          <w:tcPr>
            <w:tcW w:w="0" w:type="auto"/>
            <w:noWrap/>
            <w:hideMark/>
          </w:tcPr>
          <w:p w14:paraId="0B9345F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12,379</w:t>
            </w:r>
          </w:p>
        </w:tc>
        <w:tc>
          <w:tcPr>
            <w:tcW w:w="0" w:type="auto"/>
            <w:noWrap/>
            <w:hideMark/>
          </w:tcPr>
          <w:p w14:paraId="2BEFFE7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33.2%</w:t>
            </w:r>
          </w:p>
        </w:tc>
        <w:tc>
          <w:tcPr>
            <w:tcW w:w="0" w:type="auto"/>
            <w:noWrap/>
            <w:hideMark/>
          </w:tcPr>
          <w:p w14:paraId="31018D4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55.2</w:t>
            </w:r>
          </w:p>
        </w:tc>
        <w:tc>
          <w:tcPr>
            <w:tcW w:w="0" w:type="auto"/>
            <w:noWrap/>
            <w:hideMark/>
          </w:tcPr>
          <w:p w14:paraId="2396585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23.3%</w:t>
            </w:r>
          </w:p>
        </w:tc>
      </w:tr>
      <w:tr w:rsidR="003B6049" w:rsidRPr="00472DAF" w14:paraId="0E3B0D8A"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50A52C1F" w14:textId="77777777" w:rsidR="00494E93" w:rsidRPr="00472DAF" w:rsidRDefault="00494E93" w:rsidP="00472DAF">
            <w:pPr>
              <w:rPr>
                <w:rFonts w:ascii="Calibri" w:hAnsi="Calibri"/>
                <w:color w:val="000000"/>
                <w:szCs w:val="22"/>
              </w:rPr>
            </w:pPr>
            <w:r w:rsidRPr="00472DAF">
              <w:rPr>
                <w:rFonts w:ascii="Calibri" w:hAnsi="Calibri"/>
                <w:color w:val="000000"/>
                <w:szCs w:val="22"/>
              </w:rPr>
              <w:t>0148</w:t>
            </w:r>
          </w:p>
        </w:tc>
        <w:tc>
          <w:tcPr>
            <w:tcW w:w="0" w:type="auto"/>
            <w:shd w:val="clear" w:color="auto" w:fill="D9D9D9" w:themeFill="background1" w:themeFillShade="D9"/>
            <w:noWrap/>
            <w:hideMark/>
          </w:tcPr>
          <w:p w14:paraId="6B9A7255"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Lanesborough</w:t>
            </w:r>
          </w:p>
        </w:tc>
        <w:tc>
          <w:tcPr>
            <w:tcW w:w="0" w:type="auto"/>
            <w:shd w:val="clear" w:color="auto" w:fill="D9D9D9" w:themeFill="background1" w:themeFillShade="D9"/>
            <w:noWrap/>
            <w:hideMark/>
          </w:tcPr>
          <w:p w14:paraId="1F21154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53390128"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4CEE2B4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28.84</w:t>
            </w:r>
          </w:p>
        </w:tc>
        <w:tc>
          <w:tcPr>
            <w:tcW w:w="0" w:type="auto"/>
            <w:shd w:val="clear" w:color="auto" w:fill="D9D9D9" w:themeFill="background1" w:themeFillShade="D9"/>
            <w:noWrap/>
            <w:hideMark/>
          </w:tcPr>
          <w:p w14:paraId="67FE40A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295</w:t>
            </w:r>
          </w:p>
        </w:tc>
        <w:tc>
          <w:tcPr>
            <w:tcW w:w="0" w:type="auto"/>
            <w:shd w:val="clear" w:color="auto" w:fill="D9D9D9" w:themeFill="background1" w:themeFillShade="D9"/>
            <w:noWrap/>
            <w:hideMark/>
          </w:tcPr>
          <w:p w14:paraId="2002C0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206</w:t>
            </w:r>
          </w:p>
        </w:tc>
        <w:tc>
          <w:tcPr>
            <w:tcW w:w="0" w:type="auto"/>
            <w:shd w:val="clear" w:color="auto" w:fill="D9D9D9" w:themeFill="background1" w:themeFillShade="D9"/>
            <w:noWrap/>
            <w:hideMark/>
          </w:tcPr>
          <w:p w14:paraId="2495331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-30.2%</w:t>
            </w:r>
          </w:p>
        </w:tc>
        <w:tc>
          <w:tcPr>
            <w:tcW w:w="0" w:type="auto"/>
            <w:shd w:val="clear" w:color="auto" w:fill="D9D9D9" w:themeFill="background1" w:themeFillShade="D9"/>
            <w:noWrap/>
            <w:hideMark/>
          </w:tcPr>
          <w:p w14:paraId="0AD5877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6.8</w:t>
            </w:r>
          </w:p>
        </w:tc>
        <w:tc>
          <w:tcPr>
            <w:tcW w:w="0" w:type="auto"/>
            <w:shd w:val="clear" w:color="auto" w:fill="D9D9D9" w:themeFill="background1" w:themeFillShade="D9"/>
            <w:noWrap/>
            <w:hideMark/>
          </w:tcPr>
          <w:p w14:paraId="3CB9D99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19.0</w:t>
            </w:r>
          </w:p>
        </w:tc>
        <w:tc>
          <w:tcPr>
            <w:tcW w:w="0" w:type="auto"/>
            <w:shd w:val="clear" w:color="auto" w:fill="D9D9D9" w:themeFill="background1" w:themeFillShade="D9"/>
            <w:noWrap/>
            <w:hideMark/>
          </w:tcPr>
          <w:p w14:paraId="40DD19A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w:t>
            </w:r>
          </w:p>
        </w:tc>
        <w:tc>
          <w:tcPr>
            <w:tcW w:w="0" w:type="auto"/>
            <w:shd w:val="clear" w:color="auto" w:fill="D9D9D9" w:themeFill="background1" w:themeFillShade="D9"/>
            <w:noWrap/>
            <w:hideMark/>
          </w:tcPr>
          <w:p w14:paraId="7D2EAE9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9.2</w:t>
            </w:r>
          </w:p>
        </w:tc>
        <w:tc>
          <w:tcPr>
            <w:tcW w:w="0" w:type="auto"/>
            <w:shd w:val="clear" w:color="auto" w:fill="D9D9D9" w:themeFill="background1" w:themeFillShade="D9"/>
            <w:noWrap/>
            <w:hideMark/>
          </w:tcPr>
          <w:p w14:paraId="02EC4E7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5.3</w:t>
            </w:r>
          </w:p>
        </w:tc>
        <w:tc>
          <w:tcPr>
            <w:tcW w:w="0" w:type="auto"/>
            <w:shd w:val="clear" w:color="auto" w:fill="D9D9D9" w:themeFill="background1" w:themeFillShade="D9"/>
            <w:noWrap/>
            <w:hideMark/>
          </w:tcPr>
          <w:p w14:paraId="3E8AF7E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11,745</w:t>
            </w:r>
          </w:p>
        </w:tc>
        <w:tc>
          <w:tcPr>
            <w:tcW w:w="0" w:type="auto"/>
            <w:shd w:val="clear" w:color="auto" w:fill="D9D9D9" w:themeFill="background1" w:themeFillShade="D9"/>
            <w:noWrap/>
            <w:hideMark/>
          </w:tcPr>
          <w:p w14:paraId="74546BF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17,669</w:t>
            </w:r>
          </w:p>
        </w:tc>
        <w:tc>
          <w:tcPr>
            <w:tcW w:w="0" w:type="auto"/>
            <w:shd w:val="clear" w:color="auto" w:fill="D9D9D9" w:themeFill="background1" w:themeFillShade="D9"/>
            <w:noWrap/>
            <w:hideMark/>
          </w:tcPr>
          <w:p w14:paraId="65BF1C4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50.4%</w:t>
            </w:r>
          </w:p>
        </w:tc>
        <w:tc>
          <w:tcPr>
            <w:tcW w:w="0" w:type="auto"/>
            <w:shd w:val="clear" w:color="auto" w:fill="D9D9D9" w:themeFill="background1" w:themeFillShade="D9"/>
            <w:noWrap/>
            <w:hideMark/>
          </w:tcPr>
          <w:p w14:paraId="6FABB98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14.5</w:t>
            </w:r>
          </w:p>
        </w:tc>
        <w:tc>
          <w:tcPr>
            <w:tcW w:w="0" w:type="auto"/>
            <w:shd w:val="clear" w:color="auto" w:fill="D9D9D9" w:themeFill="background1" w:themeFillShade="D9"/>
            <w:noWrap/>
            <w:hideMark/>
          </w:tcPr>
          <w:p w14:paraId="29FA9BE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r>
      <w:tr w:rsidR="00494E93" w:rsidRPr="00472DAF" w14:paraId="5BD36CC7"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0A8311D8" w14:textId="77777777" w:rsidR="00494E93" w:rsidRPr="00472DAF" w:rsidRDefault="00494E93" w:rsidP="00472DAF">
            <w:pPr>
              <w:rPr>
                <w:rFonts w:ascii="Calibri" w:hAnsi="Calibri"/>
                <w:color w:val="000000"/>
                <w:szCs w:val="22"/>
              </w:rPr>
            </w:pPr>
            <w:r w:rsidRPr="00472DAF">
              <w:rPr>
                <w:rFonts w:ascii="Calibri" w:hAnsi="Calibri"/>
                <w:color w:val="000000"/>
                <w:szCs w:val="22"/>
              </w:rPr>
              <w:t>0154</w:t>
            </w:r>
          </w:p>
        </w:tc>
        <w:tc>
          <w:tcPr>
            <w:tcW w:w="0" w:type="auto"/>
            <w:noWrap/>
            <w:hideMark/>
          </w:tcPr>
          <w:p w14:paraId="6150537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Leverett</w:t>
            </w:r>
          </w:p>
        </w:tc>
        <w:tc>
          <w:tcPr>
            <w:tcW w:w="0" w:type="auto"/>
            <w:noWrap/>
            <w:hideMark/>
          </w:tcPr>
          <w:p w14:paraId="619F382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439F8ED"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F0F5DE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22.81</w:t>
            </w:r>
          </w:p>
        </w:tc>
        <w:tc>
          <w:tcPr>
            <w:tcW w:w="0" w:type="auto"/>
            <w:noWrap/>
            <w:hideMark/>
          </w:tcPr>
          <w:p w14:paraId="7B91935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161</w:t>
            </w:r>
          </w:p>
        </w:tc>
        <w:tc>
          <w:tcPr>
            <w:tcW w:w="0" w:type="auto"/>
            <w:noWrap/>
            <w:hideMark/>
          </w:tcPr>
          <w:p w14:paraId="1ACF8F6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136</w:t>
            </w:r>
          </w:p>
        </w:tc>
        <w:tc>
          <w:tcPr>
            <w:tcW w:w="0" w:type="auto"/>
            <w:noWrap/>
            <w:hideMark/>
          </w:tcPr>
          <w:p w14:paraId="27BD78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-15.5%</w:t>
            </w:r>
          </w:p>
        </w:tc>
        <w:tc>
          <w:tcPr>
            <w:tcW w:w="0" w:type="auto"/>
            <w:noWrap/>
            <w:hideMark/>
          </w:tcPr>
          <w:p w14:paraId="2AB91A3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w:t>
            </w:r>
          </w:p>
        </w:tc>
        <w:tc>
          <w:tcPr>
            <w:tcW w:w="0" w:type="auto"/>
            <w:noWrap/>
            <w:hideMark/>
          </w:tcPr>
          <w:p w14:paraId="1A2E7F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13.8</w:t>
            </w:r>
          </w:p>
        </w:tc>
        <w:tc>
          <w:tcPr>
            <w:tcW w:w="0" w:type="auto"/>
            <w:noWrap/>
            <w:hideMark/>
          </w:tcPr>
          <w:p w14:paraId="04D39B1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w:t>
            </w:r>
          </w:p>
        </w:tc>
        <w:tc>
          <w:tcPr>
            <w:tcW w:w="0" w:type="auto"/>
            <w:noWrap/>
            <w:hideMark/>
          </w:tcPr>
          <w:p w14:paraId="44F215C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10.2</w:t>
            </w:r>
          </w:p>
        </w:tc>
        <w:tc>
          <w:tcPr>
            <w:tcW w:w="0" w:type="auto"/>
            <w:noWrap/>
            <w:hideMark/>
          </w:tcPr>
          <w:p w14:paraId="163A4B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w:t>
            </w:r>
          </w:p>
        </w:tc>
        <w:tc>
          <w:tcPr>
            <w:tcW w:w="0" w:type="auto"/>
            <w:noWrap/>
            <w:hideMark/>
          </w:tcPr>
          <w:p w14:paraId="5566064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14,006</w:t>
            </w:r>
          </w:p>
        </w:tc>
        <w:tc>
          <w:tcPr>
            <w:tcW w:w="0" w:type="auto"/>
            <w:noWrap/>
            <w:hideMark/>
          </w:tcPr>
          <w:p w14:paraId="460ADF4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18,308</w:t>
            </w:r>
          </w:p>
        </w:tc>
        <w:tc>
          <w:tcPr>
            <w:tcW w:w="0" w:type="auto"/>
            <w:noWrap/>
            <w:hideMark/>
          </w:tcPr>
          <w:p w14:paraId="2A25783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30.7%</w:t>
            </w:r>
          </w:p>
        </w:tc>
        <w:tc>
          <w:tcPr>
            <w:tcW w:w="0" w:type="auto"/>
            <w:noWrap/>
            <w:hideMark/>
          </w:tcPr>
          <w:p w14:paraId="7A80ED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18.2</w:t>
            </w:r>
          </w:p>
        </w:tc>
        <w:tc>
          <w:tcPr>
            <w:tcW w:w="0" w:type="auto"/>
            <w:noWrap/>
            <w:hideMark/>
          </w:tcPr>
          <w:p w14:paraId="3F19CC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13.4%</w:t>
            </w:r>
          </w:p>
        </w:tc>
      </w:tr>
      <w:tr w:rsidR="003B6049" w:rsidRPr="00472DAF" w14:paraId="1CAEA8B9"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5900FBFD" w14:textId="77777777" w:rsidR="00494E93" w:rsidRPr="00472DAF" w:rsidRDefault="00494E93" w:rsidP="00472DAF">
            <w:pPr>
              <w:rPr>
                <w:rFonts w:ascii="Calibri" w:hAnsi="Calibri"/>
                <w:color w:val="000000"/>
                <w:szCs w:val="22"/>
              </w:rPr>
            </w:pPr>
            <w:r w:rsidRPr="00472DAF">
              <w:rPr>
                <w:rFonts w:ascii="Calibri" w:hAnsi="Calibri"/>
                <w:color w:val="000000"/>
                <w:szCs w:val="22"/>
              </w:rPr>
              <w:t>0223</w:t>
            </w:r>
          </w:p>
        </w:tc>
        <w:tc>
          <w:tcPr>
            <w:tcW w:w="0" w:type="auto"/>
            <w:shd w:val="clear" w:color="auto" w:fill="D9D9D9" w:themeFill="background1" w:themeFillShade="D9"/>
            <w:noWrap/>
            <w:hideMark/>
          </w:tcPr>
          <w:p w14:paraId="15CFEFC1"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Orange</w:t>
            </w:r>
          </w:p>
        </w:tc>
        <w:tc>
          <w:tcPr>
            <w:tcW w:w="0" w:type="auto"/>
            <w:shd w:val="clear" w:color="auto" w:fill="D9D9D9" w:themeFill="background1" w:themeFillShade="D9"/>
            <w:noWrap/>
            <w:hideMark/>
          </w:tcPr>
          <w:p w14:paraId="652D869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1E915A00"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4936713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35.09</w:t>
            </w:r>
          </w:p>
        </w:tc>
        <w:tc>
          <w:tcPr>
            <w:tcW w:w="0" w:type="auto"/>
            <w:shd w:val="clear" w:color="auto" w:fill="D9D9D9" w:themeFill="background1" w:themeFillShade="D9"/>
            <w:noWrap/>
            <w:hideMark/>
          </w:tcPr>
          <w:p w14:paraId="48A316B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823</w:t>
            </w:r>
          </w:p>
        </w:tc>
        <w:tc>
          <w:tcPr>
            <w:tcW w:w="0" w:type="auto"/>
            <w:shd w:val="clear" w:color="auto" w:fill="D9D9D9" w:themeFill="background1" w:themeFillShade="D9"/>
            <w:noWrap/>
            <w:hideMark/>
          </w:tcPr>
          <w:p w14:paraId="33AA3C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629</w:t>
            </w:r>
          </w:p>
        </w:tc>
        <w:tc>
          <w:tcPr>
            <w:tcW w:w="0" w:type="auto"/>
            <w:shd w:val="clear" w:color="auto" w:fill="D9D9D9" w:themeFill="background1" w:themeFillShade="D9"/>
            <w:noWrap/>
            <w:hideMark/>
          </w:tcPr>
          <w:p w14:paraId="24DFB6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-23.6%</w:t>
            </w:r>
          </w:p>
        </w:tc>
        <w:tc>
          <w:tcPr>
            <w:tcW w:w="0" w:type="auto"/>
            <w:shd w:val="clear" w:color="auto" w:fill="D9D9D9" w:themeFill="background1" w:themeFillShade="D9"/>
            <w:noWrap/>
            <w:hideMark/>
          </w:tcPr>
          <w:p w14:paraId="3575523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17.5</w:t>
            </w:r>
          </w:p>
        </w:tc>
        <w:tc>
          <w:tcPr>
            <w:tcW w:w="0" w:type="auto"/>
            <w:shd w:val="clear" w:color="auto" w:fill="D9D9D9" w:themeFill="background1" w:themeFillShade="D9"/>
            <w:noWrap/>
            <w:hideMark/>
          </w:tcPr>
          <w:p w14:paraId="70E087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46.9</w:t>
            </w:r>
          </w:p>
        </w:tc>
        <w:tc>
          <w:tcPr>
            <w:tcW w:w="0" w:type="auto"/>
            <w:shd w:val="clear" w:color="auto" w:fill="D9D9D9" w:themeFill="background1" w:themeFillShade="D9"/>
            <w:noWrap/>
            <w:hideMark/>
          </w:tcPr>
          <w:p w14:paraId="70B1E9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25.0</w:t>
            </w:r>
          </w:p>
        </w:tc>
        <w:tc>
          <w:tcPr>
            <w:tcW w:w="0" w:type="auto"/>
            <w:shd w:val="clear" w:color="auto" w:fill="D9D9D9" w:themeFill="background1" w:themeFillShade="D9"/>
            <w:noWrap/>
            <w:hideMark/>
          </w:tcPr>
          <w:p w14:paraId="7454337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w:t>
            </w:r>
          </w:p>
        </w:tc>
        <w:tc>
          <w:tcPr>
            <w:tcW w:w="0" w:type="auto"/>
            <w:shd w:val="clear" w:color="auto" w:fill="D9D9D9" w:themeFill="background1" w:themeFillShade="D9"/>
            <w:noWrap/>
            <w:hideMark/>
          </w:tcPr>
          <w:p w14:paraId="5D4834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4.0</w:t>
            </w:r>
          </w:p>
        </w:tc>
        <w:tc>
          <w:tcPr>
            <w:tcW w:w="0" w:type="auto"/>
            <w:shd w:val="clear" w:color="auto" w:fill="D9D9D9" w:themeFill="background1" w:themeFillShade="D9"/>
            <w:noWrap/>
            <w:hideMark/>
          </w:tcPr>
          <w:p w14:paraId="36086B9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10,531</w:t>
            </w:r>
          </w:p>
        </w:tc>
        <w:tc>
          <w:tcPr>
            <w:tcW w:w="0" w:type="auto"/>
            <w:shd w:val="clear" w:color="auto" w:fill="D9D9D9" w:themeFill="background1" w:themeFillShade="D9"/>
            <w:noWrap/>
            <w:hideMark/>
          </w:tcPr>
          <w:p w14:paraId="7C15380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12,984</w:t>
            </w:r>
          </w:p>
        </w:tc>
        <w:tc>
          <w:tcPr>
            <w:tcW w:w="0" w:type="auto"/>
            <w:shd w:val="clear" w:color="auto" w:fill="D9D9D9" w:themeFill="background1" w:themeFillShade="D9"/>
            <w:noWrap/>
            <w:hideMark/>
          </w:tcPr>
          <w:p w14:paraId="551273A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23.3%</w:t>
            </w:r>
          </w:p>
        </w:tc>
        <w:tc>
          <w:tcPr>
            <w:tcW w:w="0" w:type="auto"/>
            <w:shd w:val="clear" w:color="auto" w:fill="D9D9D9" w:themeFill="background1" w:themeFillShade="D9"/>
            <w:noWrap/>
            <w:hideMark/>
          </w:tcPr>
          <w:p w14:paraId="3FEAA54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59.9</w:t>
            </w:r>
          </w:p>
        </w:tc>
        <w:tc>
          <w:tcPr>
            <w:tcW w:w="0" w:type="auto"/>
            <w:shd w:val="clear" w:color="auto" w:fill="D9D9D9" w:themeFill="background1" w:themeFillShade="D9"/>
            <w:noWrap/>
            <w:hideMark/>
          </w:tcPr>
          <w:p w14:paraId="27D4758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w:t>
            </w:r>
          </w:p>
        </w:tc>
      </w:tr>
      <w:tr w:rsidR="00494E93" w:rsidRPr="00472DAF" w14:paraId="70F2669A"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738B7667" w14:textId="77777777" w:rsidR="00494E93" w:rsidRPr="00472DAF" w:rsidRDefault="00494E93" w:rsidP="00472DAF">
            <w:pPr>
              <w:rPr>
                <w:rFonts w:ascii="Calibri" w:hAnsi="Calibri"/>
                <w:color w:val="000000"/>
                <w:szCs w:val="22"/>
              </w:rPr>
            </w:pPr>
            <w:r w:rsidRPr="00472DAF">
              <w:rPr>
                <w:rFonts w:ascii="Calibri" w:hAnsi="Calibri"/>
                <w:color w:val="000000"/>
                <w:szCs w:val="22"/>
              </w:rPr>
              <w:t>0234</w:t>
            </w:r>
          </w:p>
        </w:tc>
        <w:tc>
          <w:tcPr>
            <w:tcW w:w="0" w:type="auto"/>
            <w:noWrap/>
            <w:hideMark/>
          </w:tcPr>
          <w:p w14:paraId="484A4C45"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Petersham</w:t>
            </w:r>
          </w:p>
        </w:tc>
        <w:tc>
          <w:tcPr>
            <w:tcW w:w="0" w:type="auto"/>
            <w:noWrap/>
            <w:hideMark/>
          </w:tcPr>
          <w:p w14:paraId="655CE0D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72A4F8E"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6D3ABDF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54.24</w:t>
            </w:r>
          </w:p>
        </w:tc>
        <w:tc>
          <w:tcPr>
            <w:tcW w:w="0" w:type="auto"/>
            <w:noWrap/>
            <w:hideMark/>
          </w:tcPr>
          <w:p w14:paraId="0195D21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120</w:t>
            </w:r>
          </w:p>
        </w:tc>
        <w:tc>
          <w:tcPr>
            <w:tcW w:w="0" w:type="auto"/>
            <w:noWrap/>
            <w:hideMark/>
          </w:tcPr>
          <w:p w14:paraId="6BA8B8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124</w:t>
            </w:r>
          </w:p>
        </w:tc>
        <w:tc>
          <w:tcPr>
            <w:tcW w:w="0" w:type="auto"/>
            <w:noWrap/>
            <w:hideMark/>
          </w:tcPr>
          <w:p w14:paraId="42B74CA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w:t>
            </w:r>
          </w:p>
        </w:tc>
        <w:tc>
          <w:tcPr>
            <w:tcW w:w="0" w:type="auto"/>
            <w:noWrap/>
            <w:hideMark/>
          </w:tcPr>
          <w:p w14:paraId="0D04135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w:t>
            </w:r>
          </w:p>
        </w:tc>
        <w:tc>
          <w:tcPr>
            <w:tcW w:w="0" w:type="auto"/>
            <w:noWrap/>
            <w:hideMark/>
          </w:tcPr>
          <w:p w14:paraId="70658E7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11.5</w:t>
            </w:r>
          </w:p>
        </w:tc>
        <w:tc>
          <w:tcPr>
            <w:tcW w:w="0" w:type="auto"/>
            <w:noWrap/>
            <w:hideMark/>
          </w:tcPr>
          <w:p w14:paraId="03178A7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w:t>
            </w:r>
          </w:p>
        </w:tc>
        <w:tc>
          <w:tcPr>
            <w:tcW w:w="0" w:type="auto"/>
            <w:noWrap/>
            <w:hideMark/>
          </w:tcPr>
          <w:p w14:paraId="39275D8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noWrap/>
            <w:hideMark/>
          </w:tcPr>
          <w:p w14:paraId="363BF8A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4.0</w:t>
            </w:r>
          </w:p>
        </w:tc>
        <w:tc>
          <w:tcPr>
            <w:tcW w:w="0" w:type="auto"/>
            <w:noWrap/>
            <w:hideMark/>
          </w:tcPr>
          <w:p w14:paraId="35BE419C"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10,854</w:t>
            </w:r>
          </w:p>
        </w:tc>
        <w:tc>
          <w:tcPr>
            <w:tcW w:w="0" w:type="auto"/>
            <w:noWrap/>
            <w:hideMark/>
          </w:tcPr>
          <w:p w14:paraId="5EE7C095"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14,836</w:t>
            </w:r>
          </w:p>
        </w:tc>
        <w:tc>
          <w:tcPr>
            <w:tcW w:w="0" w:type="auto"/>
            <w:noWrap/>
            <w:hideMark/>
          </w:tcPr>
          <w:p w14:paraId="7BD3F5D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36.7%</w:t>
            </w:r>
          </w:p>
        </w:tc>
        <w:tc>
          <w:tcPr>
            <w:tcW w:w="0" w:type="auto"/>
            <w:noWrap/>
            <w:hideMark/>
          </w:tcPr>
          <w:p w14:paraId="0D8AE73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65.3</w:t>
            </w:r>
          </w:p>
        </w:tc>
        <w:tc>
          <w:tcPr>
            <w:tcW w:w="0" w:type="auto"/>
            <w:noWrap/>
            <w:hideMark/>
          </w:tcPr>
          <w:p w14:paraId="24D3EB3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52.7%</w:t>
            </w:r>
          </w:p>
        </w:tc>
      </w:tr>
      <w:tr w:rsidR="003B6049" w:rsidRPr="00472DAF" w14:paraId="2E0BD5C3"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1E571DCE" w14:textId="77777777" w:rsidR="00494E93" w:rsidRPr="00472DAF" w:rsidRDefault="00494E93" w:rsidP="00472DAF">
            <w:pPr>
              <w:rPr>
                <w:rFonts w:ascii="Calibri" w:hAnsi="Calibri"/>
                <w:color w:val="000000"/>
                <w:szCs w:val="22"/>
              </w:rPr>
            </w:pPr>
            <w:r w:rsidRPr="00472DAF">
              <w:rPr>
                <w:rFonts w:ascii="Calibri" w:hAnsi="Calibri"/>
                <w:color w:val="000000"/>
                <w:szCs w:val="22"/>
              </w:rPr>
              <w:t>0240</w:t>
            </w:r>
          </w:p>
        </w:tc>
        <w:tc>
          <w:tcPr>
            <w:tcW w:w="0" w:type="auto"/>
            <w:shd w:val="clear" w:color="auto" w:fill="D9D9D9" w:themeFill="background1" w:themeFillShade="D9"/>
            <w:noWrap/>
            <w:hideMark/>
          </w:tcPr>
          <w:p w14:paraId="0F1F250E"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Plympton</w:t>
            </w:r>
          </w:p>
        </w:tc>
        <w:tc>
          <w:tcPr>
            <w:tcW w:w="0" w:type="auto"/>
            <w:shd w:val="clear" w:color="auto" w:fill="D9D9D9" w:themeFill="background1" w:themeFillShade="D9"/>
            <w:noWrap/>
            <w:hideMark/>
          </w:tcPr>
          <w:p w14:paraId="38DD4CE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1CDCD47A"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5ECFFE8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14.67</w:t>
            </w:r>
          </w:p>
        </w:tc>
        <w:tc>
          <w:tcPr>
            <w:tcW w:w="0" w:type="auto"/>
            <w:shd w:val="clear" w:color="auto" w:fill="D9D9D9" w:themeFill="background1" w:themeFillShade="D9"/>
            <w:noWrap/>
            <w:hideMark/>
          </w:tcPr>
          <w:p w14:paraId="6C6428F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228</w:t>
            </w:r>
          </w:p>
        </w:tc>
        <w:tc>
          <w:tcPr>
            <w:tcW w:w="0" w:type="auto"/>
            <w:shd w:val="clear" w:color="auto" w:fill="D9D9D9" w:themeFill="background1" w:themeFillShade="D9"/>
            <w:noWrap/>
            <w:hideMark/>
          </w:tcPr>
          <w:p w14:paraId="5984F7E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209</w:t>
            </w:r>
          </w:p>
        </w:tc>
        <w:tc>
          <w:tcPr>
            <w:tcW w:w="0" w:type="auto"/>
            <w:shd w:val="clear" w:color="auto" w:fill="D9D9D9" w:themeFill="background1" w:themeFillShade="D9"/>
            <w:noWrap/>
            <w:hideMark/>
          </w:tcPr>
          <w:p w14:paraId="5D27472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-8.3%</w:t>
            </w:r>
          </w:p>
        </w:tc>
        <w:tc>
          <w:tcPr>
            <w:tcW w:w="0" w:type="auto"/>
            <w:shd w:val="clear" w:color="auto" w:fill="D9D9D9" w:themeFill="background1" w:themeFillShade="D9"/>
            <w:noWrap/>
            <w:hideMark/>
          </w:tcPr>
          <w:p w14:paraId="46E0EAF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15.1</w:t>
            </w:r>
          </w:p>
        </w:tc>
        <w:tc>
          <w:tcPr>
            <w:tcW w:w="0" w:type="auto"/>
            <w:shd w:val="clear" w:color="auto" w:fill="D9D9D9" w:themeFill="background1" w:themeFillShade="D9"/>
            <w:noWrap/>
            <w:hideMark/>
          </w:tcPr>
          <w:p w14:paraId="3DA3237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17.4</w:t>
            </w:r>
          </w:p>
        </w:tc>
        <w:tc>
          <w:tcPr>
            <w:tcW w:w="0" w:type="auto"/>
            <w:shd w:val="clear" w:color="auto" w:fill="D9D9D9" w:themeFill="background1" w:themeFillShade="D9"/>
            <w:noWrap/>
            <w:hideMark/>
          </w:tcPr>
          <w:p w14:paraId="3694008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w:t>
            </w:r>
          </w:p>
        </w:tc>
        <w:tc>
          <w:tcPr>
            <w:tcW w:w="0" w:type="auto"/>
            <w:shd w:val="clear" w:color="auto" w:fill="D9D9D9" w:themeFill="background1" w:themeFillShade="D9"/>
            <w:noWrap/>
            <w:hideMark/>
          </w:tcPr>
          <w:p w14:paraId="66E5A17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8.3</w:t>
            </w:r>
          </w:p>
        </w:tc>
        <w:tc>
          <w:tcPr>
            <w:tcW w:w="0" w:type="auto"/>
            <w:shd w:val="clear" w:color="auto" w:fill="D9D9D9" w:themeFill="background1" w:themeFillShade="D9"/>
            <w:noWrap/>
            <w:hideMark/>
          </w:tcPr>
          <w:p w14:paraId="126F812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w:t>
            </w:r>
          </w:p>
        </w:tc>
        <w:tc>
          <w:tcPr>
            <w:tcW w:w="0" w:type="auto"/>
            <w:shd w:val="clear" w:color="auto" w:fill="D9D9D9" w:themeFill="background1" w:themeFillShade="D9"/>
            <w:noWrap/>
            <w:hideMark/>
          </w:tcPr>
          <w:p w14:paraId="5ABAC73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9,612</w:t>
            </w:r>
          </w:p>
        </w:tc>
        <w:tc>
          <w:tcPr>
            <w:tcW w:w="0" w:type="auto"/>
            <w:shd w:val="clear" w:color="auto" w:fill="D9D9D9" w:themeFill="background1" w:themeFillShade="D9"/>
            <w:noWrap/>
            <w:hideMark/>
          </w:tcPr>
          <w:p w14:paraId="4A78F067"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13,936</w:t>
            </w:r>
          </w:p>
        </w:tc>
        <w:tc>
          <w:tcPr>
            <w:tcW w:w="0" w:type="auto"/>
            <w:shd w:val="clear" w:color="auto" w:fill="D9D9D9" w:themeFill="background1" w:themeFillShade="D9"/>
            <w:noWrap/>
            <w:hideMark/>
          </w:tcPr>
          <w:p w14:paraId="1CAB897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45.0%</w:t>
            </w:r>
          </w:p>
        </w:tc>
        <w:tc>
          <w:tcPr>
            <w:tcW w:w="0" w:type="auto"/>
            <w:shd w:val="clear" w:color="auto" w:fill="D9D9D9" w:themeFill="background1" w:themeFillShade="D9"/>
            <w:noWrap/>
            <w:hideMark/>
          </w:tcPr>
          <w:p w14:paraId="7BC48EB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c>
          <w:tcPr>
            <w:tcW w:w="0" w:type="auto"/>
            <w:shd w:val="clear" w:color="auto" w:fill="D9D9D9" w:themeFill="background1" w:themeFillShade="D9"/>
            <w:noWrap/>
            <w:hideMark/>
          </w:tcPr>
          <w:p w14:paraId="3EA3D41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w:t>
            </w:r>
          </w:p>
        </w:tc>
      </w:tr>
      <w:tr w:rsidR="00494E93" w:rsidRPr="00472DAF" w14:paraId="0B3EE426"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7147328" w14:textId="77777777" w:rsidR="00494E93" w:rsidRPr="00472DAF" w:rsidRDefault="00494E93" w:rsidP="00472DAF">
            <w:pPr>
              <w:rPr>
                <w:rFonts w:ascii="Calibri" w:hAnsi="Calibri"/>
                <w:color w:val="000000"/>
                <w:szCs w:val="22"/>
              </w:rPr>
            </w:pPr>
            <w:r w:rsidRPr="00472DAF">
              <w:rPr>
                <w:rFonts w:ascii="Calibri" w:hAnsi="Calibri"/>
                <w:color w:val="000000"/>
                <w:szCs w:val="22"/>
              </w:rPr>
              <w:t>0242</w:t>
            </w:r>
          </w:p>
        </w:tc>
        <w:tc>
          <w:tcPr>
            <w:tcW w:w="0" w:type="auto"/>
            <w:noWrap/>
            <w:hideMark/>
          </w:tcPr>
          <w:p w14:paraId="06928CCB"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Provincetown</w:t>
            </w:r>
          </w:p>
        </w:tc>
        <w:tc>
          <w:tcPr>
            <w:tcW w:w="0" w:type="auto"/>
            <w:noWrap/>
            <w:hideMark/>
          </w:tcPr>
          <w:p w14:paraId="3F2FF1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2D473C95"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0EBDE2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9.67</w:t>
            </w:r>
          </w:p>
        </w:tc>
        <w:tc>
          <w:tcPr>
            <w:tcW w:w="0" w:type="auto"/>
            <w:noWrap/>
            <w:hideMark/>
          </w:tcPr>
          <w:p w14:paraId="13B700C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195</w:t>
            </w:r>
          </w:p>
        </w:tc>
        <w:tc>
          <w:tcPr>
            <w:tcW w:w="0" w:type="auto"/>
            <w:noWrap/>
            <w:hideMark/>
          </w:tcPr>
          <w:p w14:paraId="6EA4732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129</w:t>
            </w:r>
          </w:p>
        </w:tc>
        <w:tc>
          <w:tcPr>
            <w:tcW w:w="0" w:type="auto"/>
            <w:noWrap/>
            <w:hideMark/>
          </w:tcPr>
          <w:p w14:paraId="35E2A23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-33.8%</w:t>
            </w:r>
          </w:p>
        </w:tc>
        <w:tc>
          <w:tcPr>
            <w:tcW w:w="0" w:type="auto"/>
            <w:noWrap/>
            <w:hideMark/>
          </w:tcPr>
          <w:p w14:paraId="52760C5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11.9</w:t>
            </w:r>
          </w:p>
        </w:tc>
        <w:tc>
          <w:tcPr>
            <w:tcW w:w="0" w:type="auto"/>
            <w:noWrap/>
            <w:hideMark/>
          </w:tcPr>
          <w:p w14:paraId="15C4692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18.6</w:t>
            </w:r>
          </w:p>
        </w:tc>
        <w:tc>
          <w:tcPr>
            <w:tcW w:w="0" w:type="auto"/>
            <w:noWrap/>
            <w:hideMark/>
          </w:tcPr>
          <w:p w14:paraId="2B03E20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c>
          <w:tcPr>
            <w:tcW w:w="0" w:type="auto"/>
            <w:noWrap/>
            <w:hideMark/>
          </w:tcPr>
          <w:p w14:paraId="4F03EC7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14.4</w:t>
            </w:r>
          </w:p>
        </w:tc>
        <w:tc>
          <w:tcPr>
            <w:tcW w:w="0" w:type="auto"/>
            <w:noWrap/>
            <w:hideMark/>
          </w:tcPr>
          <w:p w14:paraId="649409C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w:t>
            </w:r>
          </w:p>
        </w:tc>
        <w:tc>
          <w:tcPr>
            <w:tcW w:w="0" w:type="auto"/>
            <w:noWrap/>
            <w:hideMark/>
          </w:tcPr>
          <w:p w14:paraId="1E47914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27,190</w:t>
            </w:r>
          </w:p>
        </w:tc>
        <w:tc>
          <w:tcPr>
            <w:tcW w:w="0" w:type="auto"/>
            <w:noWrap/>
            <w:hideMark/>
          </w:tcPr>
          <w:p w14:paraId="3A9DFC6F"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39,505</w:t>
            </w:r>
          </w:p>
        </w:tc>
        <w:tc>
          <w:tcPr>
            <w:tcW w:w="0" w:type="auto"/>
            <w:noWrap/>
            <w:hideMark/>
          </w:tcPr>
          <w:p w14:paraId="59E9F06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45.3%</w:t>
            </w:r>
          </w:p>
        </w:tc>
        <w:tc>
          <w:tcPr>
            <w:tcW w:w="0" w:type="auto"/>
            <w:noWrap/>
            <w:hideMark/>
          </w:tcPr>
          <w:p w14:paraId="7EB8CDE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54.1</w:t>
            </w:r>
          </w:p>
        </w:tc>
        <w:tc>
          <w:tcPr>
            <w:tcW w:w="0" w:type="auto"/>
            <w:noWrap/>
            <w:hideMark/>
          </w:tcPr>
          <w:p w14:paraId="12C0D88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42.0%</w:t>
            </w:r>
          </w:p>
        </w:tc>
      </w:tr>
      <w:tr w:rsidR="003B6049" w:rsidRPr="00472DAF" w14:paraId="69B3D074"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6C32F05" w14:textId="77777777" w:rsidR="00494E93" w:rsidRPr="00472DAF" w:rsidRDefault="00494E93" w:rsidP="00472DAF">
            <w:pPr>
              <w:rPr>
                <w:rFonts w:ascii="Calibri" w:hAnsi="Calibri"/>
                <w:color w:val="000000"/>
                <w:szCs w:val="22"/>
              </w:rPr>
            </w:pPr>
            <w:r w:rsidRPr="00472DAF">
              <w:rPr>
                <w:rFonts w:ascii="Calibri" w:hAnsi="Calibri"/>
                <w:color w:val="000000"/>
                <w:szCs w:val="22"/>
              </w:rPr>
              <w:t>0249</w:t>
            </w:r>
          </w:p>
        </w:tc>
        <w:tc>
          <w:tcPr>
            <w:tcW w:w="0" w:type="auto"/>
            <w:shd w:val="clear" w:color="auto" w:fill="D9D9D9" w:themeFill="background1" w:themeFillShade="D9"/>
            <w:noWrap/>
            <w:hideMark/>
          </w:tcPr>
          <w:p w14:paraId="08EF828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Richmond</w:t>
            </w:r>
          </w:p>
        </w:tc>
        <w:tc>
          <w:tcPr>
            <w:tcW w:w="0" w:type="auto"/>
            <w:shd w:val="clear" w:color="auto" w:fill="D9D9D9" w:themeFill="background1" w:themeFillShade="D9"/>
            <w:noWrap/>
            <w:hideMark/>
          </w:tcPr>
          <w:p w14:paraId="6770036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4F3EAE3A"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32AEC8E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18.69</w:t>
            </w:r>
          </w:p>
        </w:tc>
        <w:tc>
          <w:tcPr>
            <w:tcW w:w="0" w:type="auto"/>
            <w:shd w:val="clear" w:color="auto" w:fill="D9D9D9" w:themeFill="background1" w:themeFillShade="D9"/>
            <w:noWrap/>
            <w:hideMark/>
          </w:tcPr>
          <w:p w14:paraId="765F0E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188</w:t>
            </w:r>
          </w:p>
        </w:tc>
        <w:tc>
          <w:tcPr>
            <w:tcW w:w="0" w:type="auto"/>
            <w:shd w:val="clear" w:color="auto" w:fill="D9D9D9" w:themeFill="background1" w:themeFillShade="D9"/>
            <w:noWrap/>
            <w:hideMark/>
          </w:tcPr>
          <w:p w14:paraId="37BB4B1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173</w:t>
            </w:r>
          </w:p>
        </w:tc>
        <w:tc>
          <w:tcPr>
            <w:tcW w:w="0" w:type="auto"/>
            <w:shd w:val="clear" w:color="auto" w:fill="D9D9D9" w:themeFill="background1" w:themeFillShade="D9"/>
            <w:noWrap/>
            <w:hideMark/>
          </w:tcPr>
          <w:p w14:paraId="273D8DD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shd w:val="clear" w:color="auto" w:fill="D9D9D9" w:themeFill="background1" w:themeFillShade="D9"/>
            <w:noWrap/>
            <w:hideMark/>
          </w:tcPr>
          <w:p w14:paraId="7F77906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6.6</w:t>
            </w:r>
          </w:p>
        </w:tc>
        <w:tc>
          <w:tcPr>
            <w:tcW w:w="0" w:type="auto"/>
            <w:shd w:val="clear" w:color="auto" w:fill="D9D9D9" w:themeFill="background1" w:themeFillShade="D9"/>
            <w:noWrap/>
            <w:hideMark/>
          </w:tcPr>
          <w:p w14:paraId="28EB9FB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18.8</w:t>
            </w:r>
          </w:p>
        </w:tc>
        <w:tc>
          <w:tcPr>
            <w:tcW w:w="0" w:type="auto"/>
            <w:shd w:val="clear" w:color="auto" w:fill="D9D9D9" w:themeFill="background1" w:themeFillShade="D9"/>
            <w:noWrap/>
            <w:hideMark/>
          </w:tcPr>
          <w:p w14:paraId="725A7F9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w:t>
            </w:r>
          </w:p>
        </w:tc>
        <w:tc>
          <w:tcPr>
            <w:tcW w:w="0" w:type="auto"/>
            <w:shd w:val="clear" w:color="auto" w:fill="D9D9D9" w:themeFill="background1" w:themeFillShade="D9"/>
            <w:noWrap/>
            <w:hideMark/>
          </w:tcPr>
          <w:p w14:paraId="14DE0E2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10.8</w:t>
            </w:r>
          </w:p>
        </w:tc>
        <w:tc>
          <w:tcPr>
            <w:tcW w:w="0" w:type="auto"/>
            <w:shd w:val="clear" w:color="auto" w:fill="D9D9D9" w:themeFill="background1" w:themeFillShade="D9"/>
            <w:noWrap/>
            <w:hideMark/>
          </w:tcPr>
          <w:p w14:paraId="25D2253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w:t>
            </w:r>
          </w:p>
        </w:tc>
        <w:tc>
          <w:tcPr>
            <w:tcW w:w="0" w:type="auto"/>
            <w:shd w:val="clear" w:color="auto" w:fill="D9D9D9" w:themeFill="background1" w:themeFillShade="D9"/>
            <w:noWrap/>
            <w:hideMark/>
          </w:tcPr>
          <w:p w14:paraId="09EAA585"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13,200</w:t>
            </w:r>
          </w:p>
        </w:tc>
        <w:tc>
          <w:tcPr>
            <w:tcW w:w="0" w:type="auto"/>
            <w:shd w:val="clear" w:color="auto" w:fill="D9D9D9" w:themeFill="background1" w:themeFillShade="D9"/>
            <w:noWrap/>
            <w:hideMark/>
          </w:tcPr>
          <w:p w14:paraId="09DCA06F"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17,342</w:t>
            </w:r>
          </w:p>
        </w:tc>
        <w:tc>
          <w:tcPr>
            <w:tcW w:w="0" w:type="auto"/>
            <w:shd w:val="clear" w:color="auto" w:fill="D9D9D9" w:themeFill="background1" w:themeFillShade="D9"/>
            <w:noWrap/>
            <w:hideMark/>
          </w:tcPr>
          <w:p w14:paraId="70036FE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31.4%</w:t>
            </w:r>
          </w:p>
        </w:tc>
        <w:tc>
          <w:tcPr>
            <w:tcW w:w="0" w:type="auto"/>
            <w:shd w:val="clear" w:color="auto" w:fill="D9D9D9" w:themeFill="background1" w:themeFillShade="D9"/>
            <w:noWrap/>
            <w:hideMark/>
          </w:tcPr>
          <w:p w14:paraId="4EE7F55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84.2</w:t>
            </w:r>
          </w:p>
        </w:tc>
        <w:tc>
          <w:tcPr>
            <w:tcW w:w="0" w:type="auto"/>
            <w:shd w:val="clear" w:color="auto" w:fill="D9D9D9" w:themeFill="background1" w:themeFillShade="D9"/>
            <w:noWrap/>
            <w:hideMark/>
          </w:tcPr>
          <w:p w14:paraId="33BCB68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48.7%</w:t>
            </w:r>
          </w:p>
        </w:tc>
      </w:tr>
      <w:tr w:rsidR="00494E93" w:rsidRPr="00472DAF" w14:paraId="1B1E8A9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3250E9CD" w14:textId="77777777" w:rsidR="00494E93" w:rsidRPr="00472DAF" w:rsidRDefault="00494E93" w:rsidP="00472DAF">
            <w:pPr>
              <w:rPr>
                <w:rFonts w:ascii="Calibri" w:hAnsi="Calibri"/>
                <w:color w:val="000000"/>
                <w:szCs w:val="22"/>
              </w:rPr>
            </w:pPr>
            <w:r w:rsidRPr="00472DAF">
              <w:rPr>
                <w:rFonts w:ascii="Calibri" w:hAnsi="Calibri"/>
                <w:color w:val="000000"/>
                <w:szCs w:val="22"/>
              </w:rPr>
              <w:t>0250</w:t>
            </w:r>
          </w:p>
        </w:tc>
        <w:tc>
          <w:tcPr>
            <w:tcW w:w="0" w:type="auto"/>
            <w:noWrap/>
            <w:hideMark/>
          </w:tcPr>
          <w:p w14:paraId="65263A62"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Rochester</w:t>
            </w:r>
          </w:p>
        </w:tc>
        <w:tc>
          <w:tcPr>
            <w:tcW w:w="0" w:type="auto"/>
            <w:noWrap/>
            <w:hideMark/>
          </w:tcPr>
          <w:p w14:paraId="069AA47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75A30033"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094BA87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33.58</w:t>
            </w:r>
          </w:p>
        </w:tc>
        <w:tc>
          <w:tcPr>
            <w:tcW w:w="0" w:type="auto"/>
            <w:noWrap/>
            <w:hideMark/>
          </w:tcPr>
          <w:p w14:paraId="368B25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589</w:t>
            </w:r>
          </w:p>
        </w:tc>
        <w:tc>
          <w:tcPr>
            <w:tcW w:w="0" w:type="auto"/>
            <w:noWrap/>
            <w:hideMark/>
          </w:tcPr>
          <w:p w14:paraId="131F811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466</w:t>
            </w:r>
          </w:p>
        </w:tc>
        <w:tc>
          <w:tcPr>
            <w:tcW w:w="0" w:type="auto"/>
            <w:noWrap/>
            <w:hideMark/>
          </w:tcPr>
          <w:p w14:paraId="3AA89F4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-20.9%</w:t>
            </w:r>
          </w:p>
        </w:tc>
        <w:tc>
          <w:tcPr>
            <w:tcW w:w="0" w:type="auto"/>
            <w:noWrap/>
            <w:hideMark/>
          </w:tcPr>
          <w:p w14:paraId="71F3690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13.9</w:t>
            </w:r>
          </w:p>
        </w:tc>
        <w:tc>
          <w:tcPr>
            <w:tcW w:w="0" w:type="auto"/>
            <w:noWrap/>
            <w:hideMark/>
          </w:tcPr>
          <w:p w14:paraId="2210B2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34.8</w:t>
            </w:r>
          </w:p>
        </w:tc>
        <w:tc>
          <w:tcPr>
            <w:tcW w:w="0" w:type="auto"/>
            <w:noWrap/>
            <w:hideMark/>
          </w:tcPr>
          <w:p w14:paraId="75A8D93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noWrap/>
            <w:hideMark/>
          </w:tcPr>
          <w:p w14:paraId="69A1CBE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w:t>
            </w:r>
          </w:p>
        </w:tc>
        <w:tc>
          <w:tcPr>
            <w:tcW w:w="0" w:type="auto"/>
            <w:noWrap/>
            <w:hideMark/>
          </w:tcPr>
          <w:p w14:paraId="7F191EB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w:t>
            </w:r>
          </w:p>
        </w:tc>
        <w:tc>
          <w:tcPr>
            <w:tcW w:w="0" w:type="auto"/>
            <w:noWrap/>
            <w:hideMark/>
          </w:tcPr>
          <w:p w14:paraId="01BCF1C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9,653</w:t>
            </w:r>
          </w:p>
        </w:tc>
        <w:tc>
          <w:tcPr>
            <w:tcW w:w="0" w:type="auto"/>
            <w:noWrap/>
            <w:hideMark/>
          </w:tcPr>
          <w:p w14:paraId="489362D6"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13,744</w:t>
            </w:r>
          </w:p>
        </w:tc>
        <w:tc>
          <w:tcPr>
            <w:tcW w:w="0" w:type="auto"/>
            <w:noWrap/>
            <w:hideMark/>
          </w:tcPr>
          <w:p w14:paraId="594390E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42.4%</w:t>
            </w:r>
          </w:p>
        </w:tc>
        <w:tc>
          <w:tcPr>
            <w:tcW w:w="0" w:type="auto"/>
            <w:noWrap/>
            <w:hideMark/>
          </w:tcPr>
          <w:p w14:paraId="101A9A4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noWrap/>
            <w:hideMark/>
          </w:tcPr>
          <w:p w14:paraId="679D5DA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r>
      <w:tr w:rsidR="003B6049" w:rsidRPr="00472DAF" w14:paraId="34F13AA1"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DB6874E" w14:textId="77777777" w:rsidR="00494E93" w:rsidRPr="00472DAF" w:rsidRDefault="00494E93" w:rsidP="00472DAF">
            <w:pPr>
              <w:rPr>
                <w:rFonts w:ascii="Calibri" w:hAnsi="Calibri"/>
                <w:color w:val="000000"/>
                <w:szCs w:val="22"/>
              </w:rPr>
            </w:pPr>
            <w:r w:rsidRPr="00472DAF">
              <w:rPr>
                <w:rFonts w:ascii="Calibri" w:hAnsi="Calibri"/>
                <w:color w:val="000000"/>
                <w:szCs w:val="22"/>
              </w:rPr>
              <w:t>0253</w:t>
            </w:r>
          </w:p>
        </w:tc>
        <w:tc>
          <w:tcPr>
            <w:tcW w:w="0" w:type="auto"/>
            <w:shd w:val="clear" w:color="auto" w:fill="D9D9D9" w:themeFill="background1" w:themeFillShade="D9"/>
            <w:noWrap/>
            <w:hideMark/>
          </w:tcPr>
          <w:p w14:paraId="5E71C91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Rowe</w:t>
            </w:r>
          </w:p>
        </w:tc>
        <w:tc>
          <w:tcPr>
            <w:tcW w:w="0" w:type="auto"/>
            <w:shd w:val="clear" w:color="auto" w:fill="D9D9D9" w:themeFill="background1" w:themeFillShade="D9"/>
            <w:noWrap/>
            <w:hideMark/>
          </w:tcPr>
          <w:p w14:paraId="4E3CB76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0A548C70"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689C69F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23.45</w:t>
            </w:r>
          </w:p>
        </w:tc>
        <w:tc>
          <w:tcPr>
            <w:tcW w:w="0" w:type="auto"/>
            <w:shd w:val="clear" w:color="auto" w:fill="D9D9D9" w:themeFill="background1" w:themeFillShade="D9"/>
            <w:noWrap/>
            <w:hideMark/>
          </w:tcPr>
          <w:p w14:paraId="539B362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w:t>
            </w:r>
          </w:p>
        </w:tc>
        <w:tc>
          <w:tcPr>
            <w:tcW w:w="0" w:type="auto"/>
            <w:shd w:val="clear" w:color="auto" w:fill="D9D9D9" w:themeFill="background1" w:themeFillShade="D9"/>
            <w:noWrap/>
            <w:hideMark/>
          </w:tcPr>
          <w:p w14:paraId="047939D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59</w:t>
            </w:r>
          </w:p>
        </w:tc>
        <w:tc>
          <w:tcPr>
            <w:tcW w:w="0" w:type="auto"/>
            <w:shd w:val="clear" w:color="auto" w:fill="D9D9D9" w:themeFill="background1" w:themeFillShade="D9"/>
            <w:noWrap/>
            <w:hideMark/>
          </w:tcPr>
          <w:p w14:paraId="39AC54A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w:t>
            </w:r>
          </w:p>
        </w:tc>
        <w:tc>
          <w:tcPr>
            <w:tcW w:w="0" w:type="auto"/>
            <w:shd w:val="clear" w:color="auto" w:fill="D9D9D9" w:themeFill="background1" w:themeFillShade="D9"/>
            <w:noWrap/>
            <w:hideMark/>
          </w:tcPr>
          <w:p w14:paraId="233968C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w:t>
            </w:r>
          </w:p>
        </w:tc>
        <w:tc>
          <w:tcPr>
            <w:tcW w:w="0" w:type="auto"/>
            <w:shd w:val="clear" w:color="auto" w:fill="D9D9D9" w:themeFill="background1" w:themeFillShade="D9"/>
            <w:noWrap/>
            <w:hideMark/>
          </w:tcPr>
          <w:p w14:paraId="6C769F9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c>
          <w:tcPr>
            <w:tcW w:w="0" w:type="auto"/>
            <w:shd w:val="clear" w:color="auto" w:fill="D9D9D9" w:themeFill="background1" w:themeFillShade="D9"/>
            <w:noWrap/>
            <w:hideMark/>
          </w:tcPr>
          <w:p w14:paraId="1DD6691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w:t>
            </w:r>
          </w:p>
        </w:tc>
        <w:tc>
          <w:tcPr>
            <w:tcW w:w="0" w:type="auto"/>
            <w:shd w:val="clear" w:color="auto" w:fill="D9D9D9" w:themeFill="background1" w:themeFillShade="D9"/>
            <w:noWrap/>
            <w:hideMark/>
          </w:tcPr>
          <w:p w14:paraId="458B22A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11.8</w:t>
            </w:r>
          </w:p>
        </w:tc>
        <w:tc>
          <w:tcPr>
            <w:tcW w:w="0" w:type="auto"/>
            <w:shd w:val="clear" w:color="auto" w:fill="D9D9D9" w:themeFill="background1" w:themeFillShade="D9"/>
            <w:noWrap/>
            <w:hideMark/>
          </w:tcPr>
          <w:p w14:paraId="05BC2A9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4.1</w:t>
            </w:r>
          </w:p>
        </w:tc>
        <w:tc>
          <w:tcPr>
            <w:tcW w:w="0" w:type="auto"/>
            <w:shd w:val="clear" w:color="auto" w:fill="D9D9D9" w:themeFill="background1" w:themeFillShade="D9"/>
            <w:noWrap/>
            <w:hideMark/>
          </w:tcPr>
          <w:p w14:paraId="1EBAD43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21,969</w:t>
            </w:r>
          </w:p>
        </w:tc>
        <w:tc>
          <w:tcPr>
            <w:tcW w:w="0" w:type="auto"/>
            <w:shd w:val="clear" w:color="auto" w:fill="D9D9D9" w:themeFill="background1" w:themeFillShade="D9"/>
            <w:noWrap/>
            <w:hideMark/>
          </w:tcPr>
          <w:p w14:paraId="006C61B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29,111</w:t>
            </w:r>
          </w:p>
        </w:tc>
        <w:tc>
          <w:tcPr>
            <w:tcW w:w="0" w:type="auto"/>
            <w:shd w:val="clear" w:color="auto" w:fill="D9D9D9" w:themeFill="background1" w:themeFillShade="D9"/>
            <w:noWrap/>
            <w:hideMark/>
          </w:tcPr>
          <w:p w14:paraId="58EE004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32.5%</w:t>
            </w:r>
          </w:p>
        </w:tc>
        <w:tc>
          <w:tcPr>
            <w:tcW w:w="0" w:type="auto"/>
            <w:shd w:val="clear" w:color="auto" w:fill="D9D9D9" w:themeFill="background1" w:themeFillShade="D9"/>
            <w:noWrap/>
            <w:hideMark/>
          </w:tcPr>
          <w:p w14:paraId="3D8E5AB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26.6</w:t>
            </w:r>
          </w:p>
        </w:tc>
        <w:tc>
          <w:tcPr>
            <w:tcW w:w="0" w:type="auto"/>
            <w:shd w:val="clear" w:color="auto" w:fill="D9D9D9" w:themeFill="background1" w:themeFillShade="D9"/>
            <w:noWrap/>
            <w:hideMark/>
          </w:tcPr>
          <w:p w14:paraId="193C2F5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45.2%</w:t>
            </w:r>
          </w:p>
        </w:tc>
      </w:tr>
      <w:tr w:rsidR="00494E93" w:rsidRPr="00472DAF" w14:paraId="1DC312B7"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25630F67" w14:textId="77777777" w:rsidR="00494E93" w:rsidRPr="00472DAF" w:rsidRDefault="00494E93" w:rsidP="00472DAF">
            <w:pPr>
              <w:rPr>
                <w:rFonts w:ascii="Calibri" w:hAnsi="Calibri"/>
                <w:color w:val="000000"/>
                <w:szCs w:val="22"/>
              </w:rPr>
            </w:pPr>
            <w:r w:rsidRPr="00472DAF">
              <w:rPr>
                <w:rFonts w:ascii="Calibri" w:hAnsi="Calibri"/>
                <w:color w:val="000000"/>
                <w:szCs w:val="22"/>
              </w:rPr>
              <w:t>0263</w:t>
            </w:r>
          </w:p>
        </w:tc>
        <w:tc>
          <w:tcPr>
            <w:tcW w:w="0" w:type="auto"/>
            <w:noWrap/>
            <w:hideMark/>
          </w:tcPr>
          <w:p w14:paraId="64529EE2"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Savoy</w:t>
            </w:r>
          </w:p>
        </w:tc>
        <w:tc>
          <w:tcPr>
            <w:tcW w:w="0" w:type="auto"/>
            <w:noWrap/>
            <w:hideMark/>
          </w:tcPr>
          <w:p w14:paraId="50A6345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1332F18F"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469A9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35.85</w:t>
            </w:r>
          </w:p>
        </w:tc>
        <w:tc>
          <w:tcPr>
            <w:tcW w:w="0" w:type="auto"/>
            <w:noWrap/>
            <w:hideMark/>
          </w:tcPr>
          <w:p w14:paraId="0494C5F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w:t>
            </w:r>
          </w:p>
        </w:tc>
        <w:tc>
          <w:tcPr>
            <w:tcW w:w="0" w:type="auto"/>
            <w:noWrap/>
            <w:hideMark/>
          </w:tcPr>
          <w:p w14:paraId="5A7A42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49</w:t>
            </w:r>
          </w:p>
        </w:tc>
        <w:tc>
          <w:tcPr>
            <w:tcW w:w="0" w:type="auto"/>
            <w:noWrap/>
            <w:hideMark/>
          </w:tcPr>
          <w:p w14:paraId="1F60CE2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noWrap/>
            <w:hideMark/>
          </w:tcPr>
          <w:p w14:paraId="5FD132F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w:t>
            </w:r>
          </w:p>
        </w:tc>
        <w:tc>
          <w:tcPr>
            <w:tcW w:w="0" w:type="auto"/>
            <w:noWrap/>
            <w:hideMark/>
          </w:tcPr>
          <w:p w14:paraId="779CF92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4.7</w:t>
            </w:r>
          </w:p>
        </w:tc>
        <w:tc>
          <w:tcPr>
            <w:tcW w:w="0" w:type="auto"/>
            <w:noWrap/>
            <w:hideMark/>
          </w:tcPr>
          <w:p w14:paraId="5C10568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w:t>
            </w:r>
          </w:p>
        </w:tc>
        <w:tc>
          <w:tcPr>
            <w:tcW w:w="0" w:type="auto"/>
            <w:noWrap/>
            <w:hideMark/>
          </w:tcPr>
          <w:p w14:paraId="79D4DDA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w:t>
            </w:r>
          </w:p>
        </w:tc>
        <w:tc>
          <w:tcPr>
            <w:tcW w:w="0" w:type="auto"/>
            <w:noWrap/>
            <w:hideMark/>
          </w:tcPr>
          <w:p w14:paraId="76480A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10.2</w:t>
            </w:r>
          </w:p>
        </w:tc>
        <w:tc>
          <w:tcPr>
            <w:tcW w:w="0" w:type="auto"/>
            <w:noWrap/>
            <w:hideMark/>
          </w:tcPr>
          <w:p w14:paraId="44BE87F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12,464</w:t>
            </w:r>
          </w:p>
        </w:tc>
        <w:tc>
          <w:tcPr>
            <w:tcW w:w="0" w:type="auto"/>
            <w:noWrap/>
            <w:hideMark/>
          </w:tcPr>
          <w:p w14:paraId="5C73615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18,225</w:t>
            </w:r>
          </w:p>
        </w:tc>
        <w:tc>
          <w:tcPr>
            <w:tcW w:w="0" w:type="auto"/>
            <w:noWrap/>
            <w:hideMark/>
          </w:tcPr>
          <w:p w14:paraId="516AAA3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46.2%</w:t>
            </w:r>
          </w:p>
        </w:tc>
        <w:tc>
          <w:tcPr>
            <w:tcW w:w="0" w:type="auto"/>
            <w:noWrap/>
            <w:hideMark/>
          </w:tcPr>
          <w:p w14:paraId="0411B9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noWrap/>
            <w:hideMark/>
          </w:tcPr>
          <w:p w14:paraId="36FCDD5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26.5%</w:t>
            </w:r>
          </w:p>
        </w:tc>
      </w:tr>
      <w:tr w:rsidR="003B6049" w:rsidRPr="00472DAF" w14:paraId="52603846"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5FB1C959" w14:textId="77777777" w:rsidR="00494E93" w:rsidRPr="00472DAF" w:rsidRDefault="00494E93" w:rsidP="00472DAF">
            <w:pPr>
              <w:rPr>
                <w:rFonts w:ascii="Calibri" w:hAnsi="Calibri"/>
                <w:color w:val="000000"/>
                <w:szCs w:val="22"/>
              </w:rPr>
            </w:pPr>
            <w:r w:rsidRPr="00472DAF">
              <w:rPr>
                <w:rFonts w:ascii="Calibri" w:hAnsi="Calibri"/>
                <w:color w:val="000000"/>
                <w:szCs w:val="22"/>
              </w:rPr>
              <w:t>0272</w:t>
            </w:r>
          </w:p>
        </w:tc>
        <w:tc>
          <w:tcPr>
            <w:tcW w:w="0" w:type="auto"/>
            <w:shd w:val="clear" w:color="auto" w:fill="D9D9D9" w:themeFill="background1" w:themeFillShade="D9"/>
            <w:noWrap/>
            <w:hideMark/>
          </w:tcPr>
          <w:p w14:paraId="4286577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Shutesbury</w:t>
            </w:r>
          </w:p>
        </w:tc>
        <w:tc>
          <w:tcPr>
            <w:tcW w:w="0" w:type="auto"/>
            <w:shd w:val="clear" w:color="auto" w:fill="D9D9D9" w:themeFill="background1" w:themeFillShade="D9"/>
            <w:noWrap/>
            <w:hideMark/>
          </w:tcPr>
          <w:p w14:paraId="36D72F6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78433A57"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4622225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26.52</w:t>
            </w:r>
          </w:p>
        </w:tc>
        <w:tc>
          <w:tcPr>
            <w:tcW w:w="0" w:type="auto"/>
            <w:shd w:val="clear" w:color="auto" w:fill="D9D9D9" w:themeFill="background1" w:themeFillShade="D9"/>
            <w:noWrap/>
            <w:hideMark/>
          </w:tcPr>
          <w:p w14:paraId="268BBAC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167</w:t>
            </w:r>
          </w:p>
        </w:tc>
        <w:tc>
          <w:tcPr>
            <w:tcW w:w="0" w:type="auto"/>
            <w:shd w:val="clear" w:color="auto" w:fill="D9D9D9" w:themeFill="background1" w:themeFillShade="D9"/>
            <w:noWrap/>
            <w:hideMark/>
          </w:tcPr>
          <w:p w14:paraId="5988F1A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121</w:t>
            </w:r>
          </w:p>
        </w:tc>
        <w:tc>
          <w:tcPr>
            <w:tcW w:w="0" w:type="auto"/>
            <w:shd w:val="clear" w:color="auto" w:fill="D9D9D9" w:themeFill="background1" w:themeFillShade="D9"/>
            <w:noWrap/>
            <w:hideMark/>
          </w:tcPr>
          <w:p w14:paraId="75AA941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-27.5%</w:t>
            </w:r>
          </w:p>
        </w:tc>
        <w:tc>
          <w:tcPr>
            <w:tcW w:w="0" w:type="auto"/>
            <w:shd w:val="clear" w:color="auto" w:fill="D9D9D9" w:themeFill="background1" w:themeFillShade="D9"/>
            <w:noWrap/>
            <w:hideMark/>
          </w:tcPr>
          <w:p w14:paraId="2BFF1D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4.4</w:t>
            </w:r>
          </w:p>
        </w:tc>
        <w:tc>
          <w:tcPr>
            <w:tcW w:w="0" w:type="auto"/>
            <w:shd w:val="clear" w:color="auto" w:fill="D9D9D9" w:themeFill="background1" w:themeFillShade="D9"/>
            <w:noWrap/>
            <w:hideMark/>
          </w:tcPr>
          <w:p w14:paraId="7510233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15.7</w:t>
            </w:r>
          </w:p>
        </w:tc>
        <w:tc>
          <w:tcPr>
            <w:tcW w:w="0" w:type="auto"/>
            <w:shd w:val="clear" w:color="auto" w:fill="D9D9D9" w:themeFill="background1" w:themeFillShade="D9"/>
            <w:noWrap/>
            <w:hideMark/>
          </w:tcPr>
          <w:p w14:paraId="0724C2B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11.3</w:t>
            </w:r>
          </w:p>
        </w:tc>
        <w:tc>
          <w:tcPr>
            <w:tcW w:w="0" w:type="auto"/>
            <w:shd w:val="clear" w:color="auto" w:fill="D9D9D9" w:themeFill="background1" w:themeFillShade="D9"/>
            <w:noWrap/>
            <w:hideMark/>
          </w:tcPr>
          <w:p w14:paraId="284E9B2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shd w:val="clear" w:color="auto" w:fill="D9D9D9" w:themeFill="background1" w:themeFillShade="D9"/>
            <w:noWrap/>
            <w:hideMark/>
          </w:tcPr>
          <w:p w14:paraId="6AA31B9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shd w:val="clear" w:color="auto" w:fill="D9D9D9" w:themeFill="background1" w:themeFillShade="D9"/>
            <w:noWrap/>
            <w:hideMark/>
          </w:tcPr>
          <w:p w14:paraId="0E66ED7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12,702</w:t>
            </w:r>
          </w:p>
        </w:tc>
        <w:tc>
          <w:tcPr>
            <w:tcW w:w="0" w:type="auto"/>
            <w:shd w:val="clear" w:color="auto" w:fill="D9D9D9" w:themeFill="background1" w:themeFillShade="D9"/>
            <w:noWrap/>
            <w:hideMark/>
          </w:tcPr>
          <w:p w14:paraId="1DB1A8A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18,800</w:t>
            </w:r>
          </w:p>
        </w:tc>
        <w:tc>
          <w:tcPr>
            <w:tcW w:w="0" w:type="auto"/>
            <w:shd w:val="clear" w:color="auto" w:fill="D9D9D9" w:themeFill="background1" w:themeFillShade="D9"/>
            <w:noWrap/>
            <w:hideMark/>
          </w:tcPr>
          <w:p w14:paraId="439F089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48.0%</w:t>
            </w:r>
          </w:p>
        </w:tc>
        <w:tc>
          <w:tcPr>
            <w:tcW w:w="0" w:type="auto"/>
            <w:shd w:val="clear" w:color="auto" w:fill="D9D9D9" w:themeFill="background1" w:themeFillShade="D9"/>
            <w:noWrap/>
            <w:hideMark/>
          </w:tcPr>
          <w:p w14:paraId="471A975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w:t>
            </w:r>
          </w:p>
        </w:tc>
        <w:tc>
          <w:tcPr>
            <w:tcW w:w="0" w:type="auto"/>
            <w:shd w:val="clear" w:color="auto" w:fill="D9D9D9" w:themeFill="background1" w:themeFillShade="D9"/>
            <w:noWrap/>
            <w:hideMark/>
          </w:tcPr>
          <w:p w14:paraId="622C23A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4.1%</w:t>
            </w:r>
          </w:p>
        </w:tc>
      </w:tr>
      <w:tr w:rsidR="00494E93" w:rsidRPr="00472DAF" w14:paraId="316DEE5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505BAC45" w14:textId="77777777" w:rsidR="00494E93" w:rsidRPr="00472DAF" w:rsidRDefault="00494E93" w:rsidP="00472DAF">
            <w:pPr>
              <w:rPr>
                <w:rFonts w:ascii="Calibri" w:hAnsi="Calibri"/>
                <w:color w:val="000000"/>
                <w:szCs w:val="22"/>
              </w:rPr>
            </w:pPr>
            <w:r w:rsidRPr="00472DAF">
              <w:rPr>
                <w:rFonts w:ascii="Calibri" w:hAnsi="Calibri"/>
                <w:color w:val="000000"/>
                <w:szCs w:val="22"/>
              </w:rPr>
              <w:t>0275</w:t>
            </w:r>
          </w:p>
        </w:tc>
        <w:tc>
          <w:tcPr>
            <w:tcW w:w="0" w:type="auto"/>
            <w:noWrap/>
            <w:hideMark/>
          </w:tcPr>
          <w:p w14:paraId="67ECC0E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Southampton</w:t>
            </w:r>
          </w:p>
        </w:tc>
        <w:tc>
          <w:tcPr>
            <w:tcW w:w="0" w:type="auto"/>
            <w:noWrap/>
            <w:hideMark/>
          </w:tcPr>
          <w:p w14:paraId="00B18F6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6D807D7"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18B1824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28.15</w:t>
            </w:r>
          </w:p>
        </w:tc>
        <w:tc>
          <w:tcPr>
            <w:tcW w:w="0" w:type="auto"/>
            <w:noWrap/>
            <w:hideMark/>
          </w:tcPr>
          <w:p w14:paraId="6CDF7B1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553</w:t>
            </w:r>
          </w:p>
        </w:tc>
        <w:tc>
          <w:tcPr>
            <w:tcW w:w="0" w:type="auto"/>
            <w:noWrap/>
            <w:hideMark/>
          </w:tcPr>
          <w:p w14:paraId="5481FC0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520</w:t>
            </w:r>
          </w:p>
        </w:tc>
        <w:tc>
          <w:tcPr>
            <w:tcW w:w="0" w:type="auto"/>
            <w:noWrap/>
            <w:hideMark/>
          </w:tcPr>
          <w:p w14:paraId="19AE1D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-6.0%</w:t>
            </w:r>
          </w:p>
        </w:tc>
        <w:tc>
          <w:tcPr>
            <w:tcW w:w="0" w:type="auto"/>
            <w:noWrap/>
            <w:hideMark/>
          </w:tcPr>
          <w:p w14:paraId="47B0FDA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17.5</w:t>
            </w:r>
          </w:p>
        </w:tc>
        <w:tc>
          <w:tcPr>
            <w:tcW w:w="0" w:type="auto"/>
            <w:noWrap/>
            <w:hideMark/>
          </w:tcPr>
          <w:p w14:paraId="6C00799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35.5</w:t>
            </w:r>
          </w:p>
        </w:tc>
        <w:tc>
          <w:tcPr>
            <w:tcW w:w="0" w:type="auto"/>
            <w:noWrap/>
            <w:hideMark/>
          </w:tcPr>
          <w:p w14:paraId="694561F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16.7</w:t>
            </w:r>
          </w:p>
        </w:tc>
        <w:tc>
          <w:tcPr>
            <w:tcW w:w="0" w:type="auto"/>
            <w:noWrap/>
            <w:hideMark/>
          </w:tcPr>
          <w:p w14:paraId="25CCC90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6.8</w:t>
            </w:r>
          </w:p>
        </w:tc>
        <w:tc>
          <w:tcPr>
            <w:tcW w:w="0" w:type="auto"/>
            <w:noWrap/>
            <w:hideMark/>
          </w:tcPr>
          <w:p w14:paraId="3C47F7A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w:t>
            </w:r>
          </w:p>
        </w:tc>
        <w:tc>
          <w:tcPr>
            <w:tcW w:w="0" w:type="auto"/>
            <w:noWrap/>
            <w:hideMark/>
          </w:tcPr>
          <w:p w14:paraId="2FF424F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8,762</w:t>
            </w:r>
          </w:p>
        </w:tc>
        <w:tc>
          <w:tcPr>
            <w:tcW w:w="0" w:type="auto"/>
            <w:noWrap/>
            <w:hideMark/>
          </w:tcPr>
          <w:p w14:paraId="443B287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10,381</w:t>
            </w:r>
          </w:p>
        </w:tc>
        <w:tc>
          <w:tcPr>
            <w:tcW w:w="0" w:type="auto"/>
            <w:noWrap/>
            <w:hideMark/>
          </w:tcPr>
          <w:p w14:paraId="2C8D40E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18.5%</w:t>
            </w:r>
          </w:p>
        </w:tc>
        <w:tc>
          <w:tcPr>
            <w:tcW w:w="0" w:type="auto"/>
            <w:noWrap/>
            <w:hideMark/>
          </w:tcPr>
          <w:p w14:paraId="4200345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64.8</w:t>
            </w:r>
          </w:p>
        </w:tc>
        <w:tc>
          <w:tcPr>
            <w:tcW w:w="0" w:type="auto"/>
            <w:noWrap/>
            <w:hideMark/>
          </w:tcPr>
          <w:p w14:paraId="1CE5A81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12.5%</w:t>
            </w:r>
          </w:p>
        </w:tc>
      </w:tr>
      <w:tr w:rsidR="003B6049" w:rsidRPr="00472DAF" w14:paraId="37C50F59"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615E6397" w14:textId="77777777" w:rsidR="00494E93" w:rsidRPr="00472DAF" w:rsidRDefault="00494E93" w:rsidP="00472DAF">
            <w:pPr>
              <w:rPr>
                <w:rFonts w:ascii="Calibri" w:hAnsi="Calibri"/>
                <w:color w:val="000000"/>
                <w:szCs w:val="22"/>
              </w:rPr>
            </w:pPr>
            <w:r w:rsidRPr="00472DAF">
              <w:rPr>
                <w:rFonts w:ascii="Calibri" w:hAnsi="Calibri"/>
                <w:color w:val="000000"/>
                <w:szCs w:val="22"/>
              </w:rPr>
              <w:t>0289</w:t>
            </w:r>
          </w:p>
        </w:tc>
        <w:tc>
          <w:tcPr>
            <w:tcW w:w="0" w:type="auto"/>
            <w:shd w:val="clear" w:color="auto" w:fill="D9D9D9" w:themeFill="background1" w:themeFillShade="D9"/>
            <w:noWrap/>
            <w:hideMark/>
          </w:tcPr>
          <w:p w14:paraId="7D1F70B8"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Sunderland</w:t>
            </w:r>
          </w:p>
        </w:tc>
        <w:tc>
          <w:tcPr>
            <w:tcW w:w="0" w:type="auto"/>
            <w:shd w:val="clear" w:color="auto" w:fill="D9D9D9" w:themeFill="background1" w:themeFillShade="D9"/>
            <w:noWrap/>
            <w:hideMark/>
          </w:tcPr>
          <w:p w14:paraId="3A342D0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7EAFDB20"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3B76515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14.23</w:t>
            </w:r>
          </w:p>
        </w:tc>
        <w:tc>
          <w:tcPr>
            <w:tcW w:w="0" w:type="auto"/>
            <w:shd w:val="clear" w:color="auto" w:fill="D9D9D9" w:themeFill="background1" w:themeFillShade="D9"/>
            <w:noWrap/>
            <w:hideMark/>
          </w:tcPr>
          <w:p w14:paraId="451A391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220</w:t>
            </w:r>
          </w:p>
        </w:tc>
        <w:tc>
          <w:tcPr>
            <w:tcW w:w="0" w:type="auto"/>
            <w:shd w:val="clear" w:color="auto" w:fill="D9D9D9" w:themeFill="background1" w:themeFillShade="D9"/>
            <w:noWrap/>
            <w:hideMark/>
          </w:tcPr>
          <w:p w14:paraId="1A0DD9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257</w:t>
            </w:r>
          </w:p>
        </w:tc>
        <w:tc>
          <w:tcPr>
            <w:tcW w:w="0" w:type="auto"/>
            <w:shd w:val="clear" w:color="auto" w:fill="D9D9D9" w:themeFill="background1" w:themeFillShade="D9"/>
            <w:noWrap/>
            <w:hideMark/>
          </w:tcPr>
          <w:p w14:paraId="2052D7F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16.8%</w:t>
            </w:r>
          </w:p>
        </w:tc>
        <w:tc>
          <w:tcPr>
            <w:tcW w:w="0" w:type="auto"/>
            <w:shd w:val="clear" w:color="auto" w:fill="D9D9D9" w:themeFill="background1" w:themeFillShade="D9"/>
            <w:noWrap/>
            <w:hideMark/>
          </w:tcPr>
          <w:p w14:paraId="2534E9E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13.8</w:t>
            </w:r>
          </w:p>
        </w:tc>
        <w:tc>
          <w:tcPr>
            <w:tcW w:w="0" w:type="auto"/>
            <w:shd w:val="clear" w:color="auto" w:fill="D9D9D9" w:themeFill="background1" w:themeFillShade="D9"/>
            <w:noWrap/>
            <w:hideMark/>
          </w:tcPr>
          <w:p w14:paraId="79FE8A2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21.3</w:t>
            </w:r>
          </w:p>
        </w:tc>
        <w:tc>
          <w:tcPr>
            <w:tcW w:w="0" w:type="auto"/>
            <w:shd w:val="clear" w:color="auto" w:fill="D9D9D9" w:themeFill="background1" w:themeFillShade="D9"/>
            <w:noWrap/>
            <w:hideMark/>
          </w:tcPr>
          <w:p w14:paraId="3506D35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25.0</w:t>
            </w:r>
          </w:p>
        </w:tc>
        <w:tc>
          <w:tcPr>
            <w:tcW w:w="0" w:type="auto"/>
            <w:shd w:val="clear" w:color="auto" w:fill="D9D9D9" w:themeFill="background1" w:themeFillShade="D9"/>
            <w:noWrap/>
            <w:hideMark/>
          </w:tcPr>
          <w:p w14:paraId="61E643B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8.3</w:t>
            </w:r>
          </w:p>
        </w:tc>
        <w:tc>
          <w:tcPr>
            <w:tcW w:w="0" w:type="auto"/>
            <w:shd w:val="clear" w:color="auto" w:fill="D9D9D9" w:themeFill="background1" w:themeFillShade="D9"/>
            <w:noWrap/>
            <w:hideMark/>
          </w:tcPr>
          <w:p w14:paraId="59C0832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9.7</w:t>
            </w:r>
          </w:p>
        </w:tc>
        <w:tc>
          <w:tcPr>
            <w:tcW w:w="0" w:type="auto"/>
            <w:shd w:val="clear" w:color="auto" w:fill="D9D9D9" w:themeFill="background1" w:themeFillShade="D9"/>
            <w:noWrap/>
            <w:hideMark/>
          </w:tcPr>
          <w:p w14:paraId="4974F19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12,685</w:t>
            </w:r>
          </w:p>
        </w:tc>
        <w:tc>
          <w:tcPr>
            <w:tcW w:w="0" w:type="auto"/>
            <w:shd w:val="clear" w:color="auto" w:fill="D9D9D9" w:themeFill="background1" w:themeFillShade="D9"/>
            <w:noWrap/>
            <w:hideMark/>
          </w:tcPr>
          <w:p w14:paraId="2665406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13,606</w:t>
            </w:r>
          </w:p>
        </w:tc>
        <w:tc>
          <w:tcPr>
            <w:tcW w:w="0" w:type="auto"/>
            <w:shd w:val="clear" w:color="auto" w:fill="D9D9D9" w:themeFill="background1" w:themeFillShade="D9"/>
            <w:noWrap/>
            <w:hideMark/>
          </w:tcPr>
          <w:p w14:paraId="1565077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7.3%</w:t>
            </w:r>
          </w:p>
        </w:tc>
        <w:tc>
          <w:tcPr>
            <w:tcW w:w="0" w:type="auto"/>
            <w:shd w:val="clear" w:color="auto" w:fill="D9D9D9" w:themeFill="background1" w:themeFillShade="D9"/>
            <w:noWrap/>
            <w:hideMark/>
          </w:tcPr>
          <w:p w14:paraId="5FDB20D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46.9</w:t>
            </w:r>
          </w:p>
        </w:tc>
        <w:tc>
          <w:tcPr>
            <w:tcW w:w="0" w:type="auto"/>
            <w:shd w:val="clear" w:color="auto" w:fill="D9D9D9" w:themeFill="background1" w:themeFillShade="D9"/>
            <w:noWrap/>
            <w:hideMark/>
          </w:tcPr>
          <w:p w14:paraId="74889B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18.3%</w:t>
            </w:r>
          </w:p>
        </w:tc>
      </w:tr>
      <w:tr w:rsidR="00494E93" w:rsidRPr="00472DAF" w14:paraId="05DD73D1"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DEAA4F9" w14:textId="77777777" w:rsidR="00494E93" w:rsidRPr="00472DAF" w:rsidRDefault="00494E93" w:rsidP="00472DAF">
            <w:pPr>
              <w:rPr>
                <w:rFonts w:ascii="Calibri" w:hAnsi="Calibri"/>
                <w:color w:val="000000"/>
                <w:szCs w:val="22"/>
              </w:rPr>
            </w:pPr>
            <w:r w:rsidRPr="00472DAF">
              <w:rPr>
                <w:rFonts w:ascii="Calibri" w:hAnsi="Calibri"/>
                <w:color w:val="000000"/>
                <w:szCs w:val="22"/>
              </w:rPr>
              <w:t>0300</w:t>
            </w:r>
          </w:p>
        </w:tc>
        <w:tc>
          <w:tcPr>
            <w:tcW w:w="0" w:type="auto"/>
            <w:noWrap/>
            <w:hideMark/>
          </w:tcPr>
          <w:p w14:paraId="4DC79D8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Truro</w:t>
            </w:r>
          </w:p>
        </w:tc>
        <w:tc>
          <w:tcPr>
            <w:tcW w:w="0" w:type="auto"/>
            <w:noWrap/>
            <w:hideMark/>
          </w:tcPr>
          <w:p w14:paraId="7DF413C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17A85054"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F1E6A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20.96</w:t>
            </w:r>
          </w:p>
        </w:tc>
        <w:tc>
          <w:tcPr>
            <w:tcW w:w="0" w:type="auto"/>
            <w:noWrap/>
            <w:hideMark/>
          </w:tcPr>
          <w:p w14:paraId="3CE79A7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137</w:t>
            </w:r>
          </w:p>
        </w:tc>
        <w:tc>
          <w:tcPr>
            <w:tcW w:w="0" w:type="auto"/>
            <w:noWrap/>
            <w:hideMark/>
          </w:tcPr>
          <w:p w14:paraId="1C1EBB4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116</w:t>
            </w:r>
          </w:p>
        </w:tc>
        <w:tc>
          <w:tcPr>
            <w:tcW w:w="0" w:type="auto"/>
            <w:noWrap/>
            <w:hideMark/>
          </w:tcPr>
          <w:p w14:paraId="62025A2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-15.3%</w:t>
            </w:r>
          </w:p>
        </w:tc>
        <w:tc>
          <w:tcPr>
            <w:tcW w:w="0" w:type="auto"/>
            <w:noWrap/>
            <w:hideMark/>
          </w:tcPr>
          <w:p w14:paraId="0F4A0E3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10.0</w:t>
            </w:r>
          </w:p>
        </w:tc>
        <w:tc>
          <w:tcPr>
            <w:tcW w:w="0" w:type="auto"/>
            <w:noWrap/>
            <w:hideMark/>
          </w:tcPr>
          <w:p w14:paraId="27114C9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15.9</w:t>
            </w:r>
          </w:p>
        </w:tc>
        <w:tc>
          <w:tcPr>
            <w:tcW w:w="0" w:type="auto"/>
            <w:noWrap/>
            <w:hideMark/>
          </w:tcPr>
          <w:p w14:paraId="5DB3540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noWrap/>
            <w:hideMark/>
          </w:tcPr>
          <w:p w14:paraId="43AB8C5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13.7</w:t>
            </w:r>
          </w:p>
        </w:tc>
        <w:tc>
          <w:tcPr>
            <w:tcW w:w="0" w:type="auto"/>
            <w:noWrap/>
            <w:hideMark/>
          </w:tcPr>
          <w:p w14:paraId="273328B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11.2</w:t>
            </w:r>
          </w:p>
        </w:tc>
        <w:tc>
          <w:tcPr>
            <w:tcW w:w="0" w:type="auto"/>
            <w:noWrap/>
            <w:hideMark/>
          </w:tcPr>
          <w:p w14:paraId="70ACCE4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21,719</w:t>
            </w:r>
          </w:p>
        </w:tc>
        <w:tc>
          <w:tcPr>
            <w:tcW w:w="0" w:type="auto"/>
            <w:noWrap/>
            <w:hideMark/>
          </w:tcPr>
          <w:p w14:paraId="3072CB5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34,926</w:t>
            </w:r>
          </w:p>
        </w:tc>
        <w:tc>
          <w:tcPr>
            <w:tcW w:w="0" w:type="auto"/>
            <w:noWrap/>
            <w:hideMark/>
          </w:tcPr>
          <w:p w14:paraId="3EF0B0F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60.8%</w:t>
            </w:r>
          </w:p>
        </w:tc>
        <w:tc>
          <w:tcPr>
            <w:tcW w:w="0" w:type="auto"/>
            <w:noWrap/>
            <w:hideMark/>
          </w:tcPr>
          <w:p w14:paraId="32C0AE3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noWrap/>
            <w:hideMark/>
          </w:tcPr>
          <w:p w14:paraId="24E87BA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12.9%</w:t>
            </w:r>
          </w:p>
        </w:tc>
      </w:tr>
      <w:tr w:rsidR="003B6049" w:rsidRPr="00472DAF" w14:paraId="4DCB0E63"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1BB0D5D8" w14:textId="77777777" w:rsidR="00494E93" w:rsidRPr="00472DAF" w:rsidRDefault="00494E93" w:rsidP="00472DAF">
            <w:pPr>
              <w:rPr>
                <w:rFonts w:ascii="Calibri" w:hAnsi="Calibri"/>
                <w:color w:val="000000"/>
                <w:szCs w:val="22"/>
              </w:rPr>
            </w:pPr>
            <w:r w:rsidRPr="00472DAF">
              <w:rPr>
                <w:rFonts w:ascii="Calibri" w:hAnsi="Calibri"/>
                <w:color w:val="000000"/>
                <w:szCs w:val="22"/>
              </w:rPr>
              <w:t>0306</w:t>
            </w:r>
          </w:p>
        </w:tc>
        <w:tc>
          <w:tcPr>
            <w:tcW w:w="0" w:type="auto"/>
            <w:shd w:val="clear" w:color="auto" w:fill="D9D9D9" w:themeFill="background1" w:themeFillShade="D9"/>
            <w:noWrap/>
            <w:hideMark/>
          </w:tcPr>
          <w:p w14:paraId="6A088CCB"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Wales</w:t>
            </w:r>
          </w:p>
        </w:tc>
        <w:tc>
          <w:tcPr>
            <w:tcW w:w="0" w:type="auto"/>
            <w:shd w:val="clear" w:color="auto" w:fill="D9D9D9" w:themeFill="background1" w:themeFillShade="D9"/>
            <w:noWrap/>
            <w:hideMark/>
          </w:tcPr>
          <w:p w14:paraId="650E32F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6CC62B28"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0972A04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15.73</w:t>
            </w:r>
          </w:p>
        </w:tc>
        <w:tc>
          <w:tcPr>
            <w:tcW w:w="0" w:type="auto"/>
            <w:shd w:val="clear" w:color="auto" w:fill="D9D9D9" w:themeFill="background1" w:themeFillShade="D9"/>
            <w:noWrap/>
            <w:hideMark/>
          </w:tcPr>
          <w:p w14:paraId="0D7BC2A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165</w:t>
            </w:r>
          </w:p>
        </w:tc>
        <w:tc>
          <w:tcPr>
            <w:tcW w:w="0" w:type="auto"/>
            <w:shd w:val="clear" w:color="auto" w:fill="D9D9D9" w:themeFill="background1" w:themeFillShade="D9"/>
            <w:noWrap/>
            <w:hideMark/>
          </w:tcPr>
          <w:p w14:paraId="5FE721A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164</w:t>
            </w:r>
          </w:p>
        </w:tc>
        <w:tc>
          <w:tcPr>
            <w:tcW w:w="0" w:type="auto"/>
            <w:shd w:val="clear" w:color="auto" w:fill="D9D9D9" w:themeFill="background1" w:themeFillShade="D9"/>
            <w:noWrap/>
            <w:hideMark/>
          </w:tcPr>
          <w:p w14:paraId="4102410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-0.6%</w:t>
            </w:r>
          </w:p>
        </w:tc>
        <w:tc>
          <w:tcPr>
            <w:tcW w:w="0" w:type="auto"/>
            <w:shd w:val="clear" w:color="auto" w:fill="D9D9D9" w:themeFill="background1" w:themeFillShade="D9"/>
            <w:noWrap/>
            <w:hideMark/>
          </w:tcPr>
          <w:p w14:paraId="0E86A3E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10.0</w:t>
            </w:r>
          </w:p>
        </w:tc>
        <w:tc>
          <w:tcPr>
            <w:tcW w:w="0" w:type="auto"/>
            <w:shd w:val="clear" w:color="auto" w:fill="D9D9D9" w:themeFill="background1" w:themeFillShade="D9"/>
            <w:noWrap/>
            <w:hideMark/>
          </w:tcPr>
          <w:p w14:paraId="5E4BC63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w:t>
            </w:r>
          </w:p>
        </w:tc>
        <w:tc>
          <w:tcPr>
            <w:tcW w:w="0" w:type="auto"/>
            <w:shd w:val="clear" w:color="auto" w:fill="D9D9D9" w:themeFill="background1" w:themeFillShade="D9"/>
            <w:noWrap/>
            <w:hideMark/>
          </w:tcPr>
          <w:p w14:paraId="1C00F7C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w:t>
            </w:r>
          </w:p>
        </w:tc>
        <w:tc>
          <w:tcPr>
            <w:tcW w:w="0" w:type="auto"/>
            <w:shd w:val="clear" w:color="auto" w:fill="D9D9D9" w:themeFill="background1" w:themeFillShade="D9"/>
            <w:noWrap/>
            <w:hideMark/>
          </w:tcPr>
          <w:p w14:paraId="6C2DD95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6.3</w:t>
            </w:r>
          </w:p>
        </w:tc>
        <w:tc>
          <w:tcPr>
            <w:tcW w:w="0" w:type="auto"/>
            <w:shd w:val="clear" w:color="auto" w:fill="D9D9D9" w:themeFill="background1" w:themeFillShade="D9"/>
            <w:noWrap/>
            <w:hideMark/>
          </w:tcPr>
          <w:p w14:paraId="35F8C9B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w:t>
            </w:r>
          </w:p>
        </w:tc>
        <w:tc>
          <w:tcPr>
            <w:tcW w:w="0" w:type="auto"/>
            <w:shd w:val="clear" w:color="auto" w:fill="D9D9D9" w:themeFill="background1" w:themeFillShade="D9"/>
            <w:noWrap/>
            <w:hideMark/>
          </w:tcPr>
          <w:p w14:paraId="245F0796"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10,713</w:t>
            </w:r>
          </w:p>
        </w:tc>
        <w:tc>
          <w:tcPr>
            <w:tcW w:w="0" w:type="auto"/>
            <w:shd w:val="clear" w:color="auto" w:fill="D9D9D9" w:themeFill="background1" w:themeFillShade="D9"/>
            <w:noWrap/>
            <w:hideMark/>
          </w:tcPr>
          <w:p w14:paraId="6CB2CF5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12,461</w:t>
            </w:r>
          </w:p>
        </w:tc>
        <w:tc>
          <w:tcPr>
            <w:tcW w:w="0" w:type="auto"/>
            <w:shd w:val="clear" w:color="auto" w:fill="D9D9D9" w:themeFill="background1" w:themeFillShade="D9"/>
            <w:noWrap/>
            <w:hideMark/>
          </w:tcPr>
          <w:p w14:paraId="22CA4D1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16.3%</w:t>
            </w:r>
          </w:p>
        </w:tc>
        <w:tc>
          <w:tcPr>
            <w:tcW w:w="0" w:type="auto"/>
            <w:shd w:val="clear" w:color="auto" w:fill="D9D9D9" w:themeFill="background1" w:themeFillShade="D9"/>
            <w:noWrap/>
            <w:hideMark/>
          </w:tcPr>
          <w:p w14:paraId="45FC8CF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shd w:val="clear" w:color="auto" w:fill="D9D9D9" w:themeFill="background1" w:themeFillShade="D9"/>
            <w:noWrap/>
            <w:hideMark/>
          </w:tcPr>
          <w:p w14:paraId="04B924F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4.9%</w:t>
            </w:r>
          </w:p>
        </w:tc>
      </w:tr>
      <w:tr w:rsidR="00494E93" w:rsidRPr="00472DAF" w14:paraId="6184FA2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01F3C7D5" w14:textId="77777777" w:rsidR="00494E93" w:rsidRPr="00472DAF" w:rsidRDefault="00494E93" w:rsidP="00472DAF">
            <w:pPr>
              <w:rPr>
                <w:rFonts w:ascii="Calibri" w:hAnsi="Calibri"/>
                <w:color w:val="000000"/>
                <w:szCs w:val="22"/>
              </w:rPr>
            </w:pPr>
            <w:r w:rsidRPr="00472DAF">
              <w:rPr>
                <w:rFonts w:ascii="Calibri" w:hAnsi="Calibri"/>
                <w:color w:val="000000"/>
                <w:szCs w:val="22"/>
              </w:rPr>
              <w:lastRenderedPageBreak/>
              <w:t>0318</w:t>
            </w:r>
          </w:p>
        </w:tc>
        <w:tc>
          <w:tcPr>
            <w:tcW w:w="0" w:type="auto"/>
            <w:noWrap/>
            <w:hideMark/>
          </w:tcPr>
          <w:p w14:paraId="0045DE05"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Wellfleet</w:t>
            </w:r>
          </w:p>
        </w:tc>
        <w:tc>
          <w:tcPr>
            <w:tcW w:w="0" w:type="auto"/>
            <w:noWrap/>
            <w:hideMark/>
          </w:tcPr>
          <w:p w14:paraId="13631CA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5C4F9518"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7417A68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19.79</w:t>
            </w:r>
          </w:p>
        </w:tc>
        <w:tc>
          <w:tcPr>
            <w:tcW w:w="0" w:type="auto"/>
            <w:noWrap/>
            <w:hideMark/>
          </w:tcPr>
          <w:p w14:paraId="4A5BE5E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140</w:t>
            </w:r>
          </w:p>
        </w:tc>
        <w:tc>
          <w:tcPr>
            <w:tcW w:w="0" w:type="auto"/>
            <w:noWrap/>
            <w:hideMark/>
          </w:tcPr>
          <w:p w14:paraId="428FA19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113</w:t>
            </w:r>
          </w:p>
        </w:tc>
        <w:tc>
          <w:tcPr>
            <w:tcW w:w="0" w:type="auto"/>
            <w:noWrap/>
            <w:hideMark/>
          </w:tcPr>
          <w:p w14:paraId="1B35F8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-19.3%</w:t>
            </w:r>
          </w:p>
        </w:tc>
        <w:tc>
          <w:tcPr>
            <w:tcW w:w="0" w:type="auto"/>
            <w:noWrap/>
            <w:hideMark/>
          </w:tcPr>
          <w:p w14:paraId="008D91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5.6</w:t>
            </w:r>
          </w:p>
        </w:tc>
        <w:tc>
          <w:tcPr>
            <w:tcW w:w="0" w:type="auto"/>
            <w:noWrap/>
            <w:hideMark/>
          </w:tcPr>
          <w:p w14:paraId="521B03E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17.0</w:t>
            </w:r>
          </w:p>
        </w:tc>
        <w:tc>
          <w:tcPr>
            <w:tcW w:w="0" w:type="auto"/>
            <w:noWrap/>
            <w:hideMark/>
          </w:tcPr>
          <w:p w14:paraId="71725FA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8.9</w:t>
            </w:r>
          </w:p>
        </w:tc>
        <w:tc>
          <w:tcPr>
            <w:tcW w:w="0" w:type="auto"/>
            <w:noWrap/>
            <w:hideMark/>
          </w:tcPr>
          <w:p w14:paraId="4BCC9D0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15.1</w:t>
            </w:r>
          </w:p>
        </w:tc>
        <w:tc>
          <w:tcPr>
            <w:tcW w:w="0" w:type="auto"/>
            <w:noWrap/>
            <w:hideMark/>
          </w:tcPr>
          <w:p w14:paraId="03B1E0A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c>
          <w:tcPr>
            <w:tcW w:w="0" w:type="auto"/>
            <w:noWrap/>
            <w:hideMark/>
          </w:tcPr>
          <w:p w14:paraId="5A0433D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17,619</w:t>
            </w:r>
          </w:p>
        </w:tc>
        <w:tc>
          <w:tcPr>
            <w:tcW w:w="0" w:type="auto"/>
            <w:noWrap/>
            <w:hideMark/>
          </w:tcPr>
          <w:p w14:paraId="6E45C2C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32,371</w:t>
            </w:r>
          </w:p>
        </w:tc>
        <w:tc>
          <w:tcPr>
            <w:tcW w:w="0" w:type="auto"/>
            <w:noWrap/>
            <w:hideMark/>
          </w:tcPr>
          <w:p w14:paraId="054D456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83.7%</w:t>
            </w:r>
          </w:p>
        </w:tc>
        <w:tc>
          <w:tcPr>
            <w:tcW w:w="0" w:type="auto"/>
            <w:noWrap/>
            <w:hideMark/>
          </w:tcPr>
          <w:p w14:paraId="006D1BE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noWrap/>
            <w:hideMark/>
          </w:tcPr>
          <w:p w14:paraId="74D3197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r>
      <w:tr w:rsidR="003B6049" w:rsidRPr="00472DAF" w14:paraId="54887428"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57E2674" w14:textId="77777777" w:rsidR="00494E93" w:rsidRPr="00472DAF" w:rsidRDefault="00494E93" w:rsidP="00472DAF">
            <w:pPr>
              <w:rPr>
                <w:rFonts w:ascii="Calibri" w:hAnsi="Calibri"/>
                <w:color w:val="000000"/>
                <w:szCs w:val="22"/>
              </w:rPr>
            </w:pPr>
            <w:r w:rsidRPr="00472DAF">
              <w:rPr>
                <w:rFonts w:ascii="Calibri" w:hAnsi="Calibri"/>
                <w:color w:val="000000"/>
                <w:szCs w:val="22"/>
              </w:rPr>
              <w:t>0327</w:t>
            </w:r>
          </w:p>
        </w:tc>
        <w:tc>
          <w:tcPr>
            <w:tcW w:w="0" w:type="auto"/>
            <w:shd w:val="clear" w:color="auto" w:fill="D9D9D9" w:themeFill="background1" w:themeFillShade="D9"/>
            <w:noWrap/>
            <w:hideMark/>
          </w:tcPr>
          <w:p w14:paraId="1395FA06"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Westhampton</w:t>
            </w:r>
          </w:p>
        </w:tc>
        <w:tc>
          <w:tcPr>
            <w:tcW w:w="0" w:type="auto"/>
            <w:shd w:val="clear" w:color="auto" w:fill="D9D9D9" w:themeFill="background1" w:themeFillShade="D9"/>
            <w:noWrap/>
            <w:hideMark/>
          </w:tcPr>
          <w:p w14:paraId="7BA56F6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14AF973D"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2F49CA5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27.17</w:t>
            </w:r>
          </w:p>
        </w:tc>
        <w:tc>
          <w:tcPr>
            <w:tcW w:w="0" w:type="auto"/>
            <w:shd w:val="clear" w:color="auto" w:fill="D9D9D9" w:themeFill="background1" w:themeFillShade="D9"/>
            <w:noWrap/>
            <w:hideMark/>
          </w:tcPr>
          <w:p w14:paraId="3CE3400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140</w:t>
            </w:r>
          </w:p>
        </w:tc>
        <w:tc>
          <w:tcPr>
            <w:tcW w:w="0" w:type="auto"/>
            <w:shd w:val="clear" w:color="auto" w:fill="D9D9D9" w:themeFill="background1" w:themeFillShade="D9"/>
            <w:noWrap/>
            <w:hideMark/>
          </w:tcPr>
          <w:p w14:paraId="751BDB4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shd w:val="clear" w:color="auto" w:fill="D9D9D9" w:themeFill="background1" w:themeFillShade="D9"/>
            <w:noWrap/>
            <w:hideMark/>
          </w:tcPr>
          <w:p w14:paraId="48B910D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-7.1%</w:t>
            </w:r>
          </w:p>
        </w:tc>
        <w:tc>
          <w:tcPr>
            <w:tcW w:w="0" w:type="auto"/>
            <w:shd w:val="clear" w:color="auto" w:fill="D9D9D9" w:themeFill="background1" w:themeFillShade="D9"/>
            <w:noWrap/>
            <w:hideMark/>
          </w:tcPr>
          <w:p w14:paraId="7EC8935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w:t>
            </w:r>
          </w:p>
        </w:tc>
        <w:tc>
          <w:tcPr>
            <w:tcW w:w="0" w:type="auto"/>
            <w:shd w:val="clear" w:color="auto" w:fill="D9D9D9" w:themeFill="background1" w:themeFillShade="D9"/>
            <w:noWrap/>
            <w:hideMark/>
          </w:tcPr>
          <w:p w14:paraId="6FCAA05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12.4</w:t>
            </w:r>
          </w:p>
        </w:tc>
        <w:tc>
          <w:tcPr>
            <w:tcW w:w="0" w:type="auto"/>
            <w:shd w:val="clear" w:color="auto" w:fill="D9D9D9" w:themeFill="background1" w:themeFillShade="D9"/>
            <w:noWrap/>
            <w:hideMark/>
          </w:tcPr>
          <w:p w14:paraId="4B761B1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6.9</w:t>
            </w:r>
          </w:p>
        </w:tc>
        <w:tc>
          <w:tcPr>
            <w:tcW w:w="0" w:type="auto"/>
            <w:shd w:val="clear" w:color="auto" w:fill="D9D9D9" w:themeFill="background1" w:themeFillShade="D9"/>
            <w:noWrap/>
            <w:hideMark/>
          </w:tcPr>
          <w:p w14:paraId="0CFB554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w:t>
            </w:r>
          </w:p>
        </w:tc>
        <w:tc>
          <w:tcPr>
            <w:tcW w:w="0" w:type="auto"/>
            <w:shd w:val="clear" w:color="auto" w:fill="D9D9D9" w:themeFill="background1" w:themeFillShade="D9"/>
            <w:noWrap/>
            <w:hideMark/>
          </w:tcPr>
          <w:p w14:paraId="210400B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5.3</w:t>
            </w:r>
          </w:p>
        </w:tc>
        <w:tc>
          <w:tcPr>
            <w:tcW w:w="0" w:type="auto"/>
            <w:shd w:val="clear" w:color="auto" w:fill="D9D9D9" w:themeFill="background1" w:themeFillShade="D9"/>
            <w:noWrap/>
            <w:hideMark/>
          </w:tcPr>
          <w:p w14:paraId="319BC6C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10,328</w:t>
            </w:r>
          </w:p>
        </w:tc>
        <w:tc>
          <w:tcPr>
            <w:tcW w:w="0" w:type="auto"/>
            <w:shd w:val="clear" w:color="auto" w:fill="D9D9D9" w:themeFill="background1" w:themeFillShade="D9"/>
            <w:noWrap/>
            <w:hideMark/>
          </w:tcPr>
          <w:p w14:paraId="40262593"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13,996</w:t>
            </w:r>
          </w:p>
        </w:tc>
        <w:tc>
          <w:tcPr>
            <w:tcW w:w="0" w:type="auto"/>
            <w:shd w:val="clear" w:color="auto" w:fill="D9D9D9" w:themeFill="background1" w:themeFillShade="D9"/>
            <w:noWrap/>
            <w:hideMark/>
          </w:tcPr>
          <w:p w14:paraId="127C4B5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35.5%</w:t>
            </w:r>
          </w:p>
        </w:tc>
        <w:tc>
          <w:tcPr>
            <w:tcW w:w="0" w:type="auto"/>
            <w:shd w:val="clear" w:color="auto" w:fill="D9D9D9" w:themeFill="background1" w:themeFillShade="D9"/>
            <w:noWrap/>
            <w:hideMark/>
          </w:tcPr>
          <w:p w14:paraId="4563721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20.5</w:t>
            </w:r>
          </w:p>
        </w:tc>
        <w:tc>
          <w:tcPr>
            <w:tcW w:w="0" w:type="auto"/>
            <w:shd w:val="clear" w:color="auto" w:fill="D9D9D9" w:themeFill="background1" w:themeFillShade="D9"/>
            <w:noWrap/>
            <w:hideMark/>
          </w:tcPr>
          <w:p w14:paraId="131CD79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15.7%</w:t>
            </w:r>
          </w:p>
        </w:tc>
      </w:tr>
      <w:tr w:rsidR="00494E93" w:rsidRPr="00472DAF" w14:paraId="3BC1722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1DCFF5F" w14:textId="77777777" w:rsidR="00494E93" w:rsidRPr="00472DAF" w:rsidRDefault="00494E93" w:rsidP="00472DAF">
            <w:pPr>
              <w:rPr>
                <w:rFonts w:ascii="Calibri" w:hAnsi="Calibri"/>
                <w:color w:val="000000"/>
                <w:szCs w:val="22"/>
              </w:rPr>
            </w:pPr>
            <w:r w:rsidRPr="00472DAF">
              <w:rPr>
                <w:rFonts w:ascii="Calibri" w:hAnsi="Calibri"/>
                <w:color w:val="000000"/>
                <w:szCs w:val="22"/>
              </w:rPr>
              <w:t>0337</w:t>
            </w:r>
          </w:p>
        </w:tc>
        <w:tc>
          <w:tcPr>
            <w:tcW w:w="0" w:type="auto"/>
            <w:noWrap/>
            <w:hideMark/>
          </w:tcPr>
          <w:p w14:paraId="663D9502"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Whately</w:t>
            </w:r>
          </w:p>
        </w:tc>
        <w:tc>
          <w:tcPr>
            <w:tcW w:w="0" w:type="auto"/>
            <w:noWrap/>
            <w:hideMark/>
          </w:tcPr>
          <w:p w14:paraId="638A621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4EE1E991"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4BCA380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20.13</w:t>
            </w:r>
          </w:p>
        </w:tc>
        <w:tc>
          <w:tcPr>
            <w:tcW w:w="0" w:type="auto"/>
            <w:noWrap/>
            <w:hideMark/>
          </w:tcPr>
          <w:p w14:paraId="27D3D1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128</w:t>
            </w:r>
          </w:p>
        </w:tc>
        <w:tc>
          <w:tcPr>
            <w:tcW w:w="0" w:type="auto"/>
            <w:noWrap/>
            <w:hideMark/>
          </w:tcPr>
          <w:p w14:paraId="040DE3B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129</w:t>
            </w:r>
          </w:p>
        </w:tc>
        <w:tc>
          <w:tcPr>
            <w:tcW w:w="0" w:type="auto"/>
            <w:noWrap/>
            <w:hideMark/>
          </w:tcPr>
          <w:p w14:paraId="23E537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0.8%</w:t>
            </w:r>
          </w:p>
        </w:tc>
        <w:tc>
          <w:tcPr>
            <w:tcW w:w="0" w:type="auto"/>
            <w:noWrap/>
            <w:hideMark/>
          </w:tcPr>
          <w:p w14:paraId="2B808C1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4.1</w:t>
            </w:r>
          </w:p>
        </w:tc>
        <w:tc>
          <w:tcPr>
            <w:tcW w:w="0" w:type="auto"/>
            <w:noWrap/>
            <w:hideMark/>
          </w:tcPr>
          <w:p w14:paraId="7D8AEA1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11.3</w:t>
            </w:r>
          </w:p>
        </w:tc>
        <w:tc>
          <w:tcPr>
            <w:tcW w:w="0" w:type="auto"/>
            <w:noWrap/>
            <w:hideMark/>
          </w:tcPr>
          <w:p w14:paraId="5542E30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w:t>
            </w:r>
          </w:p>
        </w:tc>
        <w:tc>
          <w:tcPr>
            <w:tcW w:w="0" w:type="auto"/>
            <w:noWrap/>
            <w:hideMark/>
          </w:tcPr>
          <w:p w14:paraId="020D1ED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8.8</w:t>
            </w:r>
          </w:p>
        </w:tc>
        <w:tc>
          <w:tcPr>
            <w:tcW w:w="0" w:type="auto"/>
            <w:noWrap/>
            <w:hideMark/>
          </w:tcPr>
          <w:p w14:paraId="4C653C5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8.5</w:t>
            </w:r>
          </w:p>
        </w:tc>
        <w:tc>
          <w:tcPr>
            <w:tcW w:w="0" w:type="auto"/>
            <w:noWrap/>
            <w:hideMark/>
          </w:tcPr>
          <w:p w14:paraId="62C93A83"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13,351</w:t>
            </w:r>
          </w:p>
        </w:tc>
        <w:tc>
          <w:tcPr>
            <w:tcW w:w="0" w:type="auto"/>
            <w:noWrap/>
            <w:hideMark/>
          </w:tcPr>
          <w:p w14:paraId="5CD6A10F"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16,938</w:t>
            </w:r>
          </w:p>
        </w:tc>
        <w:tc>
          <w:tcPr>
            <w:tcW w:w="0" w:type="auto"/>
            <w:noWrap/>
            <w:hideMark/>
          </w:tcPr>
          <w:p w14:paraId="30EDA4C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26.9%</w:t>
            </w:r>
          </w:p>
        </w:tc>
        <w:tc>
          <w:tcPr>
            <w:tcW w:w="0" w:type="auto"/>
            <w:noWrap/>
            <w:hideMark/>
          </w:tcPr>
          <w:p w14:paraId="27D62D9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38.6</w:t>
            </w:r>
          </w:p>
        </w:tc>
        <w:tc>
          <w:tcPr>
            <w:tcW w:w="0" w:type="auto"/>
            <w:noWrap/>
            <w:hideMark/>
          </w:tcPr>
          <w:p w14:paraId="5EA003D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29.9%</w:t>
            </w:r>
          </w:p>
        </w:tc>
      </w:tr>
      <w:tr w:rsidR="003B6049" w:rsidRPr="00472DAF" w14:paraId="25452685"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7462555" w14:textId="77777777" w:rsidR="00494E93" w:rsidRPr="00472DAF" w:rsidRDefault="00494E93" w:rsidP="00472DAF">
            <w:pPr>
              <w:rPr>
                <w:rFonts w:ascii="Calibri" w:hAnsi="Calibri"/>
                <w:color w:val="000000"/>
                <w:szCs w:val="22"/>
              </w:rPr>
            </w:pPr>
            <w:r w:rsidRPr="00472DAF">
              <w:rPr>
                <w:rFonts w:ascii="Calibri" w:hAnsi="Calibri"/>
                <w:color w:val="000000"/>
                <w:szCs w:val="22"/>
              </w:rPr>
              <w:t>0340</w:t>
            </w:r>
          </w:p>
        </w:tc>
        <w:tc>
          <w:tcPr>
            <w:tcW w:w="0" w:type="auto"/>
            <w:shd w:val="clear" w:color="auto" w:fill="D9D9D9" w:themeFill="background1" w:themeFillShade="D9"/>
            <w:noWrap/>
            <w:hideMark/>
          </w:tcPr>
          <w:p w14:paraId="2912E075"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Williamsburg</w:t>
            </w:r>
          </w:p>
        </w:tc>
        <w:tc>
          <w:tcPr>
            <w:tcW w:w="0" w:type="auto"/>
            <w:shd w:val="clear" w:color="auto" w:fill="D9D9D9" w:themeFill="background1" w:themeFillShade="D9"/>
            <w:noWrap/>
            <w:hideMark/>
          </w:tcPr>
          <w:p w14:paraId="5439B34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449FB5A3"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3E07F7F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25.56</w:t>
            </w:r>
          </w:p>
        </w:tc>
        <w:tc>
          <w:tcPr>
            <w:tcW w:w="0" w:type="auto"/>
            <w:shd w:val="clear" w:color="auto" w:fill="D9D9D9" w:themeFill="background1" w:themeFillShade="D9"/>
            <w:noWrap/>
            <w:hideMark/>
          </w:tcPr>
          <w:p w14:paraId="52BFCE9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165</w:t>
            </w:r>
          </w:p>
        </w:tc>
        <w:tc>
          <w:tcPr>
            <w:tcW w:w="0" w:type="auto"/>
            <w:shd w:val="clear" w:color="auto" w:fill="D9D9D9" w:themeFill="background1" w:themeFillShade="D9"/>
            <w:noWrap/>
            <w:hideMark/>
          </w:tcPr>
          <w:p w14:paraId="2364476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158</w:t>
            </w:r>
          </w:p>
        </w:tc>
        <w:tc>
          <w:tcPr>
            <w:tcW w:w="0" w:type="auto"/>
            <w:shd w:val="clear" w:color="auto" w:fill="D9D9D9" w:themeFill="background1" w:themeFillShade="D9"/>
            <w:noWrap/>
            <w:hideMark/>
          </w:tcPr>
          <w:p w14:paraId="5912F84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w:t>
            </w:r>
          </w:p>
        </w:tc>
        <w:tc>
          <w:tcPr>
            <w:tcW w:w="0" w:type="auto"/>
            <w:shd w:val="clear" w:color="auto" w:fill="D9D9D9" w:themeFill="background1" w:themeFillShade="D9"/>
            <w:noWrap/>
            <w:hideMark/>
          </w:tcPr>
          <w:p w14:paraId="47CBA3C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6.7</w:t>
            </w:r>
          </w:p>
        </w:tc>
        <w:tc>
          <w:tcPr>
            <w:tcW w:w="0" w:type="auto"/>
            <w:shd w:val="clear" w:color="auto" w:fill="D9D9D9" w:themeFill="background1" w:themeFillShade="D9"/>
            <w:noWrap/>
            <w:hideMark/>
          </w:tcPr>
          <w:p w14:paraId="6A57811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15.7</w:t>
            </w:r>
          </w:p>
        </w:tc>
        <w:tc>
          <w:tcPr>
            <w:tcW w:w="0" w:type="auto"/>
            <w:shd w:val="clear" w:color="auto" w:fill="D9D9D9" w:themeFill="background1" w:themeFillShade="D9"/>
            <w:noWrap/>
            <w:hideMark/>
          </w:tcPr>
          <w:p w14:paraId="39FFD0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w:t>
            </w:r>
          </w:p>
        </w:tc>
        <w:tc>
          <w:tcPr>
            <w:tcW w:w="0" w:type="auto"/>
            <w:shd w:val="clear" w:color="auto" w:fill="D9D9D9" w:themeFill="background1" w:themeFillShade="D9"/>
            <w:noWrap/>
            <w:hideMark/>
          </w:tcPr>
          <w:p w14:paraId="25EAEE1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9.9</w:t>
            </w:r>
          </w:p>
        </w:tc>
        <w:tc>
          <w:tcPr>
            <w:tcW w:w="0" w:type="auto"/>
            <w:shd w:val="clear" w:color="auto" w:fill="D9D9D9" w:themeFill="background1" w:themeFillShade="D9"/>
            <w:noWrap/>
            <w:hideMark/>
          </w:tcPr>
          <w:p w14:paraId="40BCA6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w:t>
            </w:r>
          </w:p>
        </w:tc>
        <w:tc>
          <w:tcPr>
            <w:tcW w:w="0" w:type="auto"/>
            <w:shd w:val="clear" w:color="auto" w:fill="D9D9D9" w:themeFill="background1" w:themeFillShade="D9"/>
            <w:noWrap/>
            <w:hideMark/>
          </w:tcPr>
          <w:p w14:paraId="2053D94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13,455</w:t>
            </w:r>
          </w:p>
        </w:tc>
        <w:tc>
          <w:tcPr>
            <w:tcW w:w="0" w:type="auto"/>
            <w:shd w:val="clear" w:color="auto" w:fill="D9D9D9" w:themeFill="background1" w:themeFillShade="D9"/>
            <w:noWrap/>
            <w:hideMark/>
          </w:tcPr>
          <w:p w14:paraId="4BC4224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14,694</w:t>
            </w:r>
          </w:p>
        </w:tc>
        <w:tc>
          <w:tcPr>
            <w:tcW w:w="0" w:type="auto"/>
            <w:shd w:val="clear" w:color="auto" w:fill="D9D9D9" w:themeFill="background1" w:themeFillShade="D9"/>
            <w:noWrap/>
            <w:hideMark/>
          </w:tcPr>
          <w:p w14:paraId="3E631C2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9.2%</w:t>
            </w:r>
          </w:p>
        </w:tc>
        <w:tc>
          <w:tcPr>
            <w:tcW w:w="0" w:type="auto"/>
            <w:shd w:val="clear" w:color="auto" w:fill="D9D9D9" w:themeFill="background1" w:themeFillShade="D9"/>
            <w:noWrap/>
            <w:hideMark/>
          </w:tcPr>
          <w:p w14:paraId="7B3C371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19.2</w:t>
            </w:r>
          </w:p>
        </w:tc>
        <w:tc>
          <w:tcPr>
            <w:tcW w:w="0" w:type="auto"/>
            <w:shd w:val="clear" w:color="auto" w:fill="D9D9D9" w:themeFill="background1" w:themeFillShade="D9"/>
            <w:noWrap/>
            <w:hideMark/>
          </w:tcPr>
          <w:p w14:paraId="501A8AA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12.1%</w:t>
            </w:r>
          </w:p>
        </w:tc>
      </w:tr>
      <w:tr w:rsidR="00494E93" w:rsidRPr="00472DAF" w14:paraId="2FA27D25"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38299" w14:textId="77777777" w:rsidR="00494E93" w:rsidRPr="00472DAF" w:rsidRDefault="00494E93" w:rsidP="00472DAF">
            <w:pPr>
              <w:rPr>
                <w:rFonts w:ascii="Calibri" w:hAnsi="Calibri"/>
                <w:color w:val="000000"/>
                <w:szCs w:val="22"/>
              </w:rPr>
            </w:pPr>
            <w:r w:rsidRPr="00472DAF">
              <w:rPr>
                <w:rFonts w:ascii="Calibri" w:hAnsi="Calibri"/>
                <w:color w:val="000000"/>
                <w:szCs w:val="22"/>
              </w:rPr>
              <w:t>0341</w:t>
            </w:r>
          </w:p>
        </w:tc>
        <w:tc>
          <w:tcPr>
            <w:tcW w:w="0" w:type="auto"/>
            <w:noWrap/>
            <w:hideMark/>
          </w:tcPr>
          <w:p w14:paraId="7B160FF4"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Williamstown</w:t>
            </w:r>
          </w:p>
        </w:tc>
        <w:tc>
          <w:tcPr>
            <w:tcW w:w="0" w:type="auto"/>
            <w:noWrap/>
            <w:hideMark/>
          </w:tcPr>
          <w:p w14:paraId="186F04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7618A575"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noWrap/>
            <w:hideMark/>
          </w:tcPr>
          <w:p w14:paraId="2A906A0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46.76</w:t>
            </w:r>
          </w:p>
        </w:tc>
        <w:tc>
          <w:tcPr>
            <w:tcW w:w="0" w:type="auto"/>
            <w:noWrap/>
            <w:hideMark/>
          </w:tcPr>
          <w:p w14:paraId="0141219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438</w:t>
            </w:r>
          </w:p>
        </w:tc>
        <w:tc>
          <w:tcPr>
            <w:tcW w:w="0" w:type="auto"/>
            <w:noWrap/>
            <w:hideMark/>
          </w:tcPr>
          <w:p w14:paraId="3AB3099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450</w:t>
            </w:r>
          </w:p>
        </w:tc>
        <w:tc>
          <w:tcPr>
            <w:tcW w:w="0" w:type="auto"/>
            <w:noWrap/>
            <w:hideMark/>
          </w:tcPr>
          <w:p w14:paraId="01835D8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w:t>
            </w:r>
          </w:p>
        </w:tc>
        <w:tc>
          <w:tcPr>
            <w:tcW w:w="0" w:type="auto"/>
            <w:noWrap/>
            <w:hideMark/>
          </w:tcPr>
          <w:p w14:paraId="27A8563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8.4</w:t>
            </w:r>
          </w:p>
        </w:tc>
        <w:tc>
          <w:tcPr>
            <w:tcW w:w="0" w:type="auto"/>
            <w:noWrap/>
            <w:hideMark/>
          </w:tcPr>
          <w:p w14:paraId="0000691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38.2</w:t>
            </w:r>
          </w:p>
        </w:tc>
        <w:tc>
          <w:tcPr>
            <w:tcW w:w="0" w:type="auto"/>
            <w:noWrap/>
            <w:hideMark/>
          </w:tcPr>
          <w:p w14:paraId="2ACBF5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21.6</w:t>
            </w:r>
          </w:p>
        </w:tc>
        <w:tc>
          <w:tcPr>
            <w:tcW w:w="0" w:type="auto"/>
            <w:noWrap/>
            <w:hideMark/>
          </w:tcPr>
          <w:p w14:paraId="6D8B82C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8.5</w:t>
            </w:r>
          </w:p>
        </w:tc>
        <w:tc>
          <w:tcPr>
            <w:tcW w:w="0" w:type="auto"/>
            <w:noWrap/>
            <w:hideMark/>
          </w:tcPr>
          <w:p w14:paraId="1C2608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w:t>
            </w:r>
          </w:p>
        </w:tc>
        <w:tc>
          <w:tcPr>
            <w:tcW w:w="0" w:type="auto"/>
            <w:noWrap/>
            <w:hideMark/>
          </w:tcPr>
          <w:p w14:paraId="7A2D126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13,243</w:t>
            </w:r>
          </w:p>
        </w:tc>
        <w:tc>
          <w:tcPr>
            <w:tcW w:w="0" w:type="auto"/>
            <w:noWrap/>
            <w:hideMark/>
          </w:tcPr>
          <w:p w14:paraId="2E285A3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14,764</w:t>
            </w:r>
          </w:p>
        </w:tc>
        <w:tc>
          <w:tcPr>
            <w:tcW w:w="0" w:type="auto"/>
            <w:noWrap/>
            <w:hideMark/>
          </w:tcPr>
          <w:p w14:paraId="5D1953B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11.5%</w:t>
            </w:r>
          </w:p>
        </w:tc>
        <w:tc>
          <w:tcPr>
            <w:tcW w:w="0" w:type="auto"/>
            <w:noWrap/>
            <w:hideMark/>
          </w:tcPr>
          <w:p w14:paraId="2FAE1A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35.1</w:t>
            </w:r>
          </w:p>
        </w:tc>
        <w:tc>
          <w:tcPr>
            <w:tcW w:w="0" w:type="auto"/>
            <w:noWrap/>
            <w:hideMark/>
          </w:tcPr>
          <w:p w14:paraId="4546291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7.8%</w:t>
            </w:r>
          </w:p>
        </w:tc>
      </w:tr>
      <w:tr w:rsidR="003B6049" w:rsidRPr="00472DAF" w14:paraId="334BEF9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7A7B39C" w14:textId="77777777" w:rsidR="00494E93" w:rsidRPr="00472DAF" w:rsidRDefault="00494E93" w:rsidP="00472DAF">
            <w:pPr>
              <w:rPr>
                <w:rFonts w:ascii="Calibri" w:hAnsi="Calibri"/>
                <w:color w:val="000000"/>
                <w:szCs w:val="22"/>
              </w:rPr>
            </w:pPr>
            <w:r w:rsidRPr="00472DAF">
              <w:rPr>
                <w:rFonts w:ascii="Calibri" w:hAnsi="Calibri"/>
                <w:color w:val="000000"/>
                <w:szCs w:val="22"/>
              </w:rPr>
              <w:t>0349</w:t>
            </w:r>
          </w:p>
        </w:tc>
        <w:tc>
          <w:tcPr>
            <w:tcW w:w="0" w:type="auto"/>
            <w:shd w:val="clear" w:color="auto" w:fill="D9D9D9" w:themeFill="background1" w:themeFillShade="D9"/>
            <w:noWrap/>
            <w:hideMark/>
          </w:tcPr>
          <w:p w14:paraId="47A21FDE"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Worthington</w:t>
            </w:r>
          </w:p>
        </w:tc>
        <w:tc>
          <w:tcPr>
            <w:tcW w:w="0" w:type="auto"/>
            <w:shd w:val="clear" w:color="auto" w:fill="D9D9D9" w:themeFill="background1" w:themeFillShade="D9"/>
            <w:noWrap/>
            <w:hideMark/>
          </w:tcPr>
          <w:p w14:paraId="31AD6A5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64D4FAD2"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0" w:type="auto"/>
            <w:shd w:val="clear" w:color="auto" w:fill="D9D9D9" w:themeFill="background1" w:themeFillShade="D9"/>
            <w:noWrap/>
            <w:hideMark/>
          </w:tcPr>
          <w:p w14:paraId="59A7301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31.95</w:t>
            </w:r>
          </w:p>
        </w:tc>
        <w:tc>
          <w:tcPr>
            <w:tcW w:w="0" w:type="auto"/>
            <w:shd w:val="clear" w:color="auto" w:fill="D9D9D9" w:themeFill="background1" w:themeFillShade="D9"/>
            <w:noWrap/>
            <w:hideMark/>
          </w:tcPr>
          <w:p w14:paraId="7DEDC2F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w:t>
            </w:r>
          </w:p>
        </w:tc>
        <w:tc>
          <w:tcPr>
            <w:tcW w:w="0" w:type="auto"/>
            <w:shd w:val="clear" w:color="auto" w:fill="D9D9D9" w:themeFill="background1" w:themeFillShade="D9"/>
            <w:noWrap/>
            <w:hideMark/>
          </w:tcPr>
          <w:p w14:paraId="255D764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60</w:t>
            </w:r>
          </w:p>
        </w:tc>
        <w:tc>
          <w:tcPr>
            <w:tcW w:w="0" w:type="auto"/>
            <w:shd w:val="clear" w:color="auto" w:fill="D9D9D9" w:themeFill="background1" w:themeFillShade="D9"/>
            <w:noWrap/>
            <w:hideMark/>
          </w:tcPr>
          <w:p w14:paraId="0D8FD8C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shd w:val="clear" w:color="auto" w:fill="D9D9D9" w:themeFill="background1" w:themeFillShade="D9"/>
            <w:noWrap/>
            <w:hideMark/>
          </w:tcPr>
          <w:p w14:paraId="627B8F8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w:t>
            </w:r>
          </w:p>
        </w:tc>
        <w:tc>
          <w:tcPr>
            <w:tcW w:w="0" w:type="auto"/>
            <w:shd w:val="clear" w:color="auto" w:fill="D9D9D9" w:themeFill="background1" w:themeFillShade="D9"/>
            <w:noWrap/>
            <w:hideMark/>
          </w:tcPr>
          <w:p w14:paraId="393EDE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6.4</w:t>
            </w:r>
          </w:p>
        </w:tc>
        <w:tc>
          <w:tcPr>
            <w:tcW w:w="0" w:type="auto"/>
            <w:shd w:val="clear" w:color="auto" w:fill="D9D9D9" w:themeFill="background1" w:themeFillShade="D9"/>
            <w:noWrap/>
            <w:hideMark/>
          </w:tcPr>
          <w:p w14:paraId="3BE9C86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w:t>
            </w:r>
          </w:p>
        </w:tc>
        <w:tc>
          <w:tcPr>
            <w:tcW w:w="0" w:type="auto"/>
            <w:shd w:val="clear" w:color="auto" w:fill="D9D9D9" w:themeFill="background1" w:themeFillShade="D9"/>
            <w:noWrap/>
            <w:hideMark/>
          </w:tcPr>
          <w:p w14:paraId="12B93E2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10.7</w:t>
            </w:r>
          </w:p>
        </w:tc>
        <w:tc>
          <w:tcPr>
            <w:tcW w:w="0" w:type="auto"/>
            <w:shd w:val="clear" w:color="auto" w:fill="D9D9D9" w:themeFill="background1" w:themeFillShade="D9"/>
            <w:noWrap/>
            <w:hideMark/>
          </w:tcPr>
          <w:p w14:paraId="679337B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5.0</w:t>
            </w:r>
          </w:p>
        </w:tc>
        <w:tc>
          <w:tcPr>
            <w:tcW w:w="0" w:type="auto"/>
            <w:shd w:val="clear" w:color="auto" w:fill="D9D9D9" w:themeFill="background1" w:themeFillShade="D9"/>
            <w:noWrap/>
            <w:hideMark/>
          </w:tcPr>
          <w:p w14:paraId="15CE1D03"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N/A</w:t>
            </w:r>
          </w:p>
        </w:tc>
        <w:tc>
          <w:tcPr>
            <w:tcW w:w="0" w:type="auto"/>
            <w:shd w:val="clear" w:color="auto" w:fill="D9D9D9" w:themeFill="background1" w:themeFillShade="D9"/>
            <w:noWrap/>
            <w:hideMark/>
          </w:tcPr>
          <w:p w14:paraId="1F3BBD4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16,198</w:t>
            </w:r>
          </w:p>
        </w:tc>
        <w:tc>
          <w:tcPr>
            <w:tcW w:w="0" w:type="auto"/>
            <w:shd w:val="clear" w:color="auto" w:fill="D9D9D9" w:themeFill="background1" w:themeFillShade="D9"/>
            <w:noWrap/>
            <w:hideMark/>
          </w:tcPr>
          <w:p w14:paraId="51D927AE" w14:textId="77777777" w:rsidR="00494E93" w:rsidRPr="00472DAF" w:rsidRDefault="00494E93" w:rsidP="00472DAF">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N/A</w:t>
            </w:r>
          </w:p>
        </w:tc>
        <w:tc>
          <w:tcPr>
            <w:tcW w:w="0" w:type="auto"/>
            <w:shd w:val="clear" w:color="auto" w:fill="D9D9D9" w:themeFill="background1" w:themeFillShade="D9"/>
            <w:noWrap/>
            <w:hideMark/>
          </w:tcPr>
          <w:p w14:paraId="12D424B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14.8</w:t>
            </w:r>
          </w:p>
        </w:tc>
        <w:tc>
          <w:tcPr>
            <w:tcW w:w="0" w:type="auto"/>
            <w:shd w:val="clear" w:color="auto" w:fill="D9D9D9" w:themeFill="background1" w:themeFillShade="D9"/>
            <w:noWrap/>
            <w:hideMark/>
          </w:tcPr>
          <w:p w14:paraId="6F91468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24.6%</w:t>
            </w:r>
          </w:p>
        </w:tc>
      </w:tr>
      <w:tr w:rsidR="00494E93" w:rsidRPr="00472DAF" w14:paraId="7C0206E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0333CE47" w14:textId="77777777" w:rsidR="00494E93" w:rsidRPr="00472DAF" w:rsidRDefault="00494E93" w:rsidP="00472DAF">
            <w:pPr>
              <w:rPr>
                <w:rFonts w:ascii="Calibri" w:hAnsi="Calibri"/>
                <w:color w:val="000000"/>
                <w:szCs w:val="22"/>
              </w:rPr>
            </w:pPr>
            <w:r w:rsidRPr="00472DAF">
              <w:rPr>
                <w:rFonts w:ascii="Calibri" w:hAnsi="Calibri"/>
                <w:color w:val="000000"/>
                <w:szCs w:val="22"/>
              </w:rPr>
              <w:t>0618</w:t>
            </w:r>
          </w:p>
        </w:tc>
        <w:tc>
          <w:tcPr>
            <w:tcW w:w="0" w:type="auto"/>
            <w:noWrap/>
            <w:hideMark/>
          </w:tcPr>
          <w:p w14:paraId="757D196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Berkshire Hills</w:t>
            </w:r>
          </w:p>
        </w:tc>
        <w:tc>
          <w:tcPr>
            <w:tcW w:w="0" w:type="auto"/>
            <w:noWrap/>
            <w:hideMark/>
          </w:tcPr>
          <w:p w14:paraId="5B44C40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noWrap/>
            <w:hideMark/>
          </w:tcPr>
          <w:p w14:paraId="7820830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noWrap/>
            <w:hideMark/>
          </w:tcPr>
          <w:p w14:paraId="124F788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86.01</w:t>
            </w:r>
          </w:p>
        </w:tc>
        <w:tc>
          <w:tcPr>
            <w:tcW w:w="0" w:type="auto"/>
            <w:noWrap/>
            <w:hideMark/>
          </w:tcPr>
          <w:p w14:paraId="0DCF12D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1,421</w:t>
            </w:r>
          </w:p>
        </w:tc>
        <w:tc>
          <w:tcPr>
            <w:tcW w:w="0" w:type="auto"/>
            <w:noWrap/>
            <w:hideMark/>
          </w:tcPr>
          <w:p w14:paraId="5C1235A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1,286</w:t>
            </w:r>
          </w:p>
        </w:tc>
        <w:tc>
          <w:tcPr>
            <w:tcW w:w="0" w:type="auto"/>
            <w:noWrap/>
            <w:hideMark/>
          </w:tcPr>
          <w:p w14:paraId="41A1B51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w:t>
            </w:r>
          </w:p>
        </w:tc>
        <w:tc>
          <w:tcPr>
            <w:tcW w:w="0" w:type="auto"/>
            <w:noWrap/>
            <w:hideMark/>
          </w:tcPr>
          <w:p w14:paraId="73AE0B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12.5</w:t>
            </w:r>
          </w:p>
        </w:tc>
        <w:tc>
          <w:tcPr>
            <w:tcW w:w="0" w:type="auto"/>
            <w:noWrap/>
            <w:hideMark/>
          </w:tcPr>
          <w:p w14:paraId="76EDB28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114.0</w:t>
            </w:r>
          </w:p>
        </w:tc>
        <w:tc>
          <w:tcPr>
            <w:tcW w:w="0" w:type="auto"/>
            <w:noWrap/>
            <w:hideMark/>
          </w:tcPr>
          <w:p w14:paraId="17E7A2A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43.8</w:t>
            </w:r>
          </w:p>
        </w:tc>
        <w:tc>
          <w:tcPr>
            <w:tcW w:w="0" w:type="auto"/>
            <w:noWrap/>
            <w:hideMark/>
          </w:tcPr>
          <w:p w14:paraId="2C582CB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8.9</w:t>
            </w:r>
          </w:p>
        </w:tc>
        <w:tc>
          <w:tcPr>
            <w:tcW w:w="0" w:type="auto"/>
            <w:noWrap/>
            <w:hideMark/>
          </w:tcPr>
          <w:p w14:paraId="4DB799C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w:t>
            </w:r>
          </w:p>
        </w:tc>
        <w:tc>
          <w:tcPr>
            <w:tcW w:w="0" w:type="auto"/>
            <w:noWrap/>
            <w:hideMark/>
          </w:tcPr>
          <w:p w14:paraId="1794585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14,562</w:t>
            </w:r>
          </w:p>
        </w:tc>
        <w:tc>
          <w:tcPr>
            <w:tcW w:w="0" w:type="auto"/>
            <w:noWrap/>
            <w:hideMark/>
          </w:tcPr>
          <w:p w14:paraId="310CE52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18,820</w:t>
            </w:r>
          </w:p>
        </w:tc>
        <w:tc>
          <w:tcPr>
            <w:tcW w:w="0" w:type="auto"/>
            <w:noWrap/>
            <w:hideMark/>
          </w:tcPr>
          <w:p w14:paraId="56BFFF2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29.2%</w:t>
            </w:r>
          </w:p>
        </w:tc>
        <w:tc>
          <w:tcPr>
            <w:tcW w:w="0" w:type="auto"/>
            <w:noWrap/>
            <w:hideMark/>
          </w:tcPr>
          <w:p w14:paraId="1EAD64C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211.0</w:t>
            </w:r>
          </w:p>
        </w:tc>
        <w:tc>
          <w:tcPr>
            <w:tcW w:w="0" w:type="auto"/>
            <w:noWrap/>
            <w:hideMark/>
          </w:tcPr>
          <w:p w14:paraId="7CFFCA5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16.4%</w:t>
            </w:r>
          </w:p>
        </w:tc>
      </w:tr>
      <w:tr w:rsidR="003B6049" w:rsidRPr="00472DAF" w14:paraId="7481FD21"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4CEC412" w14:textId="77777777" w:rsidR="00494E93" w:rsidRPr="00472DAF" w:rsidRDefault="00494E93" w:rsidP="00472DAF">
            <w:pPr>
              <w:rPr>
                <w:rFonts w:ascii="Calibri" w:hAnsi="Calibri"/>
                <w:color w:val="000000"/>
                <w:szCs w:val="22"/>
              </w:rPr>
            </w:pPr>
            <w:r w:rsidRPr="00472DAF">
              <w:rPr>
                <w:rFonts w:ascii="Calibri" w:hAnsi="Calibri"/>
                <w:color w:val="000000"/>
                <w:szCs w:val="22"/>
              </w:rPr>
              <w:t>0620</w:t>
            </w:r>
          </w:p>
        </w:tc>
        <w:tc>
          <w:tcPr>
            <w:tcW w:w="0" w:type="auto"/>
            <w:shd w:val="clear" w:color="auto" w:fill="D9D9D9" w:themeFill="background1" w:themeFillShade="D9"/>
            <w:noWrap/>
            <w:hideMark/>
          </w:tcPr>
          <w:p w14:paraId="3B44DAC1"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Berlin-Boylston</w:t>
            </w:r>
          </w:p>
        </w:tc>
        <w:tc>
          <w:tcPr>
            <w:tcW w:w="0" w:type="auto"/>
            <w:shd w:val="clear" w:color="auto" w:fill="D9D9D9" w:themeFill="background1" w:themeFillShade="D9"/>
            <w:noWrap/>
            <w:hideMark/>
          </w:tcPr>
          <w:p w14:paraId="5B88ED7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2F0AAF6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47F876C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29.03</w:t>
            </w:r>
          </w:p>
        </w:tc>
        <w:tc>
          <w:tcPr>
            <w:tcW w:w="0" w:type="auto"/>
            <w:shd w:val="clear" w:color="auto" w:fill="D9D9D9" w:themeFill="background1" w:themeFillShade="D9"/>
            <w:noWrap/>
            <w:hideMark/>
          </w:tcPr>
          <w:p w14:paraId="21F0D6F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478</w:t>
            </w:r>
          </w:p>
        </w:tc>
        <w:tc>
          <w:tcPr>
            <w:tcW w:w="0" w:type="auto"/>
            <w:shd w:val="clear" w:color="auto" w:fill="D9D9D9" w:themeFill="background1" w:themeFillShade="D9"/>
            <w:noWrap/>
            <w:hideMark/>
          </w:tcPr>
          <w:p w14:paraId="2F74213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584</w:t>
            </w:r>
          </w:p>
        </w:tc>
        <w:tc>
          <w:tcPr>
            <w:tcW w:w="0" w:type="auto"/>
            <w:shd w:val="clear" w:color="auto" w:fill="D9D9D9" w:themeFill="background1" w:themeFillShade="D9"/>
            <w:noWrap/>
            <w:hideMark/>
          </w:tcPr>
          <w:p w14:paraId="152C1AF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22.2%</w:t>
            </w:r>
          </w:p>
        </w:tc>
        <w:tc>
          <w:tcPr>
            <w:tcW w:w="0" w:type="auto"/>
            <w:shd w:val="clear" w:color="auto" w:fill="D9D9D9" w:themeFill="background1" w:themeFillShade="D9"/>
            <w:noWrap/>
            <w:hideMark/>
          </w:tcPr>
          <w:p w14:paraId="5814697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18.6</w:t>
            </w:r>
          </w:p>
        </w:tc>
        <w:tc>
          <w:tcPr>
            <w:tcW w:w="0" w:type="auto"/>
            <w:shd w:val="clear" w:color="auto" w:fill="D9D9D9" w:themeFill="background1" w:themeFillShade="D9"/>
            <w:noWrap/>
            <w:hideMark/>
          </w:tcPr>
          <w:p w14:paraId="221E3F3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45.7</w:t>
            </w:r>
          </w:p>
        </w:tc>
        <w:tc>
          <w:tcPr>
            <w:tcW w:w="0" w:type="auto"/>
            <w:shd w:val="clear" w:color="auto" w:fill="D9D9D9" w:themeFill="background1" w:themeFillShade="D9"/>
            <w:noWrap/>
            <w:hideMark/>
          </w:tcPr>
          <w:p w14:paraId="7D6AE92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9.6</w:t>
            </w:r>
          </w:p>
        </w:tc>
        <w:tc>
          <w:tcPr>
            <w:tcW w:w="0" w:type="auto"/>
            <w:shd w:val="clear" w:color="auto" w:fill="D9D9D9" w:themeFill="background1" w:themeFillShade="D9"/>
            <w:noWrap/>
            <w:hideMark/>
          </w:tcPr>
          <w:p w14:paraId="098074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7.8</w:t>
            </w:r>
          </w:p>
        </w:tc>
        <w:tc>
          <w:tcPr>
            <w:tcW w:w="0" w:type="auto"/>
            <w:shd w:val="clear" w:color="auto" w:fill="D9D9D9" w:themeFill="background1" w:themeFillShade="D9"/>
            <w:noWrap/>
            <w:hideMark/>
          </w:tcPr>
          <w:p w14:paraId="1FF8ED3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w:t>
            </w:r>
          </w:p>
        </w:tc>
        <w:tc>
          <w:tcPr>
            <w:tcW w:w="0" w:type="auto"/>
            <w:shd w:val="clear" w:color="auto" w:fill="D9D9D9" w:themeFill="background1" w:themeFillShade="D9"/>
            <w:noWrap/>
            <w:hideMark/>
          </w:tcPr>
          <w:p w14:paraId="2BB0CCF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11,699</w:t>
            </w:r>
          </w:p>
        </w:tc>
        <w:tc>
          <w:tcPr>
            <w:tcW w:w="0" w:type="auto"/>
            <w:shd w:val="clear" w:color="auto" w:fill="D9D9D9" w:themeFill="background1" w:themeFillShade="D9"/>
            <w:noWrap/>
            <w:hideMark/>
          </w:tcPr>
          <w:p w14:paraId="38B3065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13,670</w:t>
            </w:r>
          </w:p>
        </w:tc>
        <w:tc>
          <w:tcPr>
            <w:tcW w:w="0" w:type="auto"/>
            <w:shd w:val="clear" w:color="auto" w:fill="D9D9D9" w:themeFill="background1" w:themeFillShade="D9"/>
            <w:noWrap/>
            <w:hideMark/>
          </w:tcPr>
          <w:p w14:paraId="47078B8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16.9%</w:t>
            </w:r>
          </w:p>
        </w:tc>
        <w:tc>
          <w:tcPr>
            <w:tcW w:w="0" w:type="auto"/>
            <w:shd w:val="clear" w:color="auto" w:fill="D9D9D9" w:themeFill="background1" w:themeFillShade="D9"/>
            <w:noWrap/>
            <w:hideMark/>
          </w:tcPr>
          <w:p w14:paraId="077FA16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93.3</w:t>
            </w:r>
          </w:p>
        </w:tc>
        <w:tc>
          <w:tcPr>
            <w:tcW w:w="0" w:type="auto"/>
            <w:shd w:val="clear" w:color="auto" w:fill="D9D9D9" w:themeFill="background1" w:themeFillShade="D9"/>
            <w:noWrap/>
            <w:hideMark/>
          </w:tcPr>
          <w:p w14:paraId="4660394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16.0%</w:t>
            </w:r>
          </w:p>
        </w:tc>
      </w:tr>
      <w:tr w:rsidR="00494E93" w:rsidRPr="00472DAF" w14:paraId="49E531A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39D8DEDD" w14:textId="77777777" w:rsidR="00494E93" w:rsidRPr="00472DAF" w:rsidRDefault="00494E93" w:rsidP="00472DAF">
            <w:pPr>
              <w:rPr>
                <w:rFonts w:ascii="Calibri" w:hAnsi="Calibri"/>
                <w:color w:val="000000"/>
                <w:szCs w:val="22"/>
              </w:rPr>
            </w:pPr>
            <w:r w:rsidRPr="00472DAF">
              <w:rPr>
                <w:rFonts w:ascii="Calibri" w:hAnsi="Calibri"/>
                <w:color w:val="000000"/>
                <w:szCs w:val="22"/>
              </w:rPr>
              <w:t>0632</w:t>
            </w:r>
          </w:p>
        </w:tc>
        <w:tc>
          <w:tcPr>
            <w:tcW w:w="0" w:type="auto"/>
            <w:noWrap/>
            <w:hideMark/>
          </w:tcPr>
          <w:p w14:paraId="4FEA9223"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Chesterfield-Goshen</w:t>
            </w:r>
          </w:p>
        </w:tc>
        <w:tc>
          <w:tcPr>
            <w:tcW w:w="0" w:type="auto"/>
            <w:noWrap/>
            <w:hideMark/>
          </w:tcPr>
          <w:p w14:paraId="74F517F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79A6257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noWrap/>
            <w:hideMark/>
          </w:tcPr>
          <w:p w14:paraId="75F931D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48.16</w:t>
            </w:r>
          </w:p>
        </w:tc>
        <w:tc>
          <w:tcPr>
            <w:tcW w:w="0" w:type="auto"/>
            <w:noWrap/>
            <w:hideMark/>
          </w:tcPr>
          <w:p w14:paraId="73FA8BB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176</w:t>
            </w:r>
          </w:p>
        </w:tc>
        <w:tc>
          <w:tcPr>
            <w:tcW w:w="0" w:type="auto"/>
            <w:noWrap/>
            <w:hideMark/>
          </w:tcPr>
          <w:p w14:paraId="6DCF516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140</w:t>
            </w:r>
          </w:p>
        </w:tc>
        <w:tc>
          <w:tcPr>
            <w:tcW w:w="0" w:type="auto"/>
            <w:noWrap/>
            <w:hideMark/>
          </w:tcPr>
          <w:p w14:paraId="4573FA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-20.5%</w:t>
            </w:r>
          </w:p>
        </w:tc>
        <w:tc>
          <w:tcPr>
            <w:tcW w:w="0" w:type="auto"/>
            <w:noWrap/>
            <w:hideMark/>
          </w:tcPr>
          <w:p w14:paraId="0D6563B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w:t>
            </w:r>
          </w:p>
        </w:tc>
        <w:tc>
          <w:tcPr>
            <w:tcW w:w="0" w:type="auto"/>
            <w:noWrap/>
            <w:hideMark/>
          </w:tcPr>
          <w:p w14:paraId="05B04B2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14.8</w:t>
            </w:r>
          </w:p>
        </w:tc>
        <w:tc>
          <w:tcPr>
            <w:tcW w:w="0" w:type="auto"/>
            <w:noWrap/>
            <w:hideMark/>
          </w:tcPr>
          <w:p w14:paraId="573F52C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6.8</w:t>
            </w:r>
          </w:p>
        </w:tc>
        <w:tc>
          <w:tcPr>
            <w:tcW w:w="0" w:type="auto"/>
            <w:noWrap/>
            <w:hideMark/>
          </w:tcPr>
          <w:p w14:paraId="3356BC8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10.6</w:t>
            </w:r>
          </w:p>
        </w:tc>
        <w:tc>
          <w:tcPr>
            <w:tcW w:w="0" w:type="auto"/>
            <w:noWrap/>
            <w:hideMark/>
          </w:tcPr>
          <w:p w14:paraId="218BA85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4.9</w:t>
            </w:r>
          </w:p>
        </w:tc>
        <w:tc>
          <w:tcPr>
            <w:tcW w:w="0" w:type="auto"/>
            <w:noWrap/>
            <w:hideMark/>
          </w:tcPr>
          <w:p w14:paraId="05C6D467"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10,351</w:t>
            </w:r>
          </w:p>
        </w:tc>
        <w:tc>
          <w:tcPr>
            <w:tcW w:w="0" w:type="auto"/>
            <w:noWrap/>
            <w:hideMark/>
          </w:tcPr>
          <w:p w14:paraId="37CF1403"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15,648</w:t>
            </w:r>
          </w:p>
        </w:tc>
        <w:tc>
          <w:tcPr>
            <w:tcW w:w="0" w:type="auto"/>
            <w:noWrap/>
            <w:hideMark/>
          </w:tcPr>
          <w:p w14:paraId="1E3F917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51.2%</w:t>
            </w:r>
          </w:p>
        </w:tc>
        <w:tc>
          <w:tcPr>
            <w:tcW w:w="0" w:type="auto"/>
            <w:noWrap/>
            <w:hideMark/>
          </w:tcPr>
          <w:p w14:paraId="07BBEB3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22.3</w:t>
            </w:r>
          </w:p>
        </w:tc>
        <w:tc>
          <w:tcPr>
            <w:tcW w:w="0" w:type="auto"/>
            <w:noWrap/>
            <w:hideMark/>
          </w:tcPr>
          <w:p w14:paraId="4F3BF2F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15.9%</w:t>
            </w:r>
          </w:p>
        </w:tc>
      </w:tr>
      <w:tr w:rsidR="003B6049" w:rsidRPr="00472DAF" w14:paraId="0B28882D"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8AF4695" w14:textId="77777777" w:rsidR="00494E93" w:rsidRPr="00472DAF" w:rsidRDefault="00494E93" w:rsidP="00472DAF">
            <w:pPr>
              <w:rPr>
                <w:rFonts w:ascii="Calibri" w:hAnsi="Calibri"/>
                <w:color w:val="000000"/>
                <w:szCs w:val="22"/>
              </w:rPr>
            </w:pPr>
            <w:r w:rsidRPr="00472DAF">
              <w:rPr>
                <w:rFonts w:ascii="Calibri" w:hAnsi="Calibri"/>
                <w:color w:val="000000"/>
                <w:szCs w:val="22"/>
              </w:rPr>
              <w:t>0635</w:t>
            </w:r>
          </w:p>
        </w:tc>
        <w:tc>
          <w:tcPr>
            <w:tcW w:w="0" w:type="auto"/>
            <w:shd w:val="clear" w:color="auto" w:fill="D9D9D9" w:themeFill="background1" w:themeFillShade="D9"/>
            <w:noWrap/>
            <w:hideMark/>
          </w:tcPr>
          <w:p w14:paraId="7733BDAF"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Central Berkshire</w:t>
            </w:r>
          </w:p>
        </w:tc>
        <w:tc>
          <w:tcPr>
            <w:tcW w:w="0" w:type="auto"/>
            <w:shd w:val="clear" w:color="auto" w:fill="D9D9D9" w:themeFill="background1" w:themeFillShade="D9"/>
            <w:noWrap/>
            <w:hideMark/>
          </w:tcPr>
          <w:p w14:paraId="1700D0A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shd w:val="clear" w:color="auto" w:fill="D9D9D9" w:themeFill="background1" w:themeFillShade="D9"/>
            <w:noWrap/>
            <w:hideMark/>
          </w:tcPr>
          <w:p w14:paraId="15511D5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w:t>
            </w:r>
          </w:p>
        </w:tc>
        <w:tc>
          <w:tcPr>
            <w:tcW w:w="0" w:type="auto"/>
            <w:shd w:val="clear" w:color="auto" w:fill="D9D9D9" w:themeFill="background1" w:themeFillShade="D9"/>
            <w:noWrap/>
            <w:hideMark/>
          </w:tcPr>
          <w:p w14:paraId="63DF4C7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210.36</w:t>
            </w:r>
          </w:p>
        </w:tc>
        <w:tc>
          <w:tcPr>
            <w:tcW w:w="0" w:type="auto"/>
            <w:shd w:val="clear" w:color="auto" w:fill="D9D9D9" w:themeFill="background1" w:themeFillShade="D9"/>
            <w:noWrap/>
            <w:hideMark/>
          </w:tcPr>
          <w:p w14:paraId="0884BA5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2,104</w:t>
            </w:r>
          </w:p>
        </w:tc>
        <w:tc>
          <w:tcPr>
            <w:tcW w:w="0" w:type="auto"/>
            <w:shd w:val="clear" w:color="auto" w:fill="D9D9D9" w:themeFill="background1" w:themeFillShade="D9"/>
            <w:noWrap/>
            <w:hideMark/>
          </w:tcPr>
          <w:p w14:paraId="66EC3D1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1,620</w:t>
            </w:r>
          </w:p>
        </w:tc>
        <w:tc>
          <w:tcPr>
            <w:tcW w:w="0" w:type="auto"/>
            <w:shd w:val="clear" w:color="auto" w:fill="D9D9D9" w:themeFill="background1" w:themeFillShade="D9"/>
            <w:noWrap/>
            <w:hideMark/>
          </w:tcPr>
          <w:p w14:paraId="0FEFA34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-23.0%</w:t>
            </w:r>
          </w:p>
        </w:tc>
        <w:tc>
          <w:tcPr>
            <w:tcW w:w="0" w:type="auto"/>
            <w:shd w:val="clear" w:color="auto" w:fill="D9D9D9" w:themeFill="background1" w:themeFillShade="D9"/>
            <w:noWrap/>
            <w:hideMark/>
          </w:tcPr>
          <w:p w14:paraId="77567B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7.7</w:t>
            </w:r>
          </w:p>
        </w:tc>
        <w:tc>
          <w:tcPr>
            <w:tcW w:w="0" w:type="auto"/>
            <w:shd w:val="clear" w:color="auto" w:fill="D9D9D9" w:themeFill="background1" w:themeFillShade="D9"/>
            <w:noWrap/>
            <w:hideMark/>
          </w:tcPr>
          <w:p w14:paraId="4BC1797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128.4</w:t>
            </w:r>
          </w:p>
        </w:tc>
        <w:tc>
          <w:tcPr>
            <w:tcW w:w="0" w:type="auto"/>
            <w:shd w:val="clear" w:color="auto" w:fill="D9D9D9" w:themeFill="background1" w:themeFillShade="D9"/>
            <w:noWrap/>
            <w:hideMark/>
          </w:tcPr>
          <w:p w14:paraId="585EBD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61.5</w:t>
            </w:r>
          </w:p>
        </w:tc>
        <w:tc>
          <w:tcPr>
            <w:tcW w:w="0" w:type="auto"/>
            <w:shd w:val="clear" w:color="auto" w:fill="D9D9D9" w:themeFill="background1" w:themeFillShade="D9"/>
            <w:noWrap/>
            <w:hideMark/>
          </w:tcPr>
          <w:p w14:paraId="4598B27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c>
          <w:tcPr>
            <w:tcW w:w="0" w:type="auto"/>
            <w:shd w:val="clear" w:color="auto" w:fill="D9D9D9" w:themeFill="background1" w:themeFillShade="D9"/>
            <w:noWrap/>
            <w:hideMark/>
          </w:tcPr>
          <w:p w14:paraId="0E03465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3.8</w:t>
            </w:r>
          </w:p>
        </w:tc>
        <w:tc>
          <w:tcPr>
            <w:tcW w:w="0" w:type="auto"/>
            <w:shd w:val="clear" w:color="auto" w:fill="D9D9D9" w:themeFill="background1" w:themeFillShade="D9"/>
            <w:noWrap/>
            <w:hideMark/>
          </w:tcPr>
          <w:p w14:paraId="2EAE398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11,449</w:t>
            </w:r>
          </w:p>
        </w:tc>
        <w:tc>
          <w:tcPr>
            <w:tcW w:w="0" w:type="auto"/>
            <w:shd w:val="clear" w:color="auto" w:fill="D9D9D9" w:themeFill="background1" w:themeFillShade="D9"/>
            <w:noWrap/>
            <w:hideMark/>
          </w:tcPr>
          <w:p w14:paraId="6CE25D57"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16,363</w:t>
            </w:r>
          </w:p>
        </w:tc>
        <w:tc>
          <w:tcPr>
            <w:tcW w:w="0" w:type="auto"/>
            <w:shd w:val="clear" w:color="auto" w:fill="D9D9D9" w:themeFill="background1" w:themeFillShade="D9"/>
            <w:noWrap/>
            <w:hideMark/>
          </w:tcPr>
          <w:p w14:paraId="4323B6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42.9%</w:t>
            </w:r>
          </w:p>
        </w:tc>
        <w:tc>
          <w:tcPr>
            <w:tcW w:w="0" w:type="auto"/>
            <w:shd w:val="clear" w:color="auto" w:fill="D9D9D9" w:themeFill="background1" w:themeFillShade="D9"/>
            <w:noWrap/>
            <w:hideMark/>
          </w:tcPr>
          <w:p w14:paraId="4C13F24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167.8</w:t>
            </w:r>
          </w:p>
        </w:tc>
        <w:tc>
          <w:tcPr>
            <w:tcW w:w="0" w:type="auto"/>
            <w:shd w:val="clear" w:color="auto" w:fill="D9D9D9" w:themeFill="background1" w:themeFillShade="D9"/>
            <w:noWrap/>
            <w:hideMark/>
          </w:tcPr>
          <w:p w14:paraId="34430BC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w:t>
            </w:r>
          </w:p>
        </w:tc>
      </w:tr>
      <w:tr w:rsidR="00494E93" w:rsidRPr="00472DAF" w14:paraId="6F713D2F"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2CFCCB83" w14:textId="77777777" w:rsidR="00494E93" w:rsidRPr="00472DAF" w:rsidRDefault="00494E93" w:rsidP="00472DAF">
            <w:pPr>
              <w:rPr>
                <w:rFonts w:ascii="Calibri" w:hAnsi="Calibri"/>
                <w:color w:val="000000"/>
                <w:szCs w:val="22"/>
              </w:rPr>
            </w:pPr>
            <w:r w:rsidRPr="00472DAF">
              <w:rPr>
                <w:rFonts w:ascii="Calibri" w:hAnsi="Calibri"/>
                <w:color w:val="000000"/>
                <w:szCs w:val="22"/>
              </w:rPr>
              <w:t>0660</w:t>
            </w:r>
          </w:p>
        </w:tc>
        <w:tc>
          <w:tcPr>
            <w:tcW w:w="0" w:type="auto"/>
            <w:noWrap/>
            <w:hideMark/>
          </w:tcPr>
          <w:p w14:paraId="79183E06"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Nauset</w:t>
            </w:r>
          </w:p>
        </w:tc>
        <w:tc>
          <w:tcPr>
            <w:tcW w:w="0" w:type="auto"/>
            <w:noWrap/>
            <w:hideMark/>
          </w:tcPr>
          <w:p w14:paraId="3210596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noWrap/>
            <w:hideMark/>
          </w:tcPr>
          <w:p w14:paraId="38437E2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noWrap/>
            <w:hideMark/>
          </w:tcPr>
          <w:p w14:paraId="104B193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70.76</w:t>
            </w:r>
          </w:p>
        </w:tc>
        <w:tc>
          <w:tcPr>
            <w:tcW w:w="0" w:type="auto"/>
            <w:noWrap/>
            <w:hideMark/>
          </w:tcPr>
          <w:p w14:paraId="2C1379F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1,528</w:t>
            </w:r>
          </w:p>
        </w:tc>
        <w:tc>
          <w:tcPr>
            <w:tcW w:w="0" w:type="auto"/>
            <w:noWrap/>
            <w:hideMark/>
          </w:tcPr>
          <w:p w14:paraId="023C00C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1,464</w:t>
            </w:r>
          </w:p>
        </w:tc>
        <w:tc>
          <w:tcPr>
            <w:tcW w:w="0" w:type="auto"/>
            <w:noWrap/>
            <w:hideMark/>
          </w:tcPr>
          <w:p w14:paraId="52F5D32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w:t>
            </w:r>
          </w:p>
        </w:tc>
        <w:tc>
          <w:tcPr>
            <w:tcW w:w="0" w:type="auto"/>
            <w:noWrap/>
            <w:hideMark/>
          </w:tcPr>
          <w:p w14:paraId="3BB1DC8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16.7</w:t>
            </w:r>
          </w:p>
        </w:tc>
        <w:tc>
          <w:tcPr>
            <w:tcW w:w="0" w:type="auto"/>
            <w:noWrap/>
            <w:hideMark/>
          </w:tcPr>
          <w:p w14:paraId="3167013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137.3</w:t>
            </w:r>
          </w:p>
        </w:tc>
        <w:tc>
          <w:tcPr>
            <w:tcW w:w="0" w:type="auto"/>
            <w:noWrap/>
            <w:hideMark/>
          </w:tcPr>
          <w:p w14:paraId="57A6555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42.5</w:t>
            </w:r>
          </w:p>
        </w:tc>
        <w:tc>
          <w:tcPr>
            <w:tcW w:w="0" w:type="auto"/>
            <w:noWrap/>
            <w:hideMark/>
          </w:tcPr>
          <w:p w14:paraId="2325244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9.4</w:t>
            </w:r>
          </w:p>
        </w:tc>
        <w:tc>
          <w:tcPr>
            <w:tcW w:w="0" w:type="auto"/>
            <w:noWrap/>
            <w:hideMark/>
          </w:tcPr>
          <w:p w14:paraId="62ED95A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w:t>
            </w:r>
          </w:p>
        </w:tc>
        <w:tc>
          <w:tcPr>
            <w:tcW w:w="0" w:type="auto"/>
            <w:noWrap/>
            <w:hideMark/>
          </w:tcPr>
          <w:p w14:paraId="4F93FE8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14,543</w:t>
            </w:r>
          </w:p>
        </w:tc>
        <w:tc>
          <w:tcPr>
            <w:tcW w:w="0" w:type="auto"/>
            <w:noWrap/>
            <w:hideMark/>
          </w:tcPr>
          <w:p w14:paraId="7B98D529"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18,753</w:t>
            </w:r>
          </w:p>
        </w:tc>
        <w:tc>
          <w:tcPr>
            <w:tcW w:w="0" w:type="auto"/>
            <w:noWrap/>
            <w:hideMark/>
          </w:tcPr>
          <w:p w14:paraId="31368EB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29.0%</w:t>
            </w:r>
          </w:p>
        </w:tc>
        <w:tc>
          <w:tcPr>
            <w:tcW w:w="0" w:type="auto"/>
            <w:noWrap/>
            <w:hideMark/>
          </w:tcPr>
          <w:p w14:paraId="150DD00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300.2</w:t>
            </w:r>
          </w:p>
        </w:tc>
        <w:tc>
          <w:tcPr>
            <w:tcW w:w="0" w:type="auto"/>
            <w:noWrap/>
            <w:hideMark/>
          </w:tcPr>
          <w:p w14:paraId="4DF29CA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20.5%</w:t>
            </w:r>
          </w:p>
        </w:tc>
      </w:tr>
      <w:tr w:rsidR="003B6049" w:rsidRPr="00472DAF" w14:paraId="1277D60F"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664537F2" w14:textId="77777777" w:rsidR="00494E93" w:rsidRPr="00472DAF" w:rsidRDefault="00494E93" w:rsidP="00472DAF">
            <w:pPr>
              <w:rPr>
                <w:rFonts w:ascii="Calibri" w:hAnsi="Calibri"/>
                <w:color w:val="000000"/>
                <w:szCs w:val="22"/>
              </w:rPr>
            </w:pPr>
            <w:r w:rsidRPr="00472DAF">
              <w:rPr>
                <w:rFonts w:ascii="Calibri" w:hAnsi="Calibri"/>
                <w:color w:val="000000"/>
                <w:szCs w:val="22"/>
              </w:rPr>
              <w:t>0662</w:t>
            </w:r>
          </w:p>
        </w:tc>
        <w:tc>
          <w:tcPr>
            <w:tcW w:w="0" w:type="auto"/>
            <w:shd w:val="clear" w:color="auto" w:fill="D9D9D9" w:themeFill="background1" w:themeFillShade="D9"/>
            <w:noWrap/>
            <w:hideMark/>
          </w:tcPr>
          <w:p w14:paraId="08803322"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Farmington Rive</w:t>
            </w:r>
            <w:r w:rsidR="00701B66">
              <w:rPr>
                <w:rFonts w:ascii="Calibri" w:hAnsi="Calibri"/>
                <w:color w:val="000000"/>
                <w:szCs w:val="22"/>
              </w:rPr>
              <w:t>r</w:t>
            </w:r>
          </w:p>
        </w:tc>
        <w:tc>
          <w:tcPr>
            <w:tcW w:w="0" w:type="auto"/>
            <w:shd w:val="clear" w:color="auto" w:fill="D9D9D9" w:themeFill="background1" w:themeFillShade="D9"/>
            <w:noWrap/>
            <w:hideMark/>
          </w:tcPr>
          <w:p w14:paraId="393648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727F12E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1005C6B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87.35</w:t>
            </w:r>
          </w:p>
        </w:tc>
        <w:tc>
          <w:tcPr>
            <w:tcW w:w="0" w:type="auto"/>
            <w:shd w:val="clear" w:color="auto" w:fill="D9D9D9" w:themeFill="background1" w:themeFillShade="D9"/>
            <w:noWrap/>
            <w:hideMark/>
          </w:tcPr>
          <w:p w14:paraId="48A64D2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144</w:t>
            </w:r>
          </w:p>
        </w:tc>
        <w:tc>
          <w:tcPr>
            <w:tcW w:w="0" w:type="auto"/>
            <w:shd w:val="clear" w:color="auto" w:fill="D9D9D9" w:themeFill="background1" w:themeFillShade="D9"/>
            <w:noWrap/>
            <w:hideMark/>
          </w:tcPr>
          <w:p w14:paraId="2EEA9AC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114</w:t>
            </w:r>
          </w:p>
        </w:tc>
        <w:tc>
          <w:tcPr>
            <w:tcW w:w="0" w:type="auto"/>
            <w:shd w:val="clear" w:color="auto" w:fill="D9D9D9" w:themeFill="background1" w:themeFillShade="D9"/>
            <w:noWrap/>
            <w:hideMark/>
          </w:tcPr>
          <w:p w14:paraId="793F797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-20.8%</w:t>
            </w:r>
          </w:p>
        </w:tc>
        <w:tc>
          <w:tcPr>
            <w:tcW w:w="0" w:type="auto"/>
            <w:shd w:val="clear" w:color="auto" w:fill="D9D9D9" w:themeFill="background1" w:themeFillShade="D9"/>
            <w:noWrap/>
            <w:hideMark/>
          </w:tcPr>
          <w:p w14:paraId="1323892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w:t>
            </w:r>
          </w:p>
        </w:tc>
        <w:tc>
          <w:tcPr>
            <w:tcW w:w="0" w:type="auto"/>
            <w:shd w:val="clear" w:color="auto" w:fill="D9D9D9" w:themeFill="background1" w:themeFillShade="D9"/>
            <w:noWrap/>
            <w:hideMark/>
          </w:tcPr>
          <w:p w14:paraId="555226A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12.5</w:t>
            </w:r>
          </w:p>
        </w:tc>
        <w:tc>
          <w:tcPr>
            <w:tcW w:w="0" w:type="auto"/>
            <w:shd w:val="clear" w:color="auto" w:fill="D9D9D9" w:themeFill="background1" w:themeFillShade="D9"/>
            <w:noWrap/>
            <w:hideMark/>
          </w:tcPr>
          <w:p w14:paraId="4BA12A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shd w:val="clear" w:color="auto" w:fill="D9D9D9" w:themeFill="background1" w:themeFillShade="D9"/>
            <w:noWrap/>
            <w:hideMark/>
          </w:tcPr>
          <w:p w14:paraId="00DF072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w:t>
            </w:r>
          </w:p>
        </w:tc>
        <w:tc>
          <w:tcPr>
            <w:tcW w:w="0" w:type="auto"/>
            <w:shd w:val="clear" w:color="auto" w:fill="D9D9D9" w:themeFill="background1" w:themeFillShade="D9"/>
            <w:noWrap/>
            <w:hideMark/>
          </w:tcPr>
          <w:p w14:paraId="072279E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c>
          <w:tcPr>
            <w:tcW w:w="0" w:type="auto"/>
            <w:shd w:val="clear" w:color="auto" w:fill="D9D9D9" w:themeFill="background1" w:themeFillShade="D9"/>
            <w:noWrap/>
            <w:hideMark/>
          </w:tcPr>
          <w:p w14:paraId="50AC3E4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23,070</w:t>
            </w:r>
          </w:p>
        </w:tc>
        <w:tc>
          <w:tcPr>
            <w:tcW w:w="0" w:type="auto"/>
            <w:shd w:val="clear" w:color="auto" w:fill="D9D9D9" w:themeFill="background1" w:themeFillShade="D9"/>
            <w:noWrap/>
            <w:hideMark/>
          </w:tcPr>
          <w:p w14:paraId="7ADD420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30,389</w:t>
            </w:r>
          </w:p>
        </w:tc>
        <w:tc>
          <w:tcPr>
            <w:tcW w:w="0" w:type="auto"/>
            <w:shd w:val="clear" w:color="auto" w:fill="D9D9D9" w:themeFill="background1" w:themeFillShade="D9"/>
            <w:noWrap/>
            <w:hideMark/>
          </w:tcPr>
          <w:p w14:paraId="153BED9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31.7%</w:t>
            </w:r>
          </w:p>
        </w:tc>
        <w:tc>
          <w:tcPr>
            <w:tcW w:w="0" w:type="auto"/>
            <w:shd w:val="clear" w:color="auto" w:fill="D9D9D9" w:themeFill="background1" w:themeFillShade="D9"/>
            <w:noWrap/>
            <w:hideMark/>
          </w:tcPr>
          <w:p w14:paraId="3716F09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17.0</w:t>
            </w:r>
          </w:p>
        </w:tc>
        <w:tc>
          <w:tcPr>
            <w:tcW w:w="0" w:type="auto"/>
            <w:shd w:val="clear" w:color="auto" w:fill="D9D9D9" w:themeFill="background1" w:themeFillShade="D9"/>
            <w:noWrap/>
            <w:hideMark/>
          </w:tcPr>
          <w:p w14:paraId="061944F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14.9%</w:t>
            </w:r>
          </w:p>
        </w:tc>
      </w:tr>
      <w:tr w:rsidR="00494E93" w:rsidRPr="00472DAF" w14:paraId="1AF8326F"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A5BA982" w14:textId="77777777" w:rsidR="00494E93" w:rsidRPr="00472DAF" w:rsidRDefault="00494E93" w:rsidP="00472DAF">
            <w:pPr>
              <w:rPr>
                <w:rFonts w:ascii="Calibri" w:hAnsi="Calibri"/>
                <w:color w:val="000000"/>
                <w:szCs w:val="22"/>
              </w:rPr>
            </w:pPr>
            <w:r w:rsidRPr="00472DAF">
              <w:rPr>
                <w:rFonts w:ascii="Calibri" w:hAnsi="Calibri"/>
                <w:color w:val="000000"/>
                <w:szCs w:val="22"/>
              </w:rPr>
              <w:t>0670</w:t>
            </w:r>
          </w:p>
        </w:tc>
        <w:tc>
          <w:tcPr>
            <w:tcW w:w="0" w:type="auto"/>
            <w:noWrap/>
            <w:hideMark/>
          </w:tcPr>
          <w:p w14:paraId="4982B293"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Frontier</w:t>
            </w:r>
          </w:p>
        </w:tc>
        <w:tc>
          <w:tcPr>
            <w:tcW w:w="0" w:type="auto"/>
            <w:noWrap/>
            <w:hideMark/>
          </w:tcPr>
          <w:p w14:paraId="36097C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2504D42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noWrap/>
            <w:hideMark/>
          </w:tcPr>
          <w:p w14:paraId="454BD1A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104.44</w:t>
            </w:r>
          </w:p>
        </w:tc>
        <w:tc>
          <w:tcPr>
            <w:tcW w:w="0" w:type="auto"/>
            <w:noWrap/>
            <w:hideMark/>
          </w:tcPr>
          <w:p w14:paraId="08B6ECA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716</w:t>
            </w:r>
          </w:p>
        </w:tc>
        <w:tc>
          <w:tcPr>
            <w:tcW w:w="0" w:type="auto"/>
            <w:noWrap/>
            <w:hideMark/>
          </w:tcPr>
          <w:p w14:paraId="6CA2901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611</w:t>
            </w:r>
          </w:p>
        </w:tc>
        <w:tc>
          <w:tcPr>
            <w:tcW w:w="0" w:type="auto"/>
            <w:noWrap/>
            <w:hideMark/>
          </w:tcPr>
          <w:p w14:paraId="337EF47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-14.7%</w:t>
            </w:r>
          </w:p>
        </w:tc>
        <w:tc>
          <w:tcPr>
            <w:tcW w:w="0" w:type="auto"/>
            <w:noWrap/>
            <w:hideMark/>
          </w:tcPr>
          <w:p w14:paraId="287523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5.3</w:t>
            </w:r>
          </w:p>
        </w:tc>
        <w:tc>
          <w:tcPr>
            <w:tcW w:w="0" w:type="auto"/>
            <w:noWrap/>
            <w:hideMark/>
          </w:tcPr>
          <w:p w14:paraId="30E23D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51.9</w:t>
            </w:r>
          </w:p>
        </w:tc>
        <w:tc>
          <w:tcPr>
            <w:tcW w:w="0" w:type="auto"/>
            <w:noWrap/>
            <w:hideMark/>
          </w:tcPr>
          <w:p w14:paraId="7252D15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26.0</w:t>
            </w:r>
          </w:p>
        </w:tc>
        <w:tc>
          <w:tcPr>
            <w:tcW w:w="0" w:type="auto"/>
            <w:noWrap/>
            <w:hideMark/>
          </w:tcPr>
          <w:p w14:paraId="6E354A6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8.5</w:t>
            </w:r>
          </w:p>
        </w:tc>
        <w:tc>
          <w:tcPr>
            <w:tcW w:w="0" w:type="auto"/>
            <w:noWrap/>
            <w:hideMark/>
          </w:tcPr>
          <w:p w14:paraId="0D73FE9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4.3</w:t>
            </w:r>
          </w:p>
        </w:tc>
        <w:tc>
          <w:tcPr>
            <w:tcW w:w="0" w:type="auto"/>
            <w:noWrap/>
            <w:hideMark/>
          </w:tcPr>
          <w:p w14:paraId="35FB21C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13,380</w:t>
            </w:r>
          </w:p>
        </w:tc>
        <w:tc>
          <w:tcPr>
            <w:tcW w:w="0" w:type="auto"/>
            <w:noWrap/>
            <w:hideMark/>
          </w:tcPr>
          <w:p w14:paraId="7E4C96B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17,045</w:t>
            </w:r>
          </w:p>
        </w:tc>
        <w:tc>
          <w:tcPr>
            <w:tcW w:w="0" w:type="auto"/>
            <w:noWrap/>
            <w:hideMark/>
          </w:tcPr>
          <w:p w14:paraId="5B3F54E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27.4%</w:t>
            </w:r>
          </w:p>
        </w:tc>
        <w:tc>
          <w:tcPr>
            <w:tcW w:w="0" w:type="auto"/>
            <w:noWrap/>
            <w:hideMark/>
          </w:tcPr>
          <w:p w14:paraId="27AA15F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149.7</w:t>
            </w:r>
          </w:p>
        </w:tc>
        <w:tc>
          <w:tcPr>
            <w:tcW w:w="0" w:type="auto"/>
            <w:noWrap/>
            <w:hideMark/>
          </w:tcPr>
          <w:p w14:paraId="43186C1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24.5%</w:t>
            </w:r>
          </w:p>
        </w:tc>
      </w:tr>
      <w:tr w:rsidR="003B6049" w:rsidRPr="00472DAF" w14:paraId="3ABB74A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3EB39202" w14:textId="77777777" w:rsidR="00494E93" w:rsidRPr="00472DAF" w:rsidRDefault="00494E93" w:rsidP="00472DAF">
            <w:pPr>
              <w:rPr>
                <w:rFonts w:ascii="Calibri" w:hAnsi="Calibri"/>
                <w:color w:val="000000"/>
                <w:szCs w:val="22"/>
              </w:rPr>
            </w:pPr>
            <w:r w:rsidRPr="00472DAF">
              <w:rPr>
                <w:rFonts w:ascii="Calibri" w:hAnsi="Calibri"/>
                <w:color w:val="000000"/>
                <w:szCs w:val="22"/>
              </w:rPr>
              <w:t>0672</w:t>
            </w:r>
          </w:p>
        </w:tc>
        <w:tc>
          <w:tcPr>
            <w:tcW w:w="0" w:type="auto"/>
            <w:shd w:val="clear" w:color="auto" w:fill="D9D9D9" w:themeFill="background1" w:themeFillShade="D9"/>
            <w:noWrap/>
            <w:hideMark/>
          </w:tcPr>
          <w:p w14:paraId="09F52DB9"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Gateway</w:t>
            </w:r>
          </w:p>
        </w:tc>
        <w:tc>
          <w:tcPr>
            <w:tcW w:w="0" w:type="auto"/>
            <w:shd w:val="clear" w:color="auto" w:fill="D9D9D9" w:themeFill="background1" w:themeFillShade="D9"/>
            <w:noWrap/>
            <w:hideMark/>
          </w:tcPr>
          <w:p w14:paraId="1DE7C14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shd w:val="clear" w:color="auto" w:fill="D9D9D9" w:themeFill="background1" w:themeFillShade="D9"/>
            <w:noWrap/>
            <w:hideMark/>
          </w:tcPr>
          <w:p w14:paraId="5EEE03E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w:t>
            </w:r>
          </w:p>
        </w:tc>
        <w:tc>
          <w:tcPr>
            <w:tcW w:w="0" w:type="auto"/>
            <w:shd w:val="clear" w:color="auto" w:fill="D9D9D9" w:themeFill="background1" w:themeFillShade="D9"/>
            <w:noWrap/>
            <w:hideMark/>
          </w:tcPr>
          <w:p w14:paraId="6C178EB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171.06</w:t>
            </w:r>
          </w:p>
        </w:tc>
        <w:tc>
          <w:tcPr>
            <w:tcW w:w="0" w:type="auto"/>
            <w:shd w:val="clear" w:color="auto" w:fill="D9D9D9" w:themeFill="background1" w:themeFillShade="D9"/>
            <w:noWrap/>
            <w:hideMark/>
          </w:tcPr>
          <w:p w14:paraId="5ECB540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1,286</w:t>
            </w:r>
          </w:p>
        </w:tc>
        <w:tc>
          <w:tcPr>
            <w:tcW w:w="0" w:type="auto"/>
            <w:shd w:val="clear" w:color="auto" w:fill="D9D9D9" w:themeFill="background1" w:themeFillShade="D9"/>
            <w:noWrap/>
            <w:hideMark/>
          </w:tcPr>
          <w:p w14:paraId="396478E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841</w:t>
            </w:r>
          </w:p>
        </w:tc>
        <w:tc>
          <w:tcPr>
            <w:tcW w:w="0" w:type="auto"/>
            <w:shd w:val="clear" w:color="auto" w:fill="D9D9D9" w:themeFill="background1" w:themeFillShade="D9"/>
            <w:noWrap/>
            <w:hideMark/>
          </w:tcPr>
          <w:p w14:paraId="5E7DF0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-34.6%</w:t>
            </w:r>
          </w:p>
        </w:tc>
        <w:tc>
          <w:tcPr>
            <w:tcW w:w="0" w:type="auto"/>
            <w:shd w:val="clear" w:color="auto" w:fill="D9D9D9" w:themeFill="background1" w:themeFillShade="D9"/>
            <w:noWrap/>
            <w:hideMark/>
          </w:tcPr>
          <w:p w14:paraId="207CA71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5.1</w:t>
            </w:r>
          </w:p>
        </w:tc>
        <w:tc>
          <w:tcPr>
            <w:tcW w:w="0" w:type="auto"/>
            <w:shd w:val="clear" w:color="auto" w:fill="D9D9D9" w:themeFill="background1" w:themeFillShade="D9"/>
            <w:noWrap/>
            <w:hideMark/>
          </w:tcPr>
          <w:p w14:paraId="6923DB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77.9</w:t>
            </w:r>
          </w:p>
        </w:tc>
        <w:tc>
          <w:tcPr>
            <w:tcW w:w="0" w:type="auto"/>
            <w:shd w:val="clear" w:color="auto" w:fill="D9D9D9" w:themeFill="background1" w:themeFillShade="D9"/>
            <w:noWrap/>
            <w:hideMark/>
          </w:tcPr>
          <w:p w14:paraId="1FA8A0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32.5</w:t>
            </w:r>
          </w:p>
        </w:tc>
        <w:tc>
          <w:tcPr>
            <w:tcW w:w="0" w:type="auto"/>
            <w:shd w:val="clear" w:color="auto" w:fill="D9D9D9" w:themeFill="background1" w:themeFillShade="D9"/>
            <w:noWrap/>
            <w:hideMark/>
          </w:tcPr>
          <w:p w14:paraId="232CE5F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9.3</w:t>
            </w:r>
          </w:p>
        </w:tc>
        <w:tc>
          <w:tcPr>
            <w:tcW w:w="0" w:type="auto"/>
            <w:shd w:val="clear" w:color="auto" w:fill="D9D9D9" w:themeFill="background1" w:themeFillShade="D9"/>
            <w:noWrap/>
            <w:hideMark/>
          </w:tcPr>
          <w:p w14:paraId="0C7FB96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w:t>
            </w:r>
          </w:p>
        </w:tc>
        <w:tc>
          <w:tcPr>
            <w:tcW w:w="0" w:type="auto"/>
            <w:shd w:val="clear" w:color="auto" w:fill="D9D9D9" w:themeFill="background1" w:themeFillShade="D9"/>
            <w:noWrap/>
            <w:hideMark/>
          </w:tcPr>
          <w:p w14:paraId="1AF8A1D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13,403</w:t>
            </w:r>
          </w:p>
        </w:tc>
        <w:tc>
          <w:tcPr>
            <w:tcW w:w="0" w:type="auto"/>
            <w:shd w:val="clear" w:color="auto" w:fill="D9D9D9" w:themeFill="background1" w:themeFillShade="D9"/>
            <w:noWrap/>
            <w:hideMark/>
          </w:tcPr>
          <w:p w14:paraId="4F65DE3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17,551</w:t>
            </w:r>
          </w:p>
        </w:tc>
        <w:tc>
          <w:tcPr>
            <w:tcW w:w="0" w:type="auto"/>
            <w:shd w:val="clear" w:color="auto" w:fill="D9D9D9" w:themeFill="background1" w:themeFillShade="D9"/>
            <w:noWrap/>
            <w:hideMark/>
          </w:tcPr>
          <w:p w14:paraId="120AE2C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31.0%</w:t>
            </w:r>
          </w:p>
        </w:tc>
        <w:tc>
          <w:tcPr>
            <w:tcW w:w="0" w:type="auto"/>
            <w:shd w:val="clear" w:color="auto" w:fill="D9D9D9" w:themeFill="background1" w:themeFillShade="D9"/>
            <w:noWrap/>
            <w:hideMark/>
          </w:tcPr>
          <w:p w14:paraId="46AA13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48.7</w:t>
            </w:r>
          </w:p>
        </w:tc>
        <w:tc>
          <w:tcPr>
            <w:tcW w:w="0" w:type="auto"/>
            <w:shd w:val="clear" w:color="auto" w:fill="D9D9D9" w:themeFill="background1" w:themeFillShade="D9"/>
            <w:noWrap/>
            <w:hideMark/>
          </w:tcPr>
          <w:p w14:paraId="05AF8CD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w:t>
            </w:r>
          </w:p>
        </w:tc>
      </w:tr>
      <w:tr w:rsidR="00494E93" w:rsidRPr="00472DAF" w14:paraId="3C5950C5"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4477860F" w14:textId="77777777" w:rsidR="00494E93" w:rsidRPr="00472DAF" w:rsidRDefault="00494E93" w:rsidP="00472DAF">
            <w:pPr>
              <w:rPr>
                <w:rFonts w:ascii="Calibri" w:hAnsi="Calibri"/>
                <w:color w:val="000000"/>
                <w:szCs w:val="22"/>
              </w:rPr>
            </w:pPr>
            <w:r w:rsidRPr="00472DAF">
              <w:rPr>
                <w:rFonts w:ascii="Calibri" w:hAnsi="Calibri"/>
                <w:color w:val="000000"/>
                <w:szCs w:val="22"/>
              </w:rPr>
              <w:t>0683</w:t>
            </w:r>
          </w:p>
        </w:tc>
        <w:tc>
          <w:tcPr>
            <w:tcW w:w="0" w:type="auto"/>
            <w:noWrap/>
            <w:hideMark/>
          </w:tcPr>
          <w:p w14:paraId="385EC14B"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Hampshire</w:t>
            </w:r>
          </w:p>
        </w:tc>
        <w:tc>
          <w:tcPr>
            <w:tcW w:w="0" w:type="auto"/>
            <w:noWrap/>
            <w:hideMark/>
          </w:tcPr>
          <w:p w14:paraId="262A3DE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D9590B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2DDDDFD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129.04</w:t>
            </w:r>
          </w:p>
        </w:tc>
        <w:tc>
          <w:tcPr>
            <w:tcW w:w="0" w:type="auto"/>
            <w:noWrap/>
            <w:hideMark/>
          </w:tcPr>
          <w:p w14:paraId="33E07A9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841</w:t>
            </w:r>
          </w:p>
        </w:tc>
        <w:tc>
          <w:tcPr>
            <w:tcW w:w="0" w:type="auto"/>
            <w:noWrap/>
            <w:hideMark/>
          </w:tcPr>
          <w:p w14:paraId="45CBE3F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741</w:t>
            </w:r>
          </w:p>
        </w:tc>
        <w:tc>
          <w:tcPr>
            <w:tcW w:w="0" w:type="auto"/>
            <w:noWrap/>
            <w:hideMark/>
          </w:tcPr>
          <w:p w14:paraId="39F6921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-11.9%</w:t>
            </w:r>
          </w:p>
        </w:tc>
        <w:tc>
          <w:tcPr>
            <w:tcW w:w="0" w:type="auto"/>
            <w:noWrap/>
            <w:hideMark/>
          </w:tcPr>
          <w:p w14:paraId="435052A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w:t>
            </w:r>
          </w:p>
        </w:tc>
        <w:tc>
          <w:tcPr>
            <w:tcW w:w="0" w:type="auto"/>
            <w:noWrap/>
            <w:hideMark/>
          </w:tcPr>
          <w:p w14:paraId="7B7EBA2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71.7</w:t>
            </w:r>
          </w:p>
        </w:tc>
        <w:tc>
          <w:tcPr>
            <w:tcW w:w="0" w:type="auto"/>
            <w:noWrap/>
            <w:hideMark/>
          </w:tcPr>
          <w:p w14:paraId="47B7ADC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noWrap/>
            <w:hideMark/>
          </w:tcPr>
          <w:p w14:paraId="6C9275D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9.7</w:t>
            </w:r>
          </w:p>
        </w:tc>
        <w:tc>
          <w:tcPr>
            <w:tcW w:w="0" w:type="auto"/>
            <w:noWrap/>
            <w:hideMark/>
          </w:tcPr>
          <w:p w14:paraId="49BFD5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2.0</w:t>
            </w:r>
          </w:p>
        </w:tc>
        <w:tc>
          <w:tcPr>
            <w:tcW w:w="0" w:type="auto"/>
            <w:noWrap/>
            <w:hideMark/>
          </w:tcPr>
          <w:p w14:paraId="5F6ACD06"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12,483</w:t>
            </w:r>
          </w:p>
        </w:tc>
        <w:tc>
          <w:tcPr>
            <w:tcW w:w="0" w:type="auto"/>
            <w:noWrap/>
            <w:hideMark/>
          </w:tcPr>
          <w:p w14:paraId="1F483BA5"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16,761</w:t>
            </w:r>
          </w:p>
        </w:tc>
        <w:tc>
          <w:tcPr>
            <w:tcW w:w="0" w:type="auto"/>
            <w:noWrap/>
            <w:hideMark/>
          </w:tcPr>
          <w:p w14:paraId="3124E1F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34.3%</w:t>
            </w:r>
          </w:p>
        </w:tc>
        <w:tc>
          <w:tcPr>
            <w:tcW w:w="0" w:type="auto"/>
            <w:noWrap/>
            <w:hideMark/>
          </w:tcPr>
          <w:p w14:paraId="6EFD7CF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102.6</w:t>
            </w:r>
          </w:p>
        </w:tc>
        <w:tc>
          <w:tcPr>
            <w:tcW w:w="0" w:type="auto"/>
            <w:noWrap/>
            <w:hideMark/>
          </w:tcPr>
          <w:p w14:paraId="0DB037C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13.8%</w:t>
            </w:r>
          </w:p>
        </w:tc>
      </w:tr>
      <w:tr w:rsidR="003B6049" w:rsidRPr="00472DAF" w14:paraId="126BBD0F"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97C703B" w14:textId="77777777" w:rsidR="00494E93" w:rsidRPr="00472DAF" w:rsidRDefault="00494E93" w:rsidP="00472DAF">
            <w:pPr>
              <w:rPr>
                <w:rFonts w:ascii="Calibri" w:hAnsi="Calibri"/>
                <w:color w:val="000000"/>
                <w:szCs w:val="22"/>
              </w:rPr>
            </w:pPr>
            <w:r w:rsidRPr="00472DAF">
              <w:rPr>
                <w:rFonts w:ascii="Calibri" w:hAnsi="Calibri"/>
                <w:color w:val="000000"/>
                <w:szCs w:val="22"/>
              </w:rPr>
              <w:t>0685</w:t>
            </w:r>
          </w:p>
        </w:tc>
        <w:tc>
          <w:tcPr>
            <w:tcW w:w="0" w:type="auto"/>
            <w:shd w:val="clear" w:color="auto" w:fill="D9D9D9" w:themeFill="background1" w:themeFillShade="D9"/>
            <w:noWrap/>
            <w:hideMark/>
          </w:tcPr>
          <w:p w14:paraId="45EA5908"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Hawlemont</w:t>
            </w:r>
          </w:p>
        </w:tc>
        <w:tc>
          <w:tcPr>
            <w:tcW w:w="0" w:type="auto"/>
            <w:shd w:val="clear" w:color="auto" w:fill="D9D9D9" w:themeFill="background1" w:themeFillShade="D9"/>
            <w:noWrap/>
            <w:hideMark/>
          </w:tcPr>
          <w:p w14:paraId="4A665A5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53A41AD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59A75BA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56.78</w:t>
            </w:r>
          </w:p>
        </w:tc>
        <w:tc>
          <w:tcPr>
            <w:tcW w:w="0" w:type="auto"/>
            <w:shd w:val="clear" w:color="auto" w:fill="D9D9D9" w:themeFill="background1" w:themeFillShade="D9"/>
            <w:noWrap/>
            <w:hideMark/>
          </w:tcPr>
          <w:p w14:paraId="047458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118</w:t>
            </w:r>
          </w:p>
        </w:tc>
        <w:tc>
          <w:tcPr>
            <w:tcW w:w="0" w:type="auto"/>
            <w:shd w:val="clear" w:color="auto" w:fill="D9D9D9" w:themeFill="background1" w:themeFillShade="D9"/>
            <w:noWrap/>
            <w:hideMark/>
          </w:tcPr>
          <w:p w14:paraId="7E6AAB1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105</w:t>
            </w:r>
          </w:p>
        </w:tc>
        <w:tc>
          <w:tcPr>
            <w:tcW w:w="0" w:type="auto"/>
            <w:shd w:val="clear" w:color="auto" w:fill="D9D9D9" w:themeFill="background1" w:themeFillShade="D9"/>
            <w:noWrap/>
            <w:hideMark/>
          </w:tcPr>
          <w:p w14:paraId="5D32D71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w:t>
            </w:r>
          </w:p>
        </w:tc>
        <w:tc>
          <w:tcPr>
            <w:tcW w:w="0" w:type="auto"/>
            <w:shd w:val="clear" w:color="auto" w:fill="D9D9D9" w:themeFill="background1" w:themeFillShade="D9"/>
            <w:noWrap/>
            <w:hideMark/>
          </w:tcPr>
          <w:p w14:paraId="027274B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w:t>
            </w:r>
          </w:p>
        </w:tc>
        <w:tc>
          <w:tcPr>
            <w:tcW w:w="0" w:type="auto"/>
            <w:shd w:val="clear" w:color="auto" w:fill="D9D9D9" w:themeFill="background1" w:themeFillShade="D9"/>
            <w:noWrap/>
            <w:hideMark/>
          </w:tcPr>
          <w:p w14:paraId="7BF3238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w:t>
            </w:r>
          </w:p>
        </w:tc>
        <w:tc>
          <w:tcPr>
            <w:tcW w:w="0" w:type="auto"/>
            <w:shd w:val="clear" w:color="auto" w:fill="D9D9D9" w:themeFill="background1" w:themeFillShade="D9"/>
            <w:noWrap/>
            <w:hideMark/>
          </w:tcPr>
          <w:p w14:paraId="39A7F17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w:t>
            </w:r>
          </w:p>
        </w:tc>
        <w:tc>
          <w:tcPr>
            <w:tcW w:w="0" w:type="auto"/>
            <w:shd w:val="clear" w:color="auto" w:fill="D9D9D9" w:themeFill="background1" w:themeFillShade="D9"/>
            <w:noWrap/>
            <w:hideMark/>
          </w:tcPr>
          <w:p w14:paraId="7AE6CB1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9.9</w:t>
            </w:r>
          </w:p>
        </w:tc>
        <w:tc>
          <w:tcPr>
            <w:tcW w:w="0" w:type="auto"/>
            <w:shd w:val="clear" w:color="auto" w:fill="D9D9D9" w:themeFill="background1" w:themeFillShade="D9"/>
            <w:noWrap/>
            <w:hideMark/>
          </w:tcPr>
          <w:p w14:paraId="0309933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4.4</w:t>
            </w:r>
          </w:p>
        </w:tc>
        <w:tc>
          <w:tcPr>
            <w:tcW w:w="0" w:type="auto"/>
            <w:shd w:val="clear" w:color="auto" w:fill="D9D9D9" w:themeFill="background1" w:themeFillShade="D9"/>
            <w:noWrap/>
            <w:hideMark/>
          </w:tcPr>
          <w:p w14:paraId="21623E0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14,456</w:t>
            </w:r>
          </w:p>
        </w:tc>
        <w:tc>
          <w:tcPr>
            <w:tcW w:w="0" w:type="auto"/>
            <w:shd w:val="clear" w:color="auto" w:fill="D9D9D9" w:themeFill="background1" w:themeFillShade="D9"/>
            <w:noWrap/>
            <w:hideMark/>
          </w:tcPr>
          <w:p w14:paraId="50F2C5EC"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18,327</w:t>
            </w:r>
          </w:p>
        </w:tc>
        <w:tc>
          <w:tcPr>
            <w:tcW w:w="0" w:type="auto"/>
            <w:shd w:val="clear" w:color="auto" w:fill="D9D9D9" w:themeFill="background1" w:themeFillShade="D9"/>
            <w:noWrap/>
            <w:hideMark/>
          </w:tcPr>
          <w:p w14:paraId="0C9FD9B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26.8%</w:t>
            </w:r>
          </w:p>
        </w:tc>
        <w:tc>
          <w:tcPr>
            <w:tcW w:w="0" w:type="auto"/>
            <w:shd w:val="clear" w:color="auto" w:fill="D9D9D9" w:themeFill="background1" w:themeFillShade="D9"/>
            <w:noWrap/>
            <w:hideMark/>
          </w:tcPr>
          <w:p w14:paraId="6B70C37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33.4</w:t>
            </w:r>
          </w:p>
        </w:tc>
        <w:tc>
          <w:tcPr>
            <w:tcW w:w="0" w:type="auto"/>
            <w:shd w:val="clear" w:color="auto" w:fill="D9D9D9" w:themeFill="background1" w:themeFillShade="D9"/>
            <w:noWrap/>
            <w:hideMark/>
          </w:tcPr>
          <w:p w14:paraId="6007484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31.8%</w:t>
            </w:r>
          </w:p>
        </w:tc>
      </w:tr>
      <w:tr w:rsidR="00494E93" w:rsidRPr="00472DAF" w14:paraId="4125229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4A409AF3" w14:textId="77777777" w:rsidR="00494E93" w:rsidRPr="00472DAF" w:rsidRDefault="00494E93" w:rsidP="00472DAF">
            <w:pPr>
              <w:rPr>
                <w:rFonts w:ascii="Calibri" w:hAnsi="Calibri"/>
                <w:color w:val="000000"/>
                <w:szCs w:val="22"/>
              </w:rPr>
            </w:pPr>
            <w:r w:rsidRPr="00472DAF">
              <w:rPr>
                <w:rFonts w:ascii="Calibri" w:hAnsi="Calibri"/>
                <w:color w:val="000000"/>
                <w:szCs w:val="22"/>
              </w:rPr>
              <w:t>0700</w:t>
            </w:r>
          </w:p>
        </w:tc>
        <w:tc>
          <w:tcPr>
            <w:tcW w:w="0" w:type="auto"/>
            <w:noWrap/>
            <w:hideMark/>
          </w:tcPr>
          <w:p w14:paraId="2B854674"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Martha's Vineyard</w:t>
            </w:r>
          </w:p>
        </w:tc>
        <w:tc>
          <w:tcPr>
            <w:tcW w:w="0" w:type="auto"/>
            <w:noWrap/>
            <w:hideMark/>
          </w:tcPr>
          <w:p w14:paraId="32EC926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noWrap/>
            <w:hideMark/>
          </w:tcPr>
          <w:p w14:paraId="38B85C9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w:t>
            </w:r>
          </w:p>
        </w:tc>
        <w:tc>
          <w:tcPr>
            <w:tcW w:w="0" w:type="auto"/>
            <w:noWrap/>
            <w:hideMark/>
          </w:tcPr>
          <w:p w14:paraId="13C5066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90.06</w:t>
            </w:r>
          </w:p>
        </w:tc>
        <w:tc>
          <w:tcPr>
            <w:tcW w:w="0" w:type="auto"/>
            <w:noWrap/>
            <w:hideMark/>
          </w:tcPr>
          <w:p w14:paraId="0892F5A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754</w:t>
            </w:r>
          </w:p>
        </w:tc>
        <w:tc>
          <w:tcPr>
            <w:tcW w:w="0" w:type="auto"/>
            <w:noWrap/>
            <w:hideMark/>
          </w:tcPr>
          <w:p w14:paraId="08E6106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661</w:t>
            </w:r>
          </w:p>
        </w:tc>
        <w:tc>
          <w:tcPr>
            <w:tcW w:w="0" w:type="auto"/>
            <w:noWrap/>
            <w:hideMark/>
          </w:tcPr>
          <w:p w14:paraId="7D0F52D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-12.3%</w:t>
            </w:r>
          </w:p>
        </w:tc>
        <w:tc>
          <w:tcPr>
            <w:tcW w:w="0" w:type="auto"/>
            <w:noWrap/>
            <w:hideMark/>
          </w:tcPr>
          <w:p w14:paraId="4FEA211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7.8</w:t>
            </w:r>
          </w:p>
        </w:tc>
        <w:tc>
          <w:tcPr>
            <w:tcW w:w="0" w:type="auto"/>
            <w:noWrap/>
            <w:hideMark/>
          </w:tcPr>
          <w:p w14:paraId="6404CD5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73.5</w:t>
            </w:r>
          </w:p>
        </w:tc>
        <w:tc>
          <w:tcPr>
            <w:tcW w:w="0" w:type="auto"/>
            <w:noWrap/>
            <w:hideMark/>
          </w:tcPr>
          <w:p w14:paraId="274770B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12.5</w:t>
            </w:r>
          </w:p>
        </w:tc>
        <w:tc>
          <w:tcPr>
            <w:tcW w:w="0" w:type="auto"/>
            <w:noWrap/>
            <w:hideMark/>
          </w:tcPr>
          <w:p w14:paraId="7ABB96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11.1</w:t>
            </w:r>
          </w:p>
        </w:tc>
        <w:tc>
          <w:tcPr>
            <w:tcW w:w="0" w:type="auto"/>
            <w:noWrap/>
            <w:hideMark/>
          </w:tcPr>
          <w:p w14:paraId="09805F4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w:t>
            </w:r>
          </w:p>
        </w:tc>
        <w:tc>
          <w:tcPr>
            <w:tcW w:w="0" w:type="auto"/>
            <w:noWrap/>
            <w:hideMark/>
          </w:tcPr>
          <w:p w14:paraId="1CD3356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20,258</w:t>
            </w:r>
          </w:p>
        </w:tc>
        <w:tc>
          <w:tcPr>
            <w:tcW w:w="0" w:type="auto"/>
            <w:noWrap/>
            <w:hideMark/>
          </w:tcPr>
          <w:p w14:paraId="6DB5774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29,396</w:t>
            </w:r>
          </w:p>
        </w:tc>
        <w:tc>
          <w:tcPr>
            <w:tcW w:w="0" w:type="auto"/>
            <w:noWrap/>
            <w:hideMark/>
          </w:tcPr>
          <w:p w14:paraId="65ACDE9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45.1%</w:t>
            </w:r>
          </w:p>
        </w:tc>
        <w:tc>
          <w:tcPr>
            <w:tcW w:w="0" w:type="auto"/>
            <w:noWrap/>
            <w:hideMark/>
          </w:tcPr>
          <w:p w14:paraId="33E428F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c>
          <w:tcPr>
            <w:tcW w:w="0" w:type="auto"/>
            <w:noWrap/>
            <w:hideMark/>
          </w:tcPr>
          <w:p w14:paraId="5303501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0.0%</w:t>
            </w:r>
          </w:p>
        </w:tc>
      </w:tr>
      <w:tr w:rsidR="003B6049" w:rsidRPr="00472DAF" w14:paraId="15D7085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8AD6561" w14:textId="77777777" w:rsidR="00494E93" w:rsidRPr="00472DAF" w:rsidRDefault="00494E93" w:rsidP="00472DAF">
            <w:pPr>
              <w:rPr>
                <w:rFonts w:ascii="Calibri" w:hAnsi="Calibri"/>
                <w:color w:val="000000"/>
                <w:szCs w:val="22"/>
              </w:rPr>
            </w:pPr>
            <w:r w:rsidRPr="00472DAF">
              <w:rPr>
                <w:rFonts w:ascii="Calibri" w:hAnsi="Calibri"/>
                <w:color w:val="000000"/>
                <w:szCs w:val="22"/>
              </w:rPr>
              <w:t>0715</w:t>
            </w:r>
          </w:p>
        </w:tc>
        <w:tc>
          <w:tcPr>
            <w:tcW w:w="0" w:type="auto"/>
            <w:shd w:val="clear" w:color="auto" w:fill="D9D9D9" w:themeFill="background1" w:themeFillShade="D9"/>
            <w:noWrap/>
            <w:hideMark/>
          </w:tcPr>
          <w:p w14:paraId="3F17289C"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Mount Greylock</w:t>
            </w:r>
          </w:p>
        </w:tc>
        <w:tc>
          <w:tcPr>
            <w:tcW w:w="0" w:type="auto"/>
            <w:shd w:val="clear" w:color="auto" w:fill="D9D9D9" w:themeFill="background1" w:themeFillShade="D9"/>
            <w:noWrap/>
            <w:hideMark/>
          </w:tcPr>
          <w:p w14:paraId="767DB18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4F0F6A9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1D7A17A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75.6</w:t>
            </w:r>
          </w:p>
        </w:tc>
        <w:tc>
          <w:tcPr>
            <w:tcW w:w="0" w:type="auto"/>
            <w:shd w:val="clear" w:color="auto" w:fill="D9D9D9" w:themeFill="background1" w:themeFillShade="D9"/>
            <w:noWrap/>
            <w:hideMark/>
          </w:tcPr>
          <w:p w14:paraId="6FE9220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627</w:t>
            </w:r>
          </w:p>
        </w:tc>
        <w:tc>
          <w:tcPr>
            <w:tcW w:w="0" w:type="auto"/>
            <w:shd w:val="clear" w:color="auto" w:fill="D9D9D9" w:themeFill="background1" w:themeFillShade="D9"/>
            <w:noWrap/>
            <w:hideMark/>
          </w:tcPr>
          <w:p w14:paraId="5DCA41C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562</w:t>
            </w:r>
          </w:p>
        </w:tc>
        <w:tc>
          <w:tcPr>
            <w:tcW w:w="0" w:type="auto"/>
            <w:shd w:val="clear" w:color="auto" w:fill="D9D9D9" w:themeFill="background1" w:themeFillShade="D9"/>
            <w:noWrap/>
            <w:hideMark/>
          </w:tcPr>
          <w:p w14:paraId="334A38C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w:t>
            </w:r>
          </w:p>
        </w:tc>
        <w:tc>
          <w:tcPr>
            <w:tcW w:w="0" w:type="auto"/>
            <w:shd w:val="clear" w:color="auto" w:fill="D9D9D9" w:themeFill="background1" w:themeFillShade="D9"/>
            <w:noWrap/>
            <w:hideMark/>
          </w:tcPr>
          <w:p w14:paraId="4171CB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6.6</w:t>
            </w:r>
          </w:p>
        </w:tc>
        <w:tc>
          <w:tcPr>
            <w:tcW w:w="0" w:type="auto"/>
            <w:shd w:val="clear" w:color="auto" w:fill="D9D9D9" w:themeFill="background1" w:themeFillShade="D9"/>
            <w:noWrap/>
            <w:hideMark/>
          </w:tcPr>
          <w:p w14:paraId="458DE6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44.6</w:t>
            </w:r>
          </w:p>
        </w:tc>
        <w:tc>
          <w:tcPr>
            <w:tcW w:w="0" w:type="auto"/>
            <w:shd w:val="clear" w:color="auto" w:fill="D9D9D9" w:themeFill="background1" w:themeFillShade="D9"/>
            <w:noWrap/>
            <w:hideMark/>
          </w:tcPr>
          <w:p w14:paraId="6FCCED0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18.0</w:t>
            </w:r>
          </w:p>
        </w:tc>
        <w:tc>
          <w:tcPr>
            <w:tcW w:w="0" w:type="auto"/>
            <w:shd w:val="clear" w:color="auto" w:fill="D9D9D9" w:themeFill="background1" w:themeFillShade="D9"/>
            <w:noWrap/>
            <w:hideMark/>
          </w:tcPr>
          <w:p w14:paraId="23AF4B0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c>
          <w:tcPr>
            <w:tcW w:w="0" w:type="auto"/>
            <w:shd w:val="clear" w:color="auto" w:fill="D9D9D9" w:themeFill="background1" w:themeFillShade="D9"/>
            <w:noWrap/>
            <w:hideMark/>
          </w:tcPr>
          <w:p w14:paraId="16DDA7F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w:t>
            </w:r>
          </w:p>
        </w:tc>
        <w:tc>
          <w:tcPr>
            <w:tcW w:w="0" w:type="auto"/>
            <w:shd w:val="clear" w:color="auto" w:fill="D9D9D9" w:themeFill="background1" w:themeFillShade="D9"/>
            <w:noWrap/>
            <w:hideMark/>
          </w:tcPr>
          <w:p w14:paraId="50810AC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15,084</w:t>
            </w:r>
          </w:p>
        </w:tc>
        <w:tc>
          <w:tcPr>
            <w:tcW w:w="0" w:type="auto"/>
            <w:shd w:val="clear" w:color="auto" w:fill="D9D9D9" w:themeFill="background1" w:themeFillShade="D9"/>
            <w:noWrap/>
            <w:hideMark/>
          </w:tcPr>
          <w:p w14:paraId="0186D3D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18,023</w:t>
            </w:r>
          </w:p>
        </w:tc>
        <w:tc>
          <w:tcPr>
            <w:tcW w:w="0" w:type="auto"/>
            <w:shd w:val="clear" w:color="auto" w:fill="D9D9D9" w:themeFill="background1" w:themeFillShade="D9"/>
            <w:noWrap/>
            <w:hideMark/>
          </w:tcPr>
          <w:p w14:paraId="2C7A131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19.5%</w:t>
            </w:r>
          </w:p>
        </w:tc>
        <w:tc>
          <w:tcPr>
            <w:tcW w:w="0" w:type="auto"/>
            <w:shd w:val="clear" w:color="auto" w:fill="D9D9D9" w:themeFill="background1" w:themeFillShade="D9"/>
            <w:noWrap/>
            <w:hideMark/>
          </w:tcPr>
          <w:p w14:paraId="623AF20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60.1</w:t>
            </w:r>
          </w:p>
        </w:tc>
        <w:tc>
          <w:tcPr>
            <w:tcW w:w="0" w:type="auto"/>
            <w:shd w:val="clear" w:color="auto" w:fill="D9D9D9" w:themeFill="background1" w:themeFillShade="D9"/>
            <w:noWrap/>
            <w:hideMark/>
          </w:tcPr>
          <w:p w14:paraId="0A6312D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10.7%</w:t>
            </w:r>
          </w:p>
        </w:tc>
      </w:tr>
      <w:tr w:rsidR="00494E93" w:rsidRPr="00472DAF" w14:paraId="2A07A4ED"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7568C973" w14:textId="77777777" w:rsidR="00494E93" w:rsidRPr="00472DAF" w:rsidRDefault="00494E93" w:rsidP="00472DAF">
            <w:pPr>
              <w:rPr>
                <w:rFonts w:ascii="Calibri" w:hAnsi="Calibri"/>
                <w:color w:val="000000"/>
                <w:szCs w:val="22"/>
              </w:rPr>
            </w:pPr>
            <w:r w:rsidRPr="00472DAF">
              <w:rPr>
                <w:rFonts w:ascii="Calibri" w:hAnsi="Calibri"/>
                <w:color w:val="000000"/>
                <w:szCs w:val="22"/>
              </w:rPr>
              <w:t>0717</w:t>
            </w:r>
          </w:p>
        </w:tc>
        <w:tc>
          <w:tcPr>
            <w:tcW w:w="0" w:type="auto"/>
            <w:noWrap/>
            <w:hideMark/>
          </w:tcPr>
          <w:p w14:paraId="50052FAC"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Mohawk Trail</w:t>
            </w:r>
          </w:p>
        </w:tc>
        <w:tc>
          <w:tcPr>
            <w:tcW w:w="0" w:type="auto"/>
            <w:noWrap/>
            <w:hideMark/>
          </w:tcPr>
          <w:p w14:paraId="7202ACB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6BA9543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w:t>
            </w:r>
          </w:p>
        </w:tc>
        <w:tc>
          <w:tcPr>
            <w:tcW w:w="0" w:type="auto"/>
            <w:noWrap/>
            <w:hideMark/>
          </w:tcPr>
          <w:p w14:paraId="5A1039D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228.73</w:t>
            </w:r>
          </w:p>
        </w:tc>
        <w:tc>
          <w:tcPr>
            <w:tcW w:w="0" w:type="auto"/>
            <w:noWrap/>
            <w:hideMark/>
          </w:tcPr>
          <w:p w14:paraId="3B86C23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1,153</w:t>
            </w:r>
          </w:p>
        </w:tc>
        <w:tc>
          <w:tcPr>
            <w:tcW w:w="0" w:type="auto"/>
            <w:noWrap/>
            <w:hideMark/>
          </w:tcPr>
          <w:p w14:paraId="3BD4C5A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965</w:t>
            </w:r>
          </w:p>
        </w:tc>
        <w:tc>
          <w:tcPr>
            <w:tcW w:w="0" w:type="auto"/>
            <w:noWrap/>
            <w:hideMark/>
          </w:tcPr>
          <w:p w14:paraId="6CAEF75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-16.3%</w:t>
            </w:r>
          </w:p>
        </w:tc>
        <w:tc>
          <w:tcPr>
            <w:tcW w:w="0" w:type="auto"/>
            <w:noWrap/>
            <w:hideMark/>
          </w:tcPr>
          <w:p w14:paraId="0F54ECB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4.1</w:t>
            </w:r>
          </w:p>
        </w:tc>
        <w:tc>
          <w:tcPr>
            <w:tcW w:w="0" w:type="auto"/>
            <w:noWrap/>
            <w:hideMark/>
          </w:tcPr>
          <w:p w14:paraId="48096C2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71.7</w:t>
            </w:r>
          </w:p>
        </w:tc>
        <w:tc>
          <w:tcPr>
            <w:tcW w:w="0" w:type="auto"/>
            <w:noWrap/>
            <w:hideMark/>
          </w:tcPr>
          <w:p w14:paraId="2C8758A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62.1</w:t>
            </w:r>
          </w:p>
        </w:tc>
        <w:tc>
          <w:tcPr>
            <w:tcW w:w="0" w:type="auto"/>
            <w:noWrap/>
            <w:hideMark/>
          </w:tcPr>
          <w:p w14:paraId="5F5FFC5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7.4</w:t>
            </w:r>
          </w:p>
        </w:tc>
        <w:tc>
          <w:tcPr>
            <w:tcW w:w="0" w:type="auto"/>
            <w:noWrap/>
            <w:hideMark/>
          </w:tcPr>
          <w:p w14:paraId="006180D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6.4</w:t>
            </w:r>
          </w:p>
        </w:tc>
        <w:tc>
          <w:tcPr>
            <w:tcW w:w="0" w:type="auto"/>
            <w:noWrap/>
            <w:hideMark/>
          </w:tcPr>
          <w:p w14:paraId="3799422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15,989</w:t>
            </w:r>
          </w:p>
        </w:tc>
        <w:tc>
          <w:tcPr>
            <w:tcW w:w="0" w:type="auto"/>
            <w:noWrap/>
            <w:hideMark/>
          </w:tcPr>
          <w:p w14:paraId="0D8C926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17,525</w:t>
            </w:r>
          </w:p>
        </w:tc>
        <w:tc>
          <w:tcPr>
            <w:tcW w:w="0" w:type="auto"/>
            <w:noWrap/>
            <w:hideMark/>
          </w:tcPr>
          <w:p w14:paraId="64D9BB1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9.6%</w:t>
            </w:r>
          </w:p>
        </w:tc>
        <w:tc>
          <w:tcPr>
            <w:tcW w:w="0" w:type="auto"/>
            <w:noWrap/>
            <w:hideMark/>
          </w:tcPr>
          <w:p w14:paraId="0FEBE96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95.7</w:t>
            </w:r>
          </w:p>
        </w:tc>
        <w:tc>
          <w:tcPr>
            <w:tcW w:w="0" w:type="auto"/>
            <w:noWrap/>
            <w:hideMark/>
          </w:tcPr>
          <w:p w14:paraId="6865F22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9.9%</w:t>
            </w:r>
          </w:p>
        </w:tc>
      </w:tr>
      <w:tr w:rsidR="003B6049" w:rsidRPr="00472DAF" w14:paraId="26C503D9"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24EDB03" w14:textId="77777777" w:rsidR="00494E93" w:rsidRPr="00472DAF" w:rsidRDefault="00494E93" w:rsidP="00472DAF">
            <w:pPr>
              <w:rPr>
                <w:rFonts w:ascii="Calibri" w:hAnsi="Calibri"/>
                <w:color w:val="000000"/>
                <w:szCs w:val="22"/>
              </w:rPr>
            </w:pPr>
            <w:r w:rsidRPr="00472DAF">
              <w:rPr>
                <w:rFonts w:ascii="Calibri" w:hAnsi="Calibri"/>
                <w:color w:val="000000"/>
                <w:szCs w:val="22"/>
              </w:rPr>
              <w:t>0728</w:t>
            </w:r>
          </w:p>
        </w:tc>
        <w:tc>
          <w:tcPr>
            <w:tcW w:w="0" w:type="auto"/>
            <w:shd w:val="clear" w:color="auto" w:fill="D9D9D9" w:themeFill="background1" w:themeFillShade="D9"/>
            <w:noWrap/>
            <w:hideMark/>
          </w:tcPr>
          <w:p w14:paraId="2634BD6F"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New Salem-Wendell</w:t>
            </w:r>
          </w:p>
        </w:tc>
        <w:tc>
          <w:tcPr>
            <w:tcW w:w="0" w:type="auto"/>
            <w:shd w:val="clear" w:color="auto" w:fill="D9D9D9" w:themeFill="background1" w:themeFillShade="D9"/>
            <w:noWrap/>
            <w:hideMark/>
          </w:tcPr>
          <w:p w14:paraId="50541FC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w:t>
            </w:r>
          </w:p>
        </w:tc>
        <w:tc>
          <w:tcPr>
            <w:tcW w:w="0" w:type="auto"/>
            <w:shd w:val="clear" w:color="auto" w:fill="D9D9D9" w:themeFill="background1" w:themeFillShade="D9"/>
            <w:noWrap/>
            <w:hideMark/>
          </w:tcPr>
          <w:p w14:paraId="4653AE3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13506D0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76.61</w:t>
            </w:r>
          </w:p>
        </w:tc>
        <w:tc>
          <w:tcPr>
            <w:tcW w:w="0" w:type="auto"/>
            <w:shd w:val="clear" w:color="auto" w:fill="D9D9D9" w:themeFill="background1" w:themeFillShade="D9"/>
            <w:noWrap/>
            <w:hideMark/>
          </w:tcPr>
          <w:p w14:paraId="0F7333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147</w:t>
            </w:r>
          </w:p>
        </w:tc>
        <w:tc>
          <w:tcPr>
            <w:tcW w:w="0" w:type="auto"/>
            <w:shd w:val="clear" w:color="auto" w:fill="D9D9D9" w:themeFill="background1" w:themeFillShade="D9"/>
            <w:noWrap/>
            <w:hideMark/>
          </w:tcPr>
          <w:p w14:paraId="518227A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169</w:t>
            </w:r>
          </w:p>
        </w:tc>
        <w:tc>
          <w:tcPr>
            <w:tcW w:w="0" w:type="auto"/>
            <w:shd w:val="clear" w:color="auto" w:fill="D9D9D9" w:themeFill="background1" w:themeFillShade="D9"/>
            <w:noWrap/>
            <w:hideMark/>
          </w:tcPr>
          <w:p w14:paraId="0938A9E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w:t>
            </w:r>
          </w:p>
        </w:tc>
        <w:tc>
          <w:tcPr>
            <w:tcW w:w="0" w:type="auto"/>
            <w:shd w:val="clear" w:color="auto" w:fill="D9D9D9" w:themeFill="background1" w:themeFillShade="D9"/>
            <w:noWrap/>
            <w:hideMark/>
          </w:tcPr>
          <w:p w14:paraId="5DDAFA8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w:t>
            </w:r>
          </w:p>
        </w:tc>
        <w:tc>
          <w:tcPr>
            <w:tcW w:w="0" w:type="auto"/>
            <w:shd w:val="clear" w:color="auto" w:fill="D9D9D9" w:themeFill="background1" w:themeFillShade="D9"/>
            <w:noWrap/>
            <w:hideMark/>
          </w:tcPr>
          <w:p w14:paraId="34C8FCC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11.9</w:t>
            </w:r>
          </w:p>
        </w:tc>
        <w:tc>
          <w:tcPr>
            <w:tcW w:w="0" w:type="auto"/>
            <w:shd w:val="clear" w:color="auto" w:fill="D9D9D9" w:themeFill="background1" w:themeFillShade="D9"/>
            <w:noWrap/>
            <w:hideMark/>
          </w:tcPr>
          <w:p w14:paraId="1D9751C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16.0</w:t>
            </w:r>
          </w:p>
        </w:tc>
        <w:tc>
          <w:tcPr>
            <w:tcW w:w="0" w:type="auto"/>
            <w:shd w:val="clear" w:color="auto" w:fill="D9D9D9" w:themeFill="background1" w:themeFillShade="D9"/>
            <w:noWrap/>
            <w:hideMark/>
          </w:tcPr>
          <w:p w14:paraId="51297BE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7.0</w:t>
            </w:r>
          </w:p>
        </w:tc>
        <w:tc>
          <w:tcPr>
            <w:tcW w:w="0" w:type="auto"/>
            <w:shd w:val="clear" w:color="auto" w:fill="D9D9D9" w:themeFill="background1" w:themeFillShade="D9"/>
            <w:noWrap/>
            <w:hideMark/>
          </w:tcPr>
          <w:p w14:paraId="3F82949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9.5</w:t>
            </w:r>
          </w:p>
        </w:tc>
        <w:tc>
          <w:tcPr>
            <w:tcW w:w="0" w:type="auto"/>
            <w:shd w:val="clear" w:color="auto" w:fill="D9D9D9" w:themeFill="background1" w:themeFillShade="D9"/>
            <w:noWrap/>
            <w:hideMark/>
          </w:tcPr>
          <w:p w14:paraId="0F8A8E77"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13,482</w:t>
            </w:r>
          </w:p>
        </w:tc>
        <w:tc>
          <w:tcPr>
            <w:tcW w:w="0" w:type="auto"/>
            <w:shd w:val="clear" w:color="auto" w:fill="D9D9D9" w:themeFill="background1" w:themeFillShade="D9"/>
            <w:noWrap/>
            <w:hideMark/>
          </w:tcPr>
          <w:p w14:paraId="5188348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15,709</w:t>
            </w:r>
          </w:p>
        </w:tc>
        <w:tc>
          <w:tcPr>
            <w:tcW w:w="0" w:type="auto"/>
            <w:shd w:val="clear" w:color="auto" w:fill="D9D9D9" w:themeFill="background1" w:themeFillShade="D9"/>
            <w:noWrap/>
            <w:hideMark/>
          </w:tcPr>
          <w:p w14:paraId="715351C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16.5%</w:t>
            </w:r>
          </w:p>
        </w:tc>
        <w:tc>
          <w:tcPr>
            <w:tcW w:w="0" w:type="auto"/>
            <w:shd w:val="clear" w:color="auto" w:fill="D9D9D9" w:themeFill="background1" w:themeFillShade="D9"/>
            <w:noWrap/>
            <w:hideMark/>
          </w:tcPr>
          <w:p w14:paraId="2475A82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29.8</w:t>
            </w:r>
          </w:p>
        </w:tc>
        <w:tc>
          <w:tcPr>
            <w:tcW w:w="0" w:type="auto"/>
            <w:shd w:val="clear" w:color="auto" w:fill="D9D9D9" w:themeFill="background1" w:themeFillShade="D9"/>
            <w:noWrap/>
            <w:hideMark/>
          </w:tcPr>
          <w:p w14:paraId="50C1682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17.6%</w:t>
            </w:r>
          </w:p>
        </w:tc>
      </w:tr>
      <w:tr w:rsidR="00494E93" w:rsidRPr="00472DAF" w14:paraId="770E3D9D"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6F315C58" w14:textId="77777777" w:rsidR="00494E93" w:rsidRPr="00472DAF" w:rsidRDefault="00494E93" w:rsidP="00472DAF">
            <w:pPr>
              <w:rPr>
                <w:rFonts w:ascii="Calibri" w:hAnsi="Calibri"/>
                <w:color w:val="000000"/>
                <w:szCs w:val="22"/>
              </w:rPr>
            </w:pPr>
            <w:r w:rsidRPr="00472DAF">
              <w:rPr>
                <w:rFonts w:ascii="Calibri" w:hAnsi="Calibri"/>
                <w:color w:val="000000"/>
                <w:szCs w:val="22"/>
              </w:rPr>
              <w:t>0740</w:t>
            </w:r>
          </w:p>
        </w:tc>
        <w:tc>
          <w:tcPr>
            <w:tcW w:w="0" w:type="auto"/>
            <w:noWrap/>
            <w:hideMark/>
          </w:tcPr>
          <w:p w14:paraId="53B084DE"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Old Rochester</w:t>
            </w:r>
          </w:p>
        </w:tc>
        <w:tc>
          <w:tcPr>
            <w:tcW w:w="0" w:type="auto"/>
            <w:noWrap/>
            <w:hideMark/>
          </w:tcPr>
          <w:p w14:paraId="35E61DE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noWrap/>
            <w:hideMark/>
          </w:tcPr>
          <w:p w14:paraId="5815036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noWrap/>
            <w:hideMark/>
          </w:tcPr>
          <w:p w14:paraId="3931396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64.93</w:t>
            </w:r>
          </w:p>
        </w:tc>
        <w:tc>
          <w:tcPr>
            <w:tcW w:w="0" w:type="auto"/>
            <w:noWrap/>
            <w:hideMark/>
          </w:tcPr>
          <w:p w14:paraId="3073DED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1,205</w:t>
            </w:r>
          </w:p>
        </w:tc>
        <w:tc>
          <w:tcPr>
            <w:tcW w:w="0" w:type="auto"/>
            <w:noWrap/>
            <w:hideMark/>
          </w:tcPr>
          <w:p w14:paraId="683991D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1,239</w:t>
            </w:r>
          </w:p>
        </w:tc>
        <w:tc>
          <w:tcPr>
            <w:tcW w:w="0" w:type="auto"/>
            <w:noWrap/>
            <w:hideMark/>
          </w:tcPr>
          <w:p w14:paraId="039C988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w:t>
            </w:r>
          </w:p>
        </w:tc>
        <w:tc>
          <w:tcPr>
            <w:tcW w:w="0" w:type="auto"/>
            <w:noWrap/>
            <w:hideMark/>
          </w:tcPr>
          <w:p w14:paraId="29937DE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18.2</w:t>
            </w:r>
          </w:p>
        </w:tc>
        <w:tc>
          <w:tcPr>
            <w:tcW w:w="0" w:type="auto"/>
            <w:noWrap/>
            <w:hideMark/>
          </w:tcPr>
          <w:p w14:paraId="1A52F0F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91.6</w:t>
            </w:r>
          </w:p>
        </w:tc>
        <w:tc>
          <w:tcPr>
            <w:tcW w:w="0" w:type="auto"/>
            <w:noWrap/>
            <w:hideMark/>
          </w:tcPr>
          <w:p w14:paraId="7AF34E4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25.6</w:t>
            </w:r>
          </w:p>
        </w:tc>
        <w:tc>
          <w:tcPr>
            <w:tcW w:w="0" w:type="auto"/>
            <w:noWrap/>
            <w:hideMark/>
          </w:tcPr>
          <w:p w14:paraId="630FFBF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7.4</w:t>
            </w:r>
          </w:p>
        </w:tc>
        <w:tc>
          <w:tcPr>
            <w:tcW w:w="0" w:type="auto"/>
            <w:noWrap/>
            <w:hideMark/>
          </w:tcPr>
          <w:p w14:paraId="7742603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w:t>
            </w:r>
          </w:p>
        </w:tc>
        <w:tc>
          <w:tcPr>
            <w:tcW w:w="0" w:type="auto"/>
            <w:noWrap/>
            <w:hideMark/>
          </w:tcPr>
          <w:p w14:paraId="4870FE62"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13,335</w:t>
            </w:r>
          </w:p>
        </w:tc>
        <w:tc>
          <w:tcPr>
            <w:tcW w:w="0" w:type="auto"/>
            <w:noWrap/>
            <w:hideMark/>
          </w:tcPr>
          <w:p w14:paraId="31DBD3A3"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14,963</w:t>
            </w:r>
          </w:p>
        </w:tc>
        <w:tc>
          <w:tcPr>
            <w:tcW w:w="0" w:type="auto"/>
            <w:noWrap/>
            <w:hideMark/>
          </w:tcPr>
          <w:p w14:paraId="5952EC7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12.2%</w:t>
            </w:r>
          </w:p>
        </w:tc>
        <w:tc>
          <w:tcPr>
            <w:tcW w:w="0" w:type="auto"/>
            <w:noWrap/>
            <w:hideMark/>
          </w:tcPr>
          <w:p w14:paraId="5D47037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68.6</w:t>
            </w:r>
          </w:p>
        </w:tc>
        <w:tc>
          <w:tcPr>
            <w:tcW w:w="0" w:type="auto"/>
            <w:noWrap/>
            <w:hideMark/>
          </w:tcPr>
          <w:p w14:paraId="085D1C2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w:t>
            </w:r>
          </w:p>
        </w:tc>
      </w:tr>
      <w:tr w:rsidR="003B6049" w:rsidRPr="00472DAF" w14:paraId="34DE64C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85E9F60" w14:textId="77777777" w:rsidR="00494E93" w:rsidRPr="00472DAF" w:rsidRDefault="00494E93" w:rsidP="00472DAF">
            <w:pPr>
              <w:rPr>
                <w:rFonts w:ascii="Calibri" w:hAnsi="Calibri"/>
                <w:color w:val="000000"/>
                <w:szCs w:val="22"/>
              </w:rPr>
            </w:pPr>
            <w:r w:rsidRPr="00472DAF">
              <w:rPr>
                <w:rFonts w:ascii="Calibri" w:hAnsi="Calibri"/>
                <w:color w:val="000000"/>
                <w:szCs w:val="22"/>
              </w:rPr>
              <w:t>0750</w:t>
            </w:r>
          </w:p>
        </w:tc>
        <w:tc>
          <w:tcPr>
            <w:tcW w:w="0" w:type="auto"/>
            <w:shd w:val="clear" w:color="auto" w:fill="D9D9D9" w:themeFill="background1" w:themeFillShade="D9"/>
            <w:noWrap/>
            <w:hideMark/>
          </w:tcPr>
          <w:p w14:paraId="61152314"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Pioneer Valley</w:t>
            </w:r>
          </w:p>
        </w:tc>
        <w:tc>
          <w:tcPr>
            <w:tcW w:w="0" w:type="auto"/>
            <w:shd w:val="clear" w:color="auto" w:fill="D9D9D9" w:themeFill="background1" w:themeFillShade="D9"/>
            <w:noWrap/>
            <w:hideMark/>
          </w:tcPr>
          <w:p w14:paraId="02EFA43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shd w:val="clear" w:color="auto" w:fill="D9D9D9" w:themeFill="background1" w:themeFillShade="D9"/>
            <w:noWrap/>
            <w:hideMark/>
          </w:tcPr>
          <w:p w14:paraId="3E7A8AD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shd w:val="clear" w:color="auto" w:fill="D9D9D9" w:themeFill="background1" w:themeFillShade="D9"/>
            <w:noWrap/>
            <w:hideMark/>
          </w:tcPr>
          <w:p w14:paraId="7E2C7BC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112.91</w:t>
            </w:r>
          </w:p>
        </w:tc>
        <w:tc>
          <w:tcPr>
            <w:tcW w:w="0" w:type="auto"/>
            <w:shd w:val="clear" w:color="auto" w:fill="D9D9D9" w:themeFill="background1" w:themeFillShade="D9"/>
            <w:noWrap/>
            <w:hideMark/>
          </w:tcPr>
          <w:p w14:paraId="0B9531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1,107</w:t>
            </w:r>
          </w:p>
        </w:tc>
        <w:tc>
          <w:tcPr>
            <w:tcW w:w="0" w:type="auto"/>
            <w:shd w:val="clear" w:color="auto" w:fill="D9D9D9" w:themeFill="background1" w:themeFillShade="D9"/>
            <w:noWrap/>
            <w:hideMark/>
          </w:tcPr>
          <w:p w14:paraId="7597C10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867</w:t>
            </w:r>
          </w:p>
        </w:tc>
        <w:tc>
          <w:tcPr>
            <w:tcW w:w="0" w:type="auto"/>
            <w:shd w:val="clear" w:color="auto" w:fill="D9D9D9" w:themeFill="background1" w:themeFillShade="D9"/>
            <w:noWrap/>
            <w:hideMark/>
          </w:tcPr>
          <w:p w14:paraId="59D4193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-21.7%</w:t>
            </w:r>
          </w:p>
        </w:tc>
        <w:tc>
          <w:tcPr>
            <w:tcW w:w="0" w:type="auto"/>
            <w:shd w:val="clear" w:color="auto" w:fill="D9D9D9" w:themeFill="background1" w:themeFillShade="D9"/>
            <w:noWrap/>
            <w:hideMark/>
          </w:tcPr>
          <w:p w14:paraId="38D8CC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6.4</w:t>
            </w:r>
          </w:p>
        </w:tc>
        <w:tc>
          <w:tcPr>
            <w:tcW w:w="0" w:type="auto"/>
            <w:shd w:val="clear" w:color="auto" w:fill="D9D9D9" w:themeFill="background1" w:themeFillShade="D9"/>
            <w:noWrap/>
            <w:hideMark/>
          </w:tcPr>
          <w:p w14:paraId="702CB23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85.4</w:t>
            </w:r>
          </w:p>
        </w:tc>
        <w:tc>
          <w:tcPr>
            <w:tcW w:w="0" w:type="auto"/>
            <w:shd w:val="clear" w:color="auto" w:fill="D9D9D9" w:themeFill="background1" w:themeFillShade="D9"/>
            <w:noWrap/>
            <w:hideMark/>
          </w:tcPr>
          <w:p w14:paraId="7DBEA6A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53.5</w:t>
            </w:r>
          </w:p>
        </w:tc>
        <w:tc>
          <w:tcPr>
            <w:tcW w:w="0" w:type="auto"/>
            <w:shd w:val="clear" w:color="auto" w:fill="D9D9D9" w:themeFill="background1" w:themeFillShade="D9"/>
            <w:noWrap/>
            <w:hideMark/>
          </w:tcPr>
          <w:p w14:paraId="160C1C1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9.8</w:t>
            </w:r>
          </w:p>
        </w:tc>
        <w:tc>
          <w:tcPr>
            <w:tcW w:w="0" w:type="auto"/>
            <w:shd w:val="clear" w:color="auto" w:fill="D9D9D9" w:themeFill="background1" w:themeFillShade="D9"/>
            <w:noWrap/>
            <w:hideMark/>
          </w:tcPr>
          <w:p w14:paraId="699DE2C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w:t>
            </w:r>
          </w:p>
        </w:tc>
        <w:tc>
          <w:tcPr>
            <w:tcW w:w="0" w:type="auto"/>
            <w:shd w:val="clear" w:color="auto" w:fill="D9D9D9" w:themeFill="background1" w:themeFillShade="D9"/>
            <w:noWrap/>
            <w:hideMark/>
          </w:tcPr>
          <w:p w14:paraId="691229B6"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13,504</w:t>
            </w:r>
          </w:p>
        </w:tc>
        <w:tc>
          <w:tcPr>
            <w:tcW w:w="0" w:type="auto"/>
            <w:shd w:val="clear" w:color="auto" w:fill="D9D9D9" w:themeFill="background1" w:themeFillShade="D9"/>
            <w:noWrap/>
            <w:hideMark/>
          </w:tcPr>
          <w:p w14:paraId="78D70C25"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17,765</w:t>
            </w:r>
          </w:p>
        </w:tc>
        <w:tc>
          <w:tcPr>
            <w:tcW w:w="0" w:type="auto"/>
            <w:shd w:val="clear" w:color="auto" w:fill="D9D9D9" w:themeFill="background1" w:themeFillShade="D9"/>
            <w:noWrap/>
            <w:hideMark/>
          </w:tcPr>
          <w:p w14:paraId="6CF9F04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31.6%</w:t>
            </w:r>
          </w:p>
        </w:tc>
        <w:tc>
          <w:tcPr>
            <w:tcW w:w="0" w:type="auto"/>
            <w:shd w:val="clear" w:color="auto" w:fill="D9D9D9" w:themeFill="background1" w:themeFillShade="D9"/>
            <w:noWrap/>
            <w:hideMark/>
          </w:tcPr>
          <w:p w14:paraId="4B8307E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145.6</w:t>
            </w:r>
          </w:p>
        </w:tc>
        <w:tc>
          <w:tcPr>
            <w:tcW w:w="0" w:type="auto"/>
            <w:shd w:val="clear" w:color="auto" w:fill="D9D9D9" w:themeFill="background1" w:themeFillShade="D9"/>
            <w:noWrap/>
            <w:hideMark/>
          </w:tcPr>
          <w:p w14:paraId="7CD28FA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16.8%</w:t>
            </w:r>
          </w:p>
        </w:tc>
      </w:tr>
      <w:tr w:rsidR="00494E93" w:rsidRPr="00472DAF" w14:paraId="655D3BC7"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52CD9949" w14:textId="77777777" w:rsidR="00494E93" w:rsidRPr="00472DAF" w:rsidRDefault="00494E93" w:rsidP="00472DAF">
            <w:pPr>
              <w:rPr>
                <w:rFonts w:ascii="Calibri" w:hAnsi="Calibri"/>
                <w:color w:val="000000"/>
                <w:szCs w:val="22"/>
              </w:rPr>
            </w:pPr>
            <w:r w:rsidRPr="00472DAF">
              <w:rPr>
                <w:rFonts w:ascii="Calibri" w:hAnsi="Calibri"/>
                <w:color w:val="000000"/>
                <w:szCs w:val="22"/>
              </w:rPr>
              <w:t>0753</w:t>
            </w:r>
          </w:p>
        </w:tc>
        <w:tc>
          <w:tcPr>
            <w:tcW w:w="0" w:type="auto"/>
            <w:noWrap/>
            <w:hideMark/>
          </w:tcPr>
          <w:p w14:paraId="347E61AF"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Quabbin</w:t>
            </w:r>
          </w:p>
        </w:tc>
        <w:tc>
          <w:tcPr>
            <w:tcW w:w="0" w:type="auto"/>
            <w:noWrap/>
            <w:hideMark/>
          </w:tcPr>
          <w:p w14:paraId="6F763A1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w:t>
            </w:r>
          </w:p>
        </w:tc>
        <w:tc>
          <w:tcPr>
            <w:tcW w:w="0" w:type="auto"/>
            <w:noWrap/>
            <w:hideMark/>
          </w:tcPr>
          <w:p w14:paraId="259F2AB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6636AEA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165.61</w:t>
            </w:r>
          </w:p>
        </w:tc>
        <w:tc>
          <w:tcPr>
            <w:tcW w:w="0" w:type="auto"/>
            <w:noWrap/>
            <w:hideMark/>
          </w:tcPr>
          <w:p w14:paraId="5AD8413F"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3,184</w:t>
            </w:r>
          </w:p>
        </w:tc>
        <w:tc>
          <w:tcPr>
            <w:tcW w:w="0" w:type="auto"/>
            <w:noWrap/>
            <w:hideMark/>
          </w:tcPr>
          <w:p w14:paraId="354BE74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2,248</w:t>
            </w:r>
          </w:p>
        </w:tc>
        <w:tc>
          <w:tcPr>
            <w:tcW w:w="0" w:type="auto"/>
            <w:noWrap/>
            <w:hideMark/>
          </w:tcPr>
          <w:p w14:paraId="3BF45D0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-29.4%</w:t>
            </w:r>
          </w:p>
        </w:tc>
        <w:tc>
          <w:tcPr>
            <w:tcW w:w="0" w:type="auto"/>
            <w:noWrap/>
            <w:hideMark/>
          </w:tcPr>
          <w:p w14:paraId="28A1549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12.5</w:t>
            </w:r>
          </w:p>
        </w:tc>
        <w:tc>
          <w:tcPr>
            <w:tcW w:w="0" w:type="auto"/>
            <w:noWrap/>
            <w:hideMark/>
          </w:tcPr>
          <w:p w14:paraId="5036310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139.4</w:t>
            </w:r>
          </w:p>
        </w:tc>
        <w:tc>
          <w:tcPr>
            <w:tcW w:w="0" w:type="auto"/>
            <w:noWrap/>
            <w:hideMark/>
          </w:tcPr>
          <w:p w14:paraId="4A03475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62.4</w:t>
            </w:r>
          </w:p>
        </w:tc>
        <w:tc>
          <w:tcPr>
            <w:tcW w:w="0" w:type="auto"/>
            <w:noWrap/>
            <w:hideMark/>
          </w:tcPr>
          <w:p w14:paraId="7AD482C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6.2</w:t>
            </w:r>
          </w:p>
        </w:tc>
        <w:tc>
          <w:tcPr>
            <w:tcW w:w="0" w:type="auto"/>
            <w:noWrap/>
            <w:hideMark/>
          </w:tcPr>
          <w:p w14:paraId="45A9487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w:t>
            </w:r>
          </w:p>
        </w:tc>
        <w:tc>
          <w:tcPr>
            <w:tcW w:w="0" w:type="auto"/>
            <w:noWrap/>
            <w:hideMark/>
          </w:tcPr>
          <w:p w14:paraId="0A4E8834"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9,585</w:t>
            </w:r>
          </w:p>
        </w:tc>
        <w:tc>
          <w:tcPr>
            <w:tcW w:w="0" w:type="auto"/>
            <w:noWrap/>
            <w:hideMark/>
          </w:tcPr>
          <w:p w14:paraId="01CBED7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13,932</w:t>
            </w:r>
          </w:p>
        </w:tc>
        <w:tc>
          <w:tcPr>
            <w:tcW w:w="0" w:type="auto"/>
            <w:noWrap/>
            <w:hideMark/>
          </w:tcPr>
          <w:p w14:paraId="0762898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45.4%</w:t>
            </w:r>
          </w:p>
        </w:tc>
        <w:tc>
          <w:tcPr>
            <w:tcW w:w="0" w:type="auto"/>
            <w:noWrap/>
            <w:hideMark/>
          </w:tcPr>
          <w:p w14:paraId="6A431E4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309.2</w:t>
            </w:r>
          </w:p>
        </w:tc>
        <w:tc>
          <w:tcPr>
            <w:tcW w:w="0" w:type="auto"/>
            <w:noWrap/>
            <w:hideMark/>
          </w:tcPr>
          <w:p w14:paraId="2BEE05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13.8%</w:t>
            </w:r>
          </w:p>
        </w:tc>
      </w:tr>
      <w:tr w:rsidR="003B6049" w:rsidRPr="00472DAF" w14:paraId="4F18301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44CB3163" w14:textId="77777777" w:rsidR="00494E93" w:rsidRPr="00472DAF" w:rsidRDefault="00494E93" w:rsidP="00472DAF">
            <w:pPr>
              <w:rPr>
                <w:rFonts w:ascii="Calibri" w:hAnsi="Calibri"/>
                <w:color w:val="000000"/>
                <w:szCs w:val="22"/>
              </w:rPr>
            </w:pPr>
            <w:r w:rsidRPr="00472DAF">
              <w:rPr>
                <w:rFonts w:ascii="Calibri" w:hAnsi="Calibri"/>
                <w:color w:val="000000"/>
                <w:szCs w:val="22"/>
              </w:rPr>
              <w:t>0755</w:t>
            </w:r>
          </w:p>
        </w:tc>
        <w:tc>
          <w:tcPr>
            <w:tcW w:w="0" w:type="auto"/>
            <w:shd w:val="clear" w:color="auto" w:fill="D9D9D9" w:themeFill="background1" w:themeFillShade="D9"/>
            <w:noWrap/>
            <w:hideMark/>
          </w:tcPr>
          <w:p w14:paraId="4232729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Ralph C Mahar</w:t>
            </w:r>
          </w:p>
        </w:tc>
        <w:tc>
          <w:tcPr>
            <w:tcW w:w="0" w:type="auto"/>
            <w:shd w:val="clear" w:color="auto" w:fill="D9D9D9" w:themeFill="background1" w:themeFillShade="D9"/>
            <w:noWrap/>
            <w:hideMark/>
          </w:tcPr>
          <w:p w14:paraId="2463CE1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shd w:val="clear" w:color="auto" w:fill="D9D9D9" w:themeFill="background1" w:themeFillShade="D9"/>
            <w:noWrap/>
            <w:hideMark/>
          </w:tcPr>
          <w:p w14:paraId="23E65F7D"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shd w:val="clear" w:color="auto" w:fill="D9D9D9" w:themeFill="background1" w:themeFillShade="D9"/>
            <w:noWrap/>
            <w:hideMark/>
          </w:tcPr>
          <w:p w14:paraId="57EA000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165.94</w:t>
            </w:r>
          </w:p>
        </w:tc>
        <w:tc>
          <w:tcPr>
            <w:tcW w:w="0" w:type="auto"/>
            <w:shd w:val="clear" w:color="auto" w:fill="D9D9D9" w:themeFill="background1" w:themeFillShade="D9"/>
            <w:noWrap/>
            <w:hideMark/>
          </w:tcPr>
          <w:p w14:paraId="4710AA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759</w:t>
            </w:r>
          </w:p>
        </w:tc>
        <w:tc>
          <w:tcPr>
            <w:tcW w:w="0" w:type="auto"/>
            <w:shd w:val="clear" w:color="auto" w:fill="D9D9D9" w:themeFill="background1" w:themeFillShade="D9"/>
            <w:noWrap/>
            <w:hideMark/>
          </w:tcPr>
          <w:p w14:paraId="65713C7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752</w:t>
            </w:r>
          </w:p>
        </w:tc>
        <w:tc>
          <w:tcPr>
            <w:tcW w:w="0" w:type="auto"/>
            <w:shd w:val="clear" w:color="auto" w:fill="D9D9D9" w:themeFill="background1" w:themeFillShade="D9"/>
            <w:noWrap/>
            <w:hideMark/>
          </w:tcPr>
          <w:p w14:paraId="4428835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-0.9%</w:t>
            </w:r>
          </w:p>
        </w:tc>
        <w:tc>
          <w:tcPr>
            <w:tcW w:w="0" w:type="auto"/>
            <w:shd w:val="clear" w:color="auto" w:fill="D9D9D9" w:themeFill="background1" w:themeFillShade="D9"/>
            <w:noWrap/>
            <w:hideMark/>
          </w:tcPr>
          <w:p w14:paraId="61441EC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3.8</w:t>
            </w:r>
          </w:p>
        </w:tc>
        <w:tc>
          <w:tcPr>
            <w:tcW w:w="0" w:type="auto"/>
            <w:shd w:val="clear" w:color="auto" w:fill="D9D9D9" w:themeFill="background1" w:themeFillShade="D9"/>
            <w:noWrap/>
            <w:hideMark/>
          </w:tcPr>
          <w:p w14:paraId="0D5CFD7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58.5</w:t>
            </w:r>
          </w:p>
        </w:tc>
        <w:tc>
          <w:tcPr>
            <w:tcW w:w="0" w:type="auto"/>
            <w:shd w:val="clear" w:color="auto" w:fill="D9D9D9" w:themeFill="background1" w:themeFillShade="D9"/>
            <w:noWrap/>
            <w:hideMark/>
          </w:tcPr>
          <w:p w14:paraId="4374F49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13.0</w:t>
            </w:r>
          </w:p>
        </w:tc>
        <w:tc>
          <w:tcPr>
            <w:tcW w:w="0" w:type="auto"/>
            <w:shd w:val="clear" w:color="auto" w:fill="D9D9D9" w:themeFill="background1" w:themeFillShade="D9"/>
            <w:noWrap/>
            <w:hideMark/>
          </w:tcPr>
          <w:p w14:paraId="78D8BC7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7.8</w:t>
            </w:r>
          </w:p>
        </w:tc>
        <w:tc>
          <w:tcPr>
            <w:tcW w:w="0" w:type="auto"/>
            <w:shd w:val="clear" w:color="auto" w:fill="D9D9D9" w:themeFill="background1" w:themeFillShade="D9"/>
            <w:noWrap/>
            <w:hideMark/>
          </w:tcPr>
          <w:p w14:paraId="2DC413F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w:t>
            </w:r>
          </w:p>
        </w:tc>
        <w:tc>
          <w:tcPr>
            <w:tcW w:w="0" w:type="auto"/>
            <w:shd w:val="clear" w:color="auto" w:fill="D9D9D9" w:themeFill="background1" w:themeFillShade="D9"/>
            <w:noWrap/>
            <w:hideMark/>
          </w:tcPr>
          <w:p w14:paraId="563F2E5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12,903</w:t>
            </w:r>
          </w:p>
        </w:tc>
        <w:tc>
          <w:tcPr>
            <w:tcW w:w="0" w:type="auto"/>
            <w:shd w:val="clear" w:color="auto" w:fill="D9D9D9" w:themeFill="background1" w:themeFillShade="D9"/>
            <w:noWrap/>
            <w:hideMark/>
          </w:tcPr>
          <w:p w14:paraId="50E2B01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14,261</w:t>
            </w:r>
          </w:p>
        </w:tc>
        <w:tc>
          <w:tcPr>
            <w:tcW w:w="0" w:type="auto"/>
            <w:shd w:val="clear" w:color="auto" w:fill="D9D9D9" w:themeFill="background1" w:themeFillShade="D9"/>
            <w:noWrap/>
            <w:hideMark/>
          </w:tcPr>
          <w:p w14:paraId="238ABB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10.5%</w:t>
            </w:r>
          </w:p>
        </w:tc>
        <w:tc>
          <w:tcPr>
            <w:tcW w:w="0" w:type="auto"/>
            <w:shd w:val="clear" w:color="auto" w:fill="D9D9D9" w:themeFill="background1" w:themeFillShade="D9"/>
            <w:noWrap/>
            <w:hideMark/>
          </w:tcPr>
          <w:p w14:paraId="1C3980C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217.0</w:t>
            </w:r>
          </w:p>
        </w:tc>
        <w:tc>
          <w:tcPr>
            <w:tcW w:w="0" w:type="auto"/>
            <w:shd w:val="clear" w:color="auto" w:fill="D9D9D9" w:themeFill="background1" w:themeFillShade="D9"/>
            <w:noWrap/>
            <w:hideMark/>
          </w:tcPr>
          <w:p w14:paraId="650D6CE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28.9%</w:t>
            </w:r>
          </w:p>
        </w:tc>
      </w:tr>
      <w:tr w:rsidR="00494E93" w:rsidRPr="00472DAF" w14:paraId="299699F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6DF8B498" w14:textId="77777777" w:rsidR="00494E93" w:rsidRPr="00472DAF" w:rsidRDefault="00494E93" w:rsidP="00472DAF">
            <w:pPr>
              <w:rPr>
                <w:rFonts w:ascii="Calibri" w:hAnsi="Calibri"/>
                <w:color w:val="000000"/>
                <w:szCs w:val="22"/>
              </w:rPr>
            </w:pPr>
            <w:r w:rsidRPr="00472DAF">
              <w:rPr>
                <w:rFonts w:ascii="Calibri" w:hAnsi="Calibri"/>
                <w:color w:val="000000"/>
                <w:szCs w:val="22"/>
              </w:rPr>
              <w:t>0765</w:t>
            </w:r>
          </w:p>
        </w:tc>
        <w:tc>
          <w:tcPr>
            <w:tcW w:w="0" w:type="auto"/>
            <w:noWrap/>
            <w:hideMark/>
          </w:tcPr>
          <w:p w14:paraId="793522CD"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Southern Berkshire</w:t>
            </w:r>
          </w:p>
        </w:tc>
        <w:tc>
          <w:tcPr>
            <w:tcW w:w="0" w:type="auto"/>
            <w:noWrap/>
            <w:hideMark/>
          </w:tcPr>
          <w:p w14:paraId="06850EC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3994CF5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1CE24D4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150.94</w:t>
            </w:r>
          </w:p>
        </w:tc>
        <w:tc>
          <w:tcPr>
            <w:tcW w:w="0" w:type="auto"/>
            <w:noWrap/>
            <w:hideMark/>
          </w:tcPr>
          <w:p w14:paraId="30BAE05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887</w:t>
            </w:r>
          </w:p>
        </w:tc>
        <w:tc>
          <w:tcPr>
            <w:tcW w:w="0" w:type="auto"/>
            <w:noWrap/>
            <w:hideMark/>
          </w:tcPr>
          <w:p w14:paraId="0C3CB9F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725</w:t>
            </w:r>
          </w:p>
        </w:tc>
        <w:tc>
          <w:tcPr>
            <w:tcW w:w="0" w:type="auto"/>
            <w:noWrap/>
            <w:hideMark/>
          </w:tcPr>
          <w:p w14:paraId="10B68B6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-18.3%</w:t>
            </w:r>
          </w:p>
        </w:tc>
        <w:tc>
          <w:tcPr>
            <w:tcW w:w="0" w:type="auto"/>
            <w:noWrap/>
            <w:hideMark/>
          </w:tcPr>
          <w:p w14:paraId="460EA60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4.4</w:t>
            </w:r>
          </w:p>
        </w:tc>
        <w:tc>
          <w:tcPr>
            <w:tcW w:w="0" w:type="auto"/>
            <w:noWrap/>
            <w:hideMark/>
          </w:tcPr>
          <w:p w14:paraId="3B03B8C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75.2</w:t>
            </w:r>
          </w:p>
        </w:tc>
        <w:tc>
          <w:tcPr>
            <w:tcW w:w="0" w:type="auto"/>
            <w:noWrap/>
            <w:hideMark/>
          </w:tcPr>
          <w:p w14:paraId="18D37AA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39.0</w:t>
            </w:r>
          </w:p>
        </w:tc>
        <w:tc>
          <w:tcPr>
            <w:tcW w:w="0" w:type="auto"/>
            <w:noWrap/>
            <w:hideMark/>
          </w:tcPr>
          <w:p w14:paraId="0415883B"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w:t>
            </w:r>
          </w:p>
        </w:tc>
        <w:tc>
          <w:tcPr>
            <w:tcW w:w="0" w:type="auto"/>
            <w:noWrap/>
            <w:hideMark/>
          </w:tcPr>
          <w:p w14:paraId="4917E2F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w:t>
            </w:r>
          </w:p>
        </w:tc>
        <w:tc>
          <w:tcPr>
            <w:tcW w:w="0" w:type="auto"/>
            <w:noWrap/>
            <w:hideMark/>
          </w:tcPr>
          <w:p w14:paraId="346A61DD"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14,765</w:t>
            </w:r>
          </w:p>
        </w:tc>
        <w:tc>
          <w:tcPr>
            <w:tcW w:w="0" w:type="auto"/>
            <w:noWrap/>
            <w:hideMark/>
          </w:tcPr>
          <w:p w14:paraId="7039301A"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21,629</w:t>
            </w:r>
          </w:p>
        </w:tc>
        <w:tc>
          <w:tcPr>
            <w:tcW w:w="0" w:type="auto"/>
            <w:noWrap/>
            <w:hideMark/>
          </w:tcPr>
          <w:p w14:paraId="5CF746F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46.5%</w:t>
            </w:r>
          </w:p>
        </w:tc>
        <w:tc>
          <w:tcPr>
            <w:tcW w:w="0" w:type="auto"/>
            <w:noWrap/>
            <w:hideMark/>
          </w:tcPr>
          <w:p w14:paraId="156A2C6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127.0</w:t>
            </w:r>
          </w:p>
        </w:tc>
        <w:tc>
          <w:tcPr>
            <w:tcW w:w="0" w:type="auto"/>
            <w:noWrap/>
            <w:hideMark/>
          </w:tcPr>
          <w:p w14:paraId="2536278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17.5%</w:t>
            </w:r>
          </w:p>
        </w:tc>
      </w:tr>
      <w:tr w:rsidR="003B6049" w:rsidRPr="00472DAF" w14:paraId="29A48D3E"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119E711B" w14:textId="77777777" w:rsidR="00494E93" w:rsidRPr="00472DAF" w:rsidRDefault="00494E93" w:rsidP="00472DAF">
            <w:pPr>
              <w:rPr>
                <w:rFonts w:ascii="Calibri" w:hAnsi="Calibri"/>
                <w:color w:val="000000"/>
                <w:szCs w:val="22"/>
              </w:rPr>
            </w:pPr>
            <w:r w:rsidRPr="00472DAF">
              <w:rPr>
                <w:rFonts w:ascii="Calibri" w:hAnsi="Calibri"/>
                <w:color w:val="000000"/>
                <w:szCs w:val="22"/>
              </w:rPr>
              <w:t>0766</w:t>
            </w:r>
          </w:p>
        </w:tc>
        <w:tc>
          <w:tcPr>
            <w:tcW w:w="0" w:type="auto"/>
            <w:shd w:val="clear" w:color="auto" w:fill="D9D9D9" w:themeFill="background1" w:themeFillShade="D9"/>
            <w:noWrap/>
            <w:hideMark/>
          </w:tcPr>
          <w:p w14:paraId="0665C565"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Southwick-Tolland-Granville Regional School District</w:t>
            </w:r>
          </w:p>
        </w:tc>
        <w:tc>
          <w:tcPr>
            <w:tcW w:w="0" w:type="auto"/>
            <w:shd w:val="clear" w:color="auto" w:fill="D9D9D9" w:themeFill="background1" w:themeFillShade="D9"/>
            <w:noWrap/>
            <w:hideMark/>
          </w:tcPr>
          <w:p w14:paraId="09526A1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w:t>
            </w:r>
          </w:p>
        </w:tc>
        <w:tc>
          <w:tcPr>
            <w:tcW w:w="0" w:type="auto"/>
            <w:shd w:val="clear" w:color="auto" w:fill="D9D9D9" w:themeFill="background1" w:themeFillShade="D9"/>
            <w:noWrap/>
            <w:hideMark/>
          </w:tcPr>
          <w:p w14:paraId="39BCC94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shd w:val="clear" w:color="auto" w:fill="D9D9D9" w:themeFill="background1" w:themeFillShade="D9"/>
            <w:noWrap/>
            <w:hideMark/>
          </w:tcPr>
          <w:p w14:paraId="1A816E6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104.58</w:t>
            </w:r>
          </w:p>
        </w:tc>
        <w:tc>
          <w:tcPr>
            <w:tcW w:w="0" w:type="auto"/>
            <w:shd w:val="clear" w:color="auto" w:fill="D9D9D9" w:themeFill="background1" w:themeFillShade="D9"/>
            <w:noWrap/>
            <w:hideMark/>
          </w:tcPr>
          <w:p w14:paraId="72740F5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1,888</w:t>
            </w:r>
          </w:p>
        </w:tc>
        <w:tc>
          <w:tcPr>
            <w:tcW w:w="0" w:type="auto"/>
            <w:shd w:val="clear" w:color="auto" w:fill="D9D9D9" w:themeFill="background1" w:themeFillShade="D9"/>
            <w:noWrap/>
            <w:hideMark/>
          </w:tcPr>
          <w:p w14:paraId="697DA53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1,549</w:t>
            </w:r>
          </w:p>
        </w:tc>
        <w:tc>
          <w:tcPr>
            <w:tcW w:w="0" w:type="auto"/>
            <w:shd w:val="clear" w:color="auto" w:fill="D9D9D9" w:themeFill="background1" w:themeFillShade="D9"/>
            <w:noWrap/>
            <w:hideMark/>
          </w:tcPr>
          <w:p w14:paraId="14373D5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-18.0%</w:t>
            </w:r>
          </w:p>
        </w:tc>
        <w:tc>
          <w:tcPr>
            <w:tcW w:w="0" w:type="auto"/>
            <w:shd w:val="clear" w:color="auto" w:fill="D9D9D9" w:themeFill="background1" w:themeFillShade="D9"/>
            <w:noWrap/>
            <w:hideMark/>
          </w:tcPr>
          <w:p w14:paraId="2638113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14.2</w:t>
            </w:r>
          </w:p>
        </w:tc>
        <w:tc>
          <w:tcPr>
            <w:tcW w:w="0" w:type="auto"/>
            <w:shd w:val="clear" w:color="auto" w:fill="D9D9D9" w:themeFill="background1" w:themeFillShade="D9"/>
            <w:noWrap/>
            <w:hideMark/>
          </w:tcPr>
          <w:p w14:paraId="4FF914B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100.7</w:t>
            </w:r>
          </w:p>
        </w:tc>
        <w:tc>
          <w:tcPr>
            <w:tcW w:w="0" w:type="auto"/>
            <w:shd w:val="clear" w:color="auto" w:fill="D9D9D9" w:themeFill="background1" w:themeFillShade="D9"/>
            <w:noWrap/>
            <w:hideMark/>
          </w:tcPr>
          <w:p w14:paraId="219C90F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54.0</w:t>
            </w:r>
          </w:p>
        </w:tc>
        <w:tc>
          <w:tcPr>
            <w:tcW w:w="0" w:type="auto"/>
            <w:shd w:val="clear" w:color="auto" w:fill="D9D9D9" w:themeFill="background1" w:themeFillShade="D9"/>
            <w:noWrap/>
            <w:hideMark/>
          </w:tcPr>
          <w:p w14:paraId="0E7311F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6.5</w:t>
            </w:r>
          </w:p>
        </w:tc>
        <w:tc>
          <w:tcPr>
            <w:tcW w:w="0" w:type="auto"/>
            <w:shd w:val="clear" w:color="auto" w:fill="D9D9D9" w:themeFill="background1" w:themeFillShade="D9"/>
            <w:noWrap/>
            <w:hideMark/>
          </w:tcPr>
          <w:p w14:paraId="6F84818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3.5</w:t>
            </w:r>
          </w:p>
        </w:tc>
        <w:tc>
          <w:tcPr>
            <w:tcW w:w="0" w:type="auto"/>
            <w:shd w:val="clear" w:color="auto" w:fill="D9D9D9" w:themeFill="background1" w:themeFillShade="D9"/>
            <w:noWrap/>
            <w:hideMark/>
          </w:tcPr>
          <w:p w14:paraId="4969E13F"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9,644</w:t>
            </w:r>
          </w:p>
        </w:tc>
        <w:tc>
          <w:tcPr>
            <w:tcW w:w="0" w:type="auto"/>
            <w:shd w:val="clear" w:color="auto" w:fill="D9D9D9" w:themeFill="background1" w:themeFillShade="D9"/>
            <w:noWrap/>
            <w:hideMark/>
          </w:tcPr>
          <w:p w14:paraId="7DF3198E"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13,534</w:t>
            </w:r>
          </w:p>
        </w:tc>
        <w:tc>
          <w:tcPr>
            <w:tcW w:w="0" w:type="auto"/>
            <w:shd w:val="clear" w:color="auto" w:fill="D9D9D9" w:themeFill="background1" w:themeFillShade="D9"/>
            <w:noWrap/>
            <w:hideMark/>
          </w:tcPr>
          <w:p w14:paraId="72285D76"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40.3%</w:t>
            </w:r>
          </w:p>
        </w:tc>
        <w:tc>
          <w:tcPr>
            <w:tcW w:w="0" w:type="auto"/>
            <w:shd w:val="clear" w:color="auto" w:fill="D9D9D9" w:themeFill="background1" w:themeFillShade="D9"/>
            <w:noWrap/>
            <w:hideMark/>
          </w:tcPr>
          <w:p w14:paraId="119661E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122.4</w:t>
            </w:r>
          </w:p>
        </w:tc>
        <w:tc>
          <w:tcPr>
            <w:tcW w:w="0" w:type="auto"/>
            <w:shd w:val="clear" w:color="auto" w:fill="D9D9D9" w:themeFill="background1" w:themeFillShade="D9"/>
            <w:noWrap/>
            <w:hideMark/>
          </w:tcPr>
          <w:p w14:paraId="513642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r>
      <w:tr w:rsidR="00494E93" w:rsidRPr="00472DAF" w14:paraId="25109A1B"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28CB51D3" w14:textId="77777777" w:rsidR="00494E93" w:rsidRPr="00472DAF" w:rsidRDefault="00494E93" w:rsidP="00472DAF">
            <w:pPr>
              <w:rPr>
                <w:rFonts w:ascii="Calibri" w:hAnsi="Calibri"/>
                <w:color w:val="000000"/>
                <w:szCs w:val="22"/>
              </w:rPr>
            </w:pPr>
            <w:r w:rsidRPr="00472DAF">
              <w:rPr>
                <w:rFonts w:ascii="Calibri" w:hAnsi="Calibri"/>
                <w:color w:val="000000"/>
                <w:szCs w:val="22"/>
              </w:rPr>
              <w:t>0770</w:t>
            </w:r>
          </w:p>
        </w:tc>
        <w:tc>
          <w:tcPr>
            <w:tcW w:w="0" w:type="auto"/>
            <w:noWrap/>
            <w:hideMark/>
          </w:tcPr>
          <w:p w14:paraId="1B0EDE60"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Tantasqua</w:t>
            </w:r>
          </w:p>
        </w:tc>
        <w:tc>
          <w:tcPr>
            <w:tcW w:w="0" w:type="auto"/>
            <w:noWrap/>
            <w:hideMark/>
          </w:tcPr>
          <w:p w14:paraId="2475D0B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noWrap/>
            <w:hideMark/>
          </w:tcPr>
          <w:p w14:paraId="56D5773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w:t>
            </w:r>
          </w:p>
        </w:tc>
        <w:tc>
          <w:tcPr>
            <w:tcW w:w="0" w:type="auto"/>
            <w:noWrap/>
            <w:hideMark/>
          </w:tcPr>
          <w:p w14:paraId="564A63C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115.53</w:t>
            </w:r>
          </w:p>
        </w:tc>
        <w:tc>
          <w:tcPr>
            <w:tcW w:w="0" w:type="auto"/>
            <w:noWrap/>
            <w:hideMark/>
          </w:tcPr>
          <w:p w14:paraId="7EE3708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1,854</w:t>
            </w:r>
          </w:p>
        </w:tc>
        <w:tc>
          <w:tcPr>
            <w:tcW w:w="0" w:type="auto"/>
            <w:noWrap/>
            <w:hideMark/>
          </w:tcPr>
          <w:p w14:paraId="76601E8A"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1,839</w:t>
            </w:r>
          </w:p>
        </w:tc>
        <w:tc>
          <w:tcPr>
            <w:tcW w:w="0" w:type="auto"/>
            <w:noWrap/>
            <w:hideMark/>
          </w:tcPr>
          <w:p w14:paraId="608082F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-0.8%</w:t>
            </w:r>
          </w:p>
        </w:tc>
        <w:tc>
          <w:tcPr>
            <w:tcW w:w="0" w:type="auto"/>
            <w:noWrap/>
            <w:hideMark/>
          </w:tcPr>
          <w:p w14:paraId="3D2C96FE"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14.1</w:t>
            </w:r>
          </w:p>
        </w:tc>
        <w:tc>
          <w:tcPr>
            <w:tcW w:w="0" w:type="auto"/>
            <w:noWrap/>
            <w:hideMark/>
          </w:tcPr>
          <w:p w14:paraId="72A96BA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134.2</w:t>
            </w:r>
          </w:p>
        </w:tc>
        <w:tc>
          <w:tcPr>
            <w:tcW w:w="0" w:type="auto"/>
            <w:noWrap/>
            <w:hideMark/>
          </w:tcPr>
          <w:p w14:paraId="68930C2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38.3</w:t>
            </w:r>
          </w:p>
        </w:tc>
        <w:tc>
          <w:tcPr>
            <w:tcW w:w="0" w:type="auto"/>
            <w:noWrap/>
            <w:hideMark/>
          </w:tcPr>
          <w:p w14:paraId="6C45259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7.3</w:t>
            </w:r>
          </w:p>
        </w:tc>
        <w:tc>
          <w:tcPr>
            <w:tcW w:w="0" w:type="auto"/>
            <w:noWrap/>
            <w:hideMark/>
          </w:tcPr>
          <w:p w14:paraId="33BF859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w:t>
            </w:r>
          </w:p>
        </w:tc>
        <w:tc>
          <w:tcPr>
            <w:tcW w:w="0" w:type="auto"/>
            <w:noWrap/>
            <w:hideMark/>
          </w:tcPr>
          <w:p w14:paraId="5573ED9B"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11,243</w:t>
            </w:r>
          </w:p>
        </w:tc>
        <w:tc>
          <w:tcPr>
            <w:tcW w:w="0" w:type="auto"/>
            <w:noWrap/>
            <w:hideMark/>
          </w:tcPr>
          <w:p w14:paraId="5B6F3CA8"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13,708</w:t>
            </w:r>
          </w:p>
        </w:tc>
        <w:tc>
          <w:tcPr>
            <w:tcW w:w="0" w:type="auto"/>
            <w:noWrap/>
            <w:hideMark/>
          </w:tcPr>
          <w:p w14:paraId="5576E1B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21.9%</w:t>
            </w:r>
          </w:p>
        </w:tc>
        <w:tc>
          <w:tcPr>
            <w:tcW w:w="0" w:type="auto"/>
            <w:noWrap/>
            <w:hideMark/>
          </w:tcPr>
          <w:p w14:paraId="4CBDAD14"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176.3</w:t>
            </w:r>
          </w:p>
        </w:tc>
        <w:tc>
          <w:tcPr>
            <w:tcW w:w="0" w:type="auto"/>
            <w:noWrap/>
            <w:hideMark/>
          </w:tcPr>
          <w:p w14:paraId="23A5A751"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9.6%</w:t>
            </w:r>
          </w:p>
        </w:tc>
      </w:tr>
      <w:tr w:rsidR="003B6049" w:rsidRPr="00472DAF" w14:paraId="0E133540" w14:textId="77777777" w:rsidTr="007B0B9C">
        <w:trPr>
          <w:trHeight w:val="289"/>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08F4C2D2" w14:textId="77777777" w:rsidR="00494E93" w:rsidRPr="00472DAF" w:rsidRDefault="00494E93" w:rsidP="00472DAF">
            <w:pPr>
              <w:rPr>
                <w:rFonts w:ascii="Calibri" w:hAnsi="Calibri"/>
                <w:color w:val="000000"/>
                <w:szCs w:val="22"/>
              </w:rPr>
            </w:pPr>
            <w:r w:rsidRPr="00472DAF">
              <w:rPr>
                <w:rFonts w:ascii="Calibri" w:hAnsi="Calibri"/>
                <w:color w:val="000000"/>
                <w:szCs w:val="22"/>
              </w:rPr>
              <w:t>0774</w:t>
            </w:r>
          </w:p>
        </w:tc>
        <w:tc>
          <w:tcPr>
            <w:tcW w:w="0" w:type="auto"/>
            <w:shd w:val="clear" w:color="auto" w:fill="D9D9D9" w:themeFill="background1" w:themeFillShade="D9"/>
            <w:noWrap/>
            <w:hideMark/>
          </w:tcPr>
          <w:p w14:paraId="30E2B0EE" w14:textId="77777777" w:rsidR="00494E93" w:rsidRPr="00472DAF" w:rsidRDefault="00494E93" w:rsidP="00CB7D25">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Up-Island Regional</w:t>
            </w:r>
          </w:p>
        </w:tc>
        <w:tc>
          <w:tcPr>
            <w:tcW w:w="0" w:type="auto"/>
            <w:shd w:val="clear" w:color="auto" w:fill="D9D9D9" w:themeFill="background1" w:themeFillShade="D9"/>
            <w:noWrap/>
            <w:hideMark/>
          </w:tcPr>
          <w:p w14:paraId="03AA6E9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w:t>
            </w:r>
          </w:p>
        </w:tc>
        <w:tc>
          <w:tcPr>
            <w:tcW w:w="0" w:type="auto"/>
            <w:shd w:val="clear" w:color="auto" w:fill="D9D9D9" w:themeFill="background1" w:themeFillShade="D9"/>
            <w:noWrap/>
            <w:hideMark/>
          </w:tcPr>
          <w:p w14:paraId="3C620979"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w:t>
            </w:r>
          </w:p>
        </w:tc>
        <w:tc>
          <w:tcPr>
            <w:tcW w:w="0" w:type="auto"/>
            <w:shd w:val="clear" w:color="auto" w:fill="D9D9D9" w:themeFill="background1" w:themeFillShade="D9"/>
            <w:noWrap/>
            <w:hideMark/>
          </w:tcPr>
          <w:p w14:paraId="181246A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49.4</w:t>
            </w:r>
          </w:p>
        </w:tc>
        <w:tc>
          <w:tcPr>
            <w:tcW w:w="0" w:type="auto"/>
            <w:shd w:val="clear" w:color="auto" w:fill="D9D9D9" w:themeFill="background1" w:themeFillShade="D9"/>
            <w:noWrap/>
            <w:hideMark/>
          </w:tcPr>
          <w:p w14:paraId="102CD9B2"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329</w:t>
            </w:r>
          </w:p>
        </w:tc>
        <w:tc>
          <w:tcPr>
            <w:tcW w:w="0" w:type="auto"/>
            <w:shd w:val="clear" w:color="auto" w:fill="D9D9D9" w:themeFill="background1" w:themeFillShade="D9"/>
            <w:noWrap/>
            <w:hideMark/>
          </w:tcPr>
          <w:p w14:paraId="23A84C85"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393</w:t>
            </w:r>
          </w:p>
        </w:tc>
        <w:tc>
          <w:tcPr>
            <w:tcW w:w="0" w:type="auto"/>
            <w:shd w:val="clear" w:color="auto" w:fill="D9D9D9" w:themeFill="background1" w:themeFillShade="D9"/>
            <w:noWrap/>
            <w:hideMark/>
          </w:tcPr>
          <w:p w14:paraId="0A8C4F6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19.5%</w:t>
            </w:r>
          </w:p>
        </w:tc>
        <w:tc>
          <w:tcPr>
            <w:tcW w:w="0" w:type="auto"/>
            <w:shd w:val="clear" w:color="auto" w:fill="D9D9D9" w:themeFill="background1" w:themeFillShade="D9"/>
            <w:noWrap/>
            <w:hideMark/>
          </w:tcPr>
          <w:p w14:paraId="43CEE80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7.9</w:t>
            </w:r>
          </w:p>
        </w:tc>
        <w:tc>
          <w:tcPr>
            <w:tcW w:w="0" w:type="auto"/>
            <w:shd w:val="clear" w:color="auto" w:fill="D9D9D9" w:themeFill="background1" w:themeFillShade="D9"/>
            <w:noWrap/>
            <w:hideMark/>
          </w:tcPr>
          <w:p w14:paraId="73A82490"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44.7</w:t>
            </w:r>
          </w:p>
        </w:tc>
        <w:tc>
          <w:tcPr>
            <w:tcW w:w="0" w:type="auto"/>
            <w:shd w:val="clear" w:color="auto" w:fill="D9D9D9" w:themeFill="background1" w:themeFillShade="D9"/>
            <w:noWrap/>
            <w:hideMark/>
          </w:tcPr>
          <w:p w14:paraId="148FA838"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31.5</w:t>
            </w:r>
          </w:p>
        </w:tc>
        <w:tc>
          <w:tcPr>
            <w:tcW w:w="0" w:type="auto"/>
            <w:shd w:val="clear" w:color="auto" w:fill="D9D9D9" w:themeFill="background1" w:themeFillShade="D9"/>
            <w:noWrap/>
            <w:hideMark/>
          </w:tcPr>
          <w:p w14:paraId="66352237"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11.4</w:t>
            </w:r>
          </w:p>
        </w:tc>
        <w:tc>
          <w:tcPr>
            <w:tcW w:w="0" w:type="auto"/>
            <w:shd w:val="clear" w:color="auto" w:fill="D9D9D9" w:themeFill="background1" w:themeFillShade="D9"/>
            <w:noWrap/>
            <w:hideMark/>
          </w:tcPr>
          <w:p w14:paraId="1F6E88D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8.0</w:t>
            </w:r>
          </w:p>
        </w:tc>
        <w:tc>
          <w:tcPr>
            <w:tcW w:w="0" w:type="auto"/>
            <w:shd w:val="clear" w:color="auto" w:fill="D9D9D9" w:themeFill="background1" w:themeFillShade="D9"/>
            <w:noWrap/>
            <w:hideMark/>
          </w:tcPr>
          <w:p w14:paraId="6E83CF4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22,388</w:t>
            </w:r>
          </w:p>
        </w:tc>
        <w:tc>
          <w:tcPr>
            <w:tcW w:w="0" w:type="auto"/>
            <w:shd w:val="clear" w:color="auto" w:fill="D9D9D9" w:themeFill="background1" w:themeFillShade="D9"/>
            <w:noWrap/>
            <w:hideMark/>
          </w:tcPr>
          <w:p w14:paraId="51B2F131" w14:textId="77777777" w:rsidR="00494E93" w:rsidRPr="00472DAF" w:rsidRDefault="00494E93" w:rsidP="00701B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27,440</w:t>
            </w:r>
          </w:p>
        </w:tc>
        <w:tc>
          <w:tcPr>
            <w:tcW w:w="0" w:type="auto"/>
            <w:shd w:val="clear" w:color="auto" w:fill="D9D9D9" w:themeFill="background1" w:themeFillShade="D9"/>
            <w:noWrap/>
            <w:hideMark/>
          </w:tcPr>
          <w:p w14:paraId="58DBB2F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22.6%</w:t>
            </w:r>
          </w:p>
        </w:tc>
        <w:tc>
          <w:tcPr>
            <w:tcW w:w="0" w:type="auto"/>
            <w:shd w:val="clear" w:color="auto" w:fill="D9D9D9" w:themeFill="background1" w:themeFillShade="D9"/>
            <w:noWrap/>
            <w:hideMark/>
          </w:tcPr>
          <w:p w14:paraId="7F6CFF6C"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55.8</w:t>
            </w:r>
          </w:p>
        </w:tc>
        <w:tc>
          <w:tcPr>
            <w:tcW w:w="0" w:type="auto"/>
            <w:shd w:val="clear" w:color="auto" w:fill="D9D9D9" w:themeFill="background1" w:themeFillShade="D9"/>
            <w:noWrap/>
            <w:hideMark/>
          </w:tcPr>
          <w:p w14:paraId="138FC8B3" w14:textId="77777777" w:rsidR="00494E93" w:rsidRPr="00472DAF" w:rsidRDefault="00494E93" w:rsidP="00472DA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472DAF">
              <w:rPr>
                <w:rFonts w:ascii="Calibri" w:hAnsi="Calibri"/>
                <w:color w:val="000000"/>
                <w:szCs w:val="22"/>
              </w:rPr>
              <w:t>14.2%</w:t>
            </w:r>
          </w:p>
        </w:tc>
      </w:tr>
    </w:tbl>
    <w:p w14:paraId="11EE90E6" w14:textId="77777777" w:rsidR="00FD2C86" w:rsidRDefault="00FD2C86"/>
    <w:p w14:paraId="08398753" w14:textId="77777777" w:rsidR="00AA2AF8" w:rsidRPr="002C2113" w:rsidRDefault="00AA2AF8" w:rsidP="002C2113"/>
    <w:sectPr w:rsidR="00AA2AF8" w:rsidRPr="002C2113" w:rsidSect="00472DAF">
      <w:footerReference w:type="default" r:id="rId30"/>
      <w:pgSz w:w="24480" w:h="15840" w:orient="landscape" w:code="3"/>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606C" w14:textId="77777777" w:rsidR="00F8156A" w:rsidRDefault="00F8156A" w:rsidP="00FD2C86">
      <w:r>
        <w:separator/>
      </w:r>
    </w:p>
  </w:endnote>
  <w:endnote w:type="continuationSeparator" w:id="0">
    <w:p w14:paraId="6E9F8BA3" w14:textId="77777777" w:rsidR="00F8156A" w:rsidRDefault="00F8156A"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4456" w14:textId="77777777" w:rsidR="00546E3F" w:rsidRDefault="00546E3F" w:rsidP="009E18B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0FAE" w14:textId="77777777" w:rsidR="00546E3F" w:rsidRDefault="00546E3F" w:rsidP="009E18BE">
    <w:pPr>
      <w:pStyle w:val="Footer"/>
    </w:pPr>
    <w:r>
      <w:tab/>
    </w:r>
    <w:r>
      <w:tab/>
    </w:r>
    <w:r>
      <w:tab/>
    </w:r>
    <w:r>
      <w:tab/>
    </w:r>
    <w:r>
      <w:tab/>
    </w:r>
    <w:r>
      <w:fldChar w:fldCharType="begin"/>
    </w:r>
    <w:r>
      <w:instrText xml:space="preserve"> PAGE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472A" w14:textId="77777777" w:rsidR="00546E3F" w:rsidRDefault="00546E3F" w:rsidP="009E18BE">
    <w:pPr>
      <w:pStyle w:val="Footer"/>
    </w:pPr>
    <w:r>
      <w:tab/>
    </w:r>
    <w:r>
      <w:fldChar w:fldCharType="begin"/>
    </w:r>
    <w:r>
      <w:instrText xml:space="preserve"> PAGE   \* MERGEFORMAT </w:instrText>
    </w:r>
    <w:r>
      <w:fldChar w:fldCharType="separate"/>
    </w:r>
    <w:r>
      <w:rPr>
        <w:noProof/>
      </w:rPr>
      <w:t>21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011C1" w14:textId="77777777" w:rsidR="00546E3F" w:rsidRDefault="00546E3F" w:rsidP="009E18BE">
    <w:pPr>
      <w:pStyle w:val="Footer"/>
    </w:pPr>
    <w:r>
      <w:tab/>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7691" w14:textId="77777777" w:rsidR="00F8156A" w:rsidRDefault="00F8156A" w:rsidP="00FD2C86">
      <w:r>
        <w:separator/>
      </w:r>
    </w:p>
  </w:footnote>
  <w:footnote w:type="continuationSeparator" w:id="0">
    <w:p w14:paraId="6CD5E8AB" w14:textId="77777777" w:rsidR="00F8156A" w:rsidRDefault="00F8156A" w:rsidP="00FD2C86">
      <w:r>
        <w:continuationSeparator/>
      </w:r>
    </w:p>
  </w:footnote>
  <w:footnote w:id="1">
    <w:p w14:paraId="6BFAECB3" w14:textId="77777777" w:rsidR="00546E3F" w:rsidRDefault="00546E3F" w:rsidP="008F7A5E">
      <w:pPr>
        <w:pStyle w:val="FootnoteText"/>
        <w:tabs>
          <w:tab w:val="left" w:pos="180"/>
        </w:tabs>
        <w:ind w:left="180" w:hanging="180"/>
      </w:pPr>
      <w:r>
        <w:rPr>
          <w:rStyle w:val="FootnoteReference"/>
        </w:rPr>
        <w:footnoteRef/>
      </w:r>
      <w:r>
        <w:t xml:space="preserve"> </w:t>
      </w:r>
      <w:r>
        <w:tab/>
        <w:t xml:space="preserve">Massachusetts Office of the State Auditor. 2018. </w:t>
      </w:r>
      <w:r w:rsidRPr="00E25D7F">
        <w:rPr>
          <w:i/>
        </w:rPr>
        <w:t>Supporting Student and Community Success: Updating the Structure and Finance of Massachusetts Regional School Districts</w:t>
      </w:r>
      <w:r>
        <w:t>.</w:t>
      </w:r>
    </w:p>
  </w:footnote>
  <w:footnote w:id="2">
    <w:p w14:paraId="14577156" w14:textId="77777777" w:rsidR="00546E3F" w:rsidRDefault="00546E3F" w:rsidP="000B0142">
      <w:pPr>
        <w:pStyle w:val="FootnoteText"/>
        <w:tabs>
          <w:tab w:val="left" w:pos="180"/>
        </w:tabs>
        <w:ind w:left="180" w:hanging="180"/>
      </w:pPr>
      <w:r>
        <w:rPr>
          <w:rStyle w:val="FootnoteReference"/>
        </w:rPr>
        <w:footnoteRef/>
      </w:r>
      <w:r>
        <w:t xml:space="preserve"> </w:t>
      </w:r>
      <w:r>
        <w:tab/>
        <w:t xml:space="preserve">This is the same student density threshold that the Department used in its 2002 study: </w:t>
      </w:r>
      <w:r w:rsidRPr="00843E35">
        <w:rPr>
          <w:i/>
        </w:rPr>
        <w:t>How Accurately Does the Foundation Budget Reflect Spending and Staffing Levels in Rural Regional School Districts?</w:t>
      </w:r>
    </w:p>
  </w:footnote>
  <w:footnote w:id="3">
    <w:p w14:paraId="79A3AFB4" w14:textId="77777777" w:rsidR="00546E3F" w:rsidRDefault="00546E3F" w:rsidP="00D44AB9">
      <w:pPr>
        <w:pStyle w:val="FootnoteText"/>
        <w:tabs>
          <w:tab w:val="left" w:pos="180"/>
        </w:tabs>
        <w:ind w:left="180" w:hanging="180"/>
      </w:pPr>
      <w:r>
        <w:rPr>
          <w:rStyle w:val="FootnoteReference"/>
        </w:rPr>
        <w:footnoteRef/>
      </w:r>
      <w:r>
        <w:t xml:space="preserve"> </w:t>
      </w:r>
      <w:r>
        <w:tab/>
      </w:r>
      <w:r w:rsidRPr="00D44AB9">
        <w:t xml:space="preserve">In 2006–07, NCES introduced new Urban-Centric Locale Codes that designate schools and districts based on their relationship to an Urbanized Area, </w:t>
      </w:r>
      <w:hyperlink r:id="rId1" w:history="1">
        <w:r w:rsidRPr="00CB04C1">
          <w:rPr>
            <w:rStyle w:val="Hyperlink"/>
          </w:rPr>
          <w:t>https://nces.ed.gov/pubs2007/ruraled/exhibit_a.asp</w:t>
        </w:r>
      </w:hyperlink>
      <w:r w:rsidRPr="00D44AB9">
        <w:t>. Town schools are located in Urban Clusters (population 2,500 to 50,000) and defined as Fringe, Distant, or Remote, based on their distance from an Urbanized Area. Rural schools are in census-defined rural territory and defined as Fringe, Distant, or Remote, based on their distance from both Urbanized Areas and Urbanized Clusters.</w:t>
      </w:r>
    </w:p>
  </w:footnote>
  <w:footnote w:id="4">
    <w:p w14:paraId="179886D4" w14:textId="77777777" w:rsidR="00546E3F" w:rsidRDefault="00546E3F" w:rsidP="00E25025">
      <w:pPr>
        <w:pStyle w:val="FootnoteText"/>
        <w:tabs>
          <w:tab w:val="left" w:pos="180"/>
        </w:tabs>
        <w:ind w:left="180" w:hanging="180"/>
      </w:pPr>
      <w:r>
        <w:rPr>
          <w:rStyle w:val="FootnoteReference"/>
        </w:rPr>
        <w:footnoteRef/>
      </w:r>
      <w:r>
        <w:t xml:space="preserve"> </w:t>
      </w:r>
      <w:r>
        <w:tab/>
        <w:t>Worthington left Gateway in fiscal year 2016 to become a municipal elementary district, which contributed to some of this enrollment decline.</w:t>
      </w:r>
    </w:p>
  </w:footnote>
  <w:footnote w:id="5">
    <w:p w14:paraId="51791EFF" w14:textId="77777777" w:rsidR="00546E3F" w:rsidRDefault="00546E3F" w:rsidP="007B0B9C">
      <w:pPr>
        <w:pStyle w:val="FootnoteText"/>
        <w:tabs>
          <w:tab w:val="left" w:pos="180"/>
        </w:tabs>
        <w:ind w:left="180" w:hanging="180"/>
      </w:pPr>
      <w:r>
        <w:rPr>
          <w:rStyle w:val="FootnoteReference"/>
        </w:rPr>
        <w:footnoteRef/>
      </w:r>
      <w:r>
        <w:t xml:space="preserve"> </w:t>
      </w:r>
      <w:r>
        <w:tab/>
        <w:t xml:space="preserve">Based on fiscal year 2016 salary levels. </w:t>
      </w:r>
    </w:p>
  </w:footnote>
  <w:footnote w:id="6">
    <w:p w14:paraId="2EA70E61" w14:textId="77777777" w:rsidR="00546E3F" w:rsidRDefault="00546E3F" w:rsidP="00041BC2">
      <w:pPr>
        <w:pStyle w:val="FootnoteText"/>
      </w:pPr>
      <w:r>
        <w:rPr>
          <w:rStyle w:val="FootnoteReference"/>
        </w:rPr>
        <w:footnoteRef/>
      </w:r>
      <w:r>
        <w:t xml:space="preserve"> The Massachusetts foundation budget, </w:t>
      </w:r>
      <w:hyperlink r:id="rId2" w:history="1">
        <w:r w:rsidRPr="00471DA9">
          <w:rPr>
            <w:rStyle w:val="Hyperlink"/>
          </w:rPr>
          <w:t>http://www.doe.mass.edu/finance/chapter70/chapter-cal.pdf</w:t>
        </w:r>
      </w:hyperlink>
      <w:r>
        <w:t xml:space="preserve"> </w:t>
      </w:r>
    </w:p>
  </w:footnote>
  <w:footnote w:id="7">
    <w:p w14:paraId="59DF6EBC" w14:textId="77777777" w:rsidR="00546E3F" w:rsidRDefault="00546E3F" w:rsidP="00E25D7F">
      <w:pPr>
        <w:pStyle w:val="FootnoteText"/>
        <w:tabs>
          <w:tab w:val="left" w:pos="180"/>
        </w:tabs>
        <w:ind w:left="180" w:hanging="180"/>
      </w:pPr>
      <w:r>
        <w:rPr>
          <w:rStyle w:val="FootnoteReference"/>
        </w:rPr>
        <w:footnoteRef/>
      </w:r>
      <w:r>
        <w:t xml:space="preserve"> </w:t>
      </w:r>
      <w:r>
        <w:tab/>
        <w:t>Fifty-seven (57) of these students choice between districts that share a superintendent at a total cost of $342,000.</w:t>
      </w:r>
    </w:p>
  </w:footnote>
  <w:footnote w:id="8">
    <w:p w14:paraId="6BA817C8" w14:textId="77777777" w:rsidR="00546E3F" w:rsidRDefault="00546E3F" w:rsidP="00A81589">
      <w:pPr>
        <w:pStyle w:val="FootnoteText"/>
        <w:tabs>
          <w:tab w:val="left" w:pos="180"/>
        </w:tabs>
        <w:ind w:left="180" w:hanging="180"/>
      </w:pPr>
      <w:r>
        <w:rPr>
          <w:rStyle w:val="FootnoteReference"/>
        </w:rPr>
        <w:footnoteRef/>
      </w:r>
      <w:r>
        <w:t xml:space="preserve"> </w:t>
      </w:r>
      <w:r>
        <w:tab/>
      </w:r>
      <w:r w:rsidRPr="00626DFC">
        <w:t>Final Report of the Foundation Budget Review Commission</w:t>
      </w:r>
      <w:r>
        <w:t xml:space="preserve">, </w:t>
      </w:r>
      <w:hyperlink r:id="rId3" w:history="1">
        <w:r w:rsidRPr="00074E8F">
          <w:rPr>
            <w:rStyle w:val="Hyperlink"/>
          </w:rPr>
          <w:t>http://www.doe.mass.edu/finance/chapter70/FBRC-Report.pdf</w:t>
        </w:r>
      </w:hyperlink>
      <w:r>
        <w:t xml:space="preserve"> </w:t>
      </w:r>
    </w:p>
  </w:footnote>
  <w:footnote w:id="9">
    <w:p w14:paraId="2AA54CAB" w14:textId="77777777" w:rsidR="00546E3F" w:rsidRDefault="00546E3F" w:rsidP="00EC32BF">
      <w:pPr>
        <w:pStyle w:val="FootnoteText"/>
        <w:tabs>
          <w:tab w:val="left" w:pos="180"/>
        </w:tabs>
        <w:ind w:left="180" w:hanging="180"/>
      </w:pPr>
      <w:r>
        <w:rPr>
          <w:rStyle w:val="FootnoteReference"/>
        </w:rPr>
        <w:footnoteRef/>
      </w:r>
      <w:r>
        <w:t xml:space="preserve"> </w:t>
      </w:r>
      <w:r>
        <w:tab/>
        <w:t xml:space="preserve">Berkshire County Education Task Force. 2017. </w:t>
      </w:r>
      <w:r w:rsidRPr="00F03BF7">
        <w:rPr>
          <w:i/>
        </w:rPr>
        <w:t>Berkshire County Education Task Force Planning Study, Phase Two Report: Scenarios Developed, Described, and Modeled</w:t>
      </w:r>
      <w:r>
        <w:t>.</w:t>
      </w:r>
      <w:hyperlink r:id="rId4" w:history="1">
        <w:r w:rsidRPr="00164C0E">
          <w:rPr>
            <w:rStyle w:val="Hyperlink"/>
          </w:rPr>
          <w:t>http://0104.nccdn.net/1_5/183/03c/233/7.18.17-BCETF-Phase-II-Final-Report.pdf</w:t>
        </w:r>
      </w:hyperlink>
      <w:r>
        <w:t>.</w:t>
      </w:r>
    </w:p>
  </w:footnote>
  <w:footnote w:id="10">
    <w:p w14:paraId="227AFD16" w14:textId="77777777" w:rsidR="00546E3F" w:rsidRDefault="00546E3F" w:rsidP="0033057D">
      <w:pPr>
        <w:pStyle w:val="FootnoteText"/>
        <w:tabs>
          <w:tab w:val="left" w:pos="180"/>
        </w:tabs>
        <w:ind w:left="180" w:hanging="180"/>
      </w:pPr>
      <w:r>
        <w:rPr>
          <w:rStyle w:val="FootnoteReference"/>
        </w:rPr>
        <w:footnoteRef/>
      </w:r>
      <w:r>
        <w:t xml:space="preserve"> See </w:t>
      </w:r>
      <w:hyperlink r:id="rId5" w:history="1">
        <w:r w:rsidRPr="0033057D">
          <w:rPr>
            <w:rStyle w:val="Hyperlink"/>
          </w:rPr>
          <w:t>http://www.doe.mass.edu/finance/regional/</w:t>
        </w:r>
      </w:hyperlink>
      <w:r>
        <w:t xml:space="preserve"> for more information.</w:t>
      </w:r>
    </w:p>
  </w:footnote>
  <w:footnote w:id="11">
    <w:p w14:paraId="634BFAF9" w14:textId="77777777" w:rsidR="00546E3F" w:rsidRDefault="00546E3F" w:rsidP="009E18BE">
      <w:pPr>
        <w:pStyle w:val="FootnoteText"/>
        <w:tabs>
          <w:tab w:val="left" w:pos="180"/>
        </w:tabs>
        <w:ind w:left="180" w:hanging="180"/>
      </w:pPr>
      <w:r>
        <w:rPr>
          <w:rStyle w:val="FootnoteReference"/>
        </w:rPr>
        <w:footnoteRef/>
      </w:r>
      <w:r>
        <w:t xml:space="preserve"> </w:t>
      </w:r>
      <w:r w:rsidRPr="00466627">
        <w:t>FY17 Efficiency and Regionalization grant recipients</w:t>
      </w:r>
      <w:r>
        <w:t xml:space="preserve">, </w:t>
      </w:r>
      <w:hyperlink r:id="rId6" w:history="1">
        <w:r w:rsidRPr="00C47788">
          <w:rPr>
            <w:rStyle w:val="Hyperlink"/>
          </w:rPr>
          <w:t>https://www.mass.gov/service-details/fy17-efficiency-and-regionalization-grant-recipients</w:t>
        </w:r>
      </w:hyperlink>
      <w:r>
        <w:t xml:space="preserve"> </w:t>
      </w:r>
    </w:p>
  </w:footnote>
  <w:footnote w:id="12">
    <w:p w14:paraId="74E81552" w14:textId="77777777" w:rsidR="00546E3F" w:rsidRDefault="00546E3F" w:rsidP="00CA785D">
      <w:pPr>
        <w:pStyle w:val="FootnoteText"/>
        <w:tabs>
          <w:tab w:val="left" w:pos="180"/>
        </w:tabs>
        <w:ind w:left="180" w:hanging="180"/>
      </w:pPr>
      <w:r>
        <w:rPr>
          <w:rStyle w:val="FootnoteReference"/>
        </w:rPr>
        <w:footnoteRef/>
      </w:r>
      <w:r>
        <w:t xml:space="preserve"> Regional bonus aid is provided in the state budget under account 7061-9810.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30E75D9A"/>
    <w:multiLevelType w:val="hybridMultilevel"/>
    <w:tmpl w:val="52A298BE"/>
    <w:lvl w:ilvl="0" w:tplc="2F8803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C1261D"/>
    <w:multiLevelType w:val="hybridMultilevel"/>
    <w:tmpl w:val="9B5E0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D03250E"/>
    <w:multiLevelType w:val="hybridMultilevel"/>
    <w:tmpl w:val="68F874EC"/>
    <w:lvl w:ilvl="0" w:tplc="2F8803CE">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5D131F9"/>
    <w:multiLevelType w:val="hybridMultilevel"/>
    <w:tmpl w:val="8F74C13C"/>
    <w:lvl w:ilvl="0" w:tplc="BE122C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3"/>
  </w:num>
  <w:num w:numId="6">
    <w:abstractNumId w:val="7"/>
  </w:num>
  <w:num w:numId="7">
    <w:abstractNumId w:val="2"/>
  </w:num>
  <w:num w:numId="8">
    <w:abstractNumId w:val="9"/>
  </w:num>
  <w:num w:numId="9">
    <w:abstractNumId w:val="1"/>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6"/>
    <w:rsid w:val="00000E76"/>
    <w:rsid w:val="00007780"/>
    <w:rsid w:val="000165D1"/>
    <w:rsid w:val="00021950"/>
    <w:rsid w:val="00023473"/>
    <w:rsid w:val="0003059B"/>
    <w:rsid w:val="000312E3"/>
    <w:rsid w:val="00041433"/>
    <w:rsid w:val="00041BC2"/>
    <w:rsid w:val="00050211"/>
    <w:rsid w:val="000506EE"/>
    <w:rsid w:val="0005308E"/>
    <w:rsid w:val="00061C7D"/>
    <w:rsid w:val="00064821"/>
    <w:rsid w:val="000711BA"/>
    <w:rsid w:val="00071324"/>
    <w:rsid w:val="00076BD2"/>
    <w:rsid w:val="00082564"/>
    <w:rsid w:val="00086B36"/>
    <w:rsid w:val="00086C42"/>
    <w:rsid w:val="00091A5F"/>
    <w:rsid w:val="0009241F"/>
    <w:rsid w:val="00092A27"/>
    <w:rsid w:val="000A7F57"/>
    <w:rsid w:val="000B0142"/>
    <w:rsid w:val="000B1D73"/>
    <w:rsid w:val="000C1CC6"/>
    <w:rsid w:val="000C3B85"/>
    <w:rsid w:val="000C5AF1"/>
    <w:rsid w:val="000C5E69"/>
    <w:rsid w:val="000D0E81"/>
    <w:rsid w:val="000D1FA5"/>
    <w:rsid w:val="000E4DA1"/>
    <w:rsid w:val="000E5031"/>
    <w:rsid w:val="000F1277"/>
    <w:rsid w:val="000F44D8"/>
    <w:rsid w:val="000F6F74"/>
    <w:rsid w:val="00100600"/>
    <w:rsid w:val="001042D1"/>
    <w:rsid w:val="00104B92"/>
    <w:rsid w:val="00110DDC"/>
    <w:rsid w:val="00111153"/>
    <w:rsid w:val="00112CE2"/>
    <w:rsid w:val="00114A93"/>
    <w:rsid w:val="0011775C"/>
    <w:rsid w:val="00127B7E"/>
    <w:rsid w:val="0014102A"/>
    <w:rsid w:val="0014403B"/>
    <w:rsid w:val="00144CB4"/>
    <w:rsid w:val="00145DE6"/>
    <w:rsid w:val="00147F76"/>
    <w:rsid w:val="00150381"/>
    <w:rsid w:val="00152CC8"/>
    <w:rsid w:val="00161A3F"/>
    <w:rsid w:val="00163DC1"/>
    <w:rsid w:val="0017022D"/>
    <w:rsid w:val="0017686A"/>
    <w:rsid w:val="00176ABE"/>
    <w:rsid w:val="0018376B"/>
    <w:rsid w:val="00184ACF"/>
    <w:rsid w:val="0018711F"/>
    <w:rsid w:val="00187F54"/>
    <w:rsid w:val="001A028D"/>
    <w:rsid w:val="001A1C4D"/>
    <w:rsid w:val="001A62F3"/>
    <w:rsid w:val="001A6C07"/>
    <w:rsid w:val="001B0849"/>
    <w:rsid w:val="001B1067"/>
    <w:rsid w:val="001B25AC"/>
    <w:rsid w:val="001B644C"/>
    <w:rsid w:val="001C1CF3"/>
    <w:rsid w:val="001C1E0E"/>
    <w:rsid w:val="001C687E"/>
    <w:rsid w:val="001C6EBF"/>
    <w:rsid w:val="001E0130"/>
    <w:rsid w:val="001E220B"/>
    <w:rsid w:val="001E3CA5"/>
    <w:rsid w:val="001F6F52"/>
    <w:rsid w:val="00201FDD"/>
    <w:rsid w:val="002034A0"/>
    <w:rsid w:val="002035B6"/>
    <w:rsid w:val="002040C8"/>
    <w:rsid w:val="00205068"/>
    <w:rsid w:val="0020780F"/>
    <w:rsid w:val="00207A03"/>
    <w:rsid w:val="00210DD7"/>
    <w:rsid w:val="0021262E"/>
    <w:rsid w:val="002139D8"/>
    <w:rsid w:val="00214DFE"/>
    <w:rsid w:val="0022014B"/>
    <w:rsid w:val="00220F82"/>
    <w:rsid w:val="00226764"/>
    <w:rsid w:val="002405C3"/>
    <w:rsid w:val="002447E6"/>
    <w:rsid w:val="0024666B"/>
    <w:rsid w:val="00247105"/>
    <w:rsid w:val="002539BF"/>
    <w:rsid w:val="00255288"/>
    <w:rsid w:val="002613A4"/>
    <w:rsid w:val="002625B1"/>
    <w:rsid w:val="0026419F"/>
    <w:rsid w:val="00265B54"/>
    <w:rsid w:val="00267031"/>
    <w:rsid w:val="00271731"/>
    <w:rsid w:val="00272C35"/>
    <w:rsid w:val="00273112"/>
    <w:rsid w:val="00274356"/>
    <w:rsid w:val="00274642"/>
    <w:rsid w:val="00274A58"/>
    <w:rsid w:val="00276835"/>
    <w:rsid w:val="002831F6"/>
    <w:rsid w:val="002879F1"/>
    <w:rsid w:val="00290842"/>
    <w:rsid w:val="002936F2"/>
    <w:rsid w:val="00293C7B"/>
    <w:rsid w:val="00294322"/>
    <w:rsid w:val="00294DFB"/>
    <w:rsid w:val="00295853"/>
    <w:rsid w:val="002A0131"/>
    <w:rsid w:val="002A247C"/>
    <w:rsid w:val="002B230E"/>
    <w:rsid w:val="002B5929"/>
    <w:rsid w:val="002C11A8"/>
    <w:rsid w:val="002C120B"/>
    <w:rsid w:val="002C2113"/>
    <w:rsid w:val="002D15D9"/>
    <w:rsid w:val="002D1F95"/>
    <w:rsid w:val="002D411F"/>
    <w:rsid w:val="002D57C9"/>
    <w:rsid w:val="002D750F"/>
    <w:rsid w:val="002E27B0"/>
    <w:rsid w:val="002E5659"/>
    <w:rsid w:val="002E5BEA"/>
    <w:rsid w:val="002E7369"/>
    <w:rsid w:val="002F3158"/>
    <w:rsid w:val="002F4EE2"/>
    <w:rsid w:val="00313DEF"/>
    <w:rsid w:val="003151B0"/>
    <w:rsid w:val="003151D1"/>
    <w:rsid w:val="00315525"/>
    <w:rsid w:val="00316D3C"/>
    <w:rsid w:val="0032033D"/>
    <w:rsid w:val="00324E05"/>
    <w:rsid w:val="003252F9"/>
    <w:rsid w:val="0033057D"/>
    <w:rsid w:val="00333FAC"/>
    <w:rsid w:val="00340C46"/>
    <w:rsid w:val="00342F47"/>
    <w:rsid w:val="00345DE2"/>
    <w:rsid w:val="00346624"/>
    <w:rsid w:val="00356177"/>
    <w:rsid w:val="0036067E"/>
    <w:rsid w:val="0038455C"/>
    <w:rsid w:val="00390FF0"/>
    <w:rsid w:val="003A468D"/>
    <w:rsid w:val="003B1D70"/>
    <w:rsid w:val="003B4D15"/>
    <w:rsid w:val="003B6049"/>
    <w:rsid w:val="003C3673"/>
    <w:rsid w:val="003C4405"/>
    <w:rsid w:val="003D0635"/>
    <w:rsid w:val="003D40D2"/>
    <w:rsid w:val="003E01D3"/>
    <w:rsid w:val="003E243E"/>
    <w:rsid w:val="003E5D14"/>
    <w:rsid w:val="003E6EFC"/>
    <w:rsid w:val="003F3636"/>
    <w:rsid w:val="003F4AED"/>
    <w:rsid w:val="00400D29"/>
    <w:rsid w:val="00404B47"/>
    <w:rsid w:val="0040502E"/>
    <w:rsid w:val="00411701"/>
    <w:rsid w:val="00416B21"/>
    <w:rsid w:val="00421CEA"/>
    <w:rsid w:val="0042672D"/>
    <w:rsid w:val="00426D86"/>
    <w:rsid w:val="00430DC6"/>
    <w:rsid w:val="00435B25"/>
    <w:rsid w:val="004375BE"/>
    <w:rsid w:val="00437D88"/>
    <w:rsid w:val="00440BAB"/>
    <w:rsid w:val="00441F51"/>
    <w:rsid w:val="004434F6"/>
    <w:rsid w:val="00445275"/>
    <w:rsid w:val="0044758D"/>
    <w:rsid w:val="00455024"/>
    <w:rsid w:val="00464491"/>
    <w:rsid w:val="00466627"/>
    <w:rsid w:val="00467254"/>
    <w:rsid w:val="004721F7"/>
    <w:rsid w:val="00472DAF"/>
    <w:rsid w:val="00484A33"/>
    <w:rsid w:val="00484DE7"/>
    <w:rsid w:val="00486AF0"/>
    <w:rsid w:val="00492021"/>
    <w:rsid w:val="00494E93"/>
    <w:rsid w:val="00495B7E"/>
    <w:rsid w:val="004A02A4"/>
    <w:rsid w:val="004B329E"/>
    <w:rsid w:val="004B5E79"/>
    <w:rsid w:val="004C0813"/>
    <w:rsid w:val="004C1FFA"/>
    <w:rsid w:val="004C2AB1"/>
    <w:rsid w:val="004C40CC"/>
    <w:rsid w:val="004C6F9C"/>
    <w:rsid w:val="004D3CD6"/>
    <w:rsid w:val="004D45D4"/>
    <w:rsid w:val="004D54E9"/>
    <w:rsid w:val="004E0CA6"/>
    <w:rsid w:val="004E0EF2"/>
    <w:rsid w:val="004E17F2"/>
    <w:rsid w:val="004E5242"/>
    <w:rsid w:val="004E5D03"/>
    <w:rsid w:val="004F0190"/>
    <w:rsid w:val="004F1C4B"/>
    <w:rsid w:val="004F3FD4"/>
    <w:rsid w:val="00506F13"/>
    <w:rsid w:val="00507A57"/>
    <w:rsid w:val="00511655"/>
    <w:rsid w:val="005122FB"/>
    <w:rsid w:val="005152E7"/>
    <w:rsid w:val="00517558"/>
    <w:rsid w:val="00522BFB"/>
    <w:rsid w:val="00524B0A"/>
    <w:rsid w:val="0053319C"/>
    <w:rsid w:val="00534B3A"/>
    <w:rsid w:val="005350D7"/>
    <w:rsid w:val="0053528A"/>
    <w:rsid w:val="00536578"/>
    <w:rsid w:val="00540B24"/>
    <w:rsid w:val="00543117"/>
    <w:rsid w:val="00543C6D"/>
    <w:rsid w:val="00546E3F"/>
    <w:rsid w:val="00552213"/>
    <w:rsid w:val="0055404B"/>
    <w:rsid w:val="00562482"/>
    <w:rsid w:val="00577D3A"/>
    <w:rsid w:val="00580D79"/>
    <w:rsid w:val="0058307E"/>
    <w:rsid w:val="00587F6A"/>
    <w:rsid w:val="0059445E"/>
    <w:rsid w:val="00595540"/>
    <w:rsid w:val="00597966"/>
    <w:rsid w:val="00597C9E"/>
    <w:rsid w:val="005A0983"/>
    <w:rsid w:val="005A14B4"/>
    <w:rsid w:val="005A257E"/>
    <w:rsid w:val="005A2E87"/>
    <w:rsid w:val="005A31F9"/>
    <w:rsid w:val="005A367D"/>
    <w:rsid w:val="005B469E"/>
    <w:rsid w:val="005B4B63"/>
    <w:rsid w:val="005B6D52"/>
    <w:rsid w:val="005C7CED"/>
    <w:rsid w:val="005D51A0"/>
    <w:rsid w:val="005E6ACA"/>
    <w:rsid w:val="005E7464"/>
    <w:rsid w:val="005F037D"/>
    <w:rsid w:val="005F152D"/>
    <w:rsid w:val="005F17AF"/>
    <w:rsid w:val="005F1897"/>
    <w:rsid w:val="005F309E"/>
    <w:rsid w:val="005F381F"/>
    <w:rsid w:val="005F4DC9"/>
    <w:rsid w:val="00603BD5"/>
    <w:rsid w:val="006040B0"/>
    <w:rsid w:val="00613212"/>
    <w:rsid w:val="00614526"/>
    <w:rsid w:val="00616956"/>
    <w:rsid w:val="0062449F"/>
    <w:rsid w:val="00626520"/>
    <w:rsid w:val="00626DFC"/>
    <w:rsid w:val="00632FD6"/>
    <w:rsid w:val="00636411"/>
    <w:rsid w:val="0064026C"/>
    <w:rsid w:val="006514DB"/>
    <w:rsid w:val="00652AFF"/>
    <w:rsid w:val="006563D0"/>
    <w:rsid w:val="0065736C"/>
    <w:rsid w:val="0066221E"/>
    <w:rsid w:val="00662816"/>
    <w:rsid w:val="0066690F"/>
    <w:rsid w:val="00675B1B"/>
    <w:rsid w:val="0069477A"/>
    <w:rsid w:val="0069558B"/>
    <w:rsid w:val="006A0F91"/>
    <w:rsid w:val="006A19CE"/>
    <w:rsid w:val="006A75D0"/>
    <w:rsid w:val="006B2D1B"/>
    <w:rsid w:val="006B5927"/>
    <w:rsid w:val="006C4BD9"/>
    <w:rsid w:val="006C5786"/>
    <w:rsid w:val="006C5ACA"/>
    <w:rsid w:val="006C6F88"/>
    <w:rsid w:val="006D1B5E"/>
    <w:rsid w:val="006D4492"/>
    <w:rsid w:val="006D7A3D"/>
    <w:rsid w:val="006E3B56"/>
    <w:rsid w:val="006F20A2"/>
    <w:rsid w:val="006F4CF2"/>
    <w:rsid w:val="006F5394"/>
    <w:rsid w:val="006F5FB5"/>
    <w:rsid w:val="006F7E53"/>
    <w:rsid w:val="007012FA"/>
    <w:rsid w:val="00701B66"/>
    <w:rsid w:val="00701D8E"/>
    <w:rsid w:val="00702034"/>
    <w:rsid w:val="007036FE"/>
    <w:rsid w:val="00703FA3"/>
    <w:rsid w:val="00703FE4"/>
    <w:rsid w:val="007043D2"/>
    <w:rsid w:val="007102D5"/>
    <w:rsid w:val="00712E66"/>
    <w:rsid w:val="00713A73"/>
    <w:rsid w:val="007204A2"/>
    <w:rsid w:val="0072071E"/>
    <w:rsid w:val="00725AFE"/>
    <w:rsid w:val="00732276"/>
    <w:rsid w:val="00740C0D"/>
    <w:rsid w:val="00741A9A"/>
    <w:rsid w:val="00741DF2"/>
    <w:rsid w:val="00745E1B"/>
    <w:rsid w:val="00755977"/>
    <w:rsid w:val="007572BC"/>
    <w:rsid w:val="00757FDC"/>
    <w:rsid w:val="00763DDA"/>
    <w:rsid w:val="00765318"/>
    <w:rsid w:val="00770127"/>
    <w:rsid w:val="0077336E"/>
    <w:rsid w:val="007771D5"/>
    <w:rsid w:val="0077761F"/>
    <w:rsid w:val="00784C09"/>
    <w:rsid w:val="00794082"/>
    <w:rsid w:val="007947E2"/>
    <w:rsid w:val="007951BE"/>
    <w:rsid w:val="00795619"/>
    <w:rsid w:val="007B0B9C"/>
    <w:rsid w:val="007B2372"/>
    <w:rsid w:val="007B2407"/>
    <w:rsid w:val="007B40A1"/>
    <w:rsid w:val="007B540D"/>
    <w:rsid w:val="007B723C"/>
    <w:rsid w:val="007C04E3"/>
    <w:rsid w:val="007C141D"/>
    <w:rsid w:val="007C28DC"/>
    <w:rsid w:val="007C3083"/>
    <w:rsid w:val="007C44F3"/>
    <w:rsid w:val="007C7BC4"/>
    <w:rsid w:val="007E296F"/>
    <w:rsid w:val="007E4F1E"/>
    <w:rsid w:val="007E5DF3"/>
    <w:rsid w:val="007E668A"/>
    <w:rsid w:val="007F0855"/>
    <w:rsid w:val="007F329A"/>
    <w:rsid w:val="007F62D3"/>
    <w:rsid w:val="00805D58"/>
    <w:rsid w:val="008133F9"/>
    <w:rsid w:val="00826061"/>
    <w:rsid w:val="00830C06"/>
    <w:rsid w:val="00832115"/>
    <w:rsid w:val="00842952"/>
    <w:rsid w:val="00843E35"/>
    <w:rsid w:val="008467C3"/>
    <w:rsid w:val="00850880"/>
    <w:rsid w:val="00856204"/>
    <w:rsid w:val="0086257A"/>
    <w:rsid w:val="00867D11"/>
    <w:rsid w:val="00870632"/>
    <w:rsid w:val="00871349"/>
    <w:rsid w:val="00871D86"/>
    <w:rsid w:val="00872FD8"/>
    <w:rsid w:val="008734A6"/>
    <w:rsid w:val="00874083"/>
    <w:rsid w:val="008804E7"/>
    <w:rsid w:val="0088258A"/>
    <w:rsid w:val="00884567"/>
    <w:rsid w:val="008879E1"/>
    <w:rsid w:val="008933B5"/>
    <w:rsid w:val="00896B9B"/>
    <w:rsid w:val="008A73FE"/>
    <w:rsid w:val="008A7A3E"/>
    <w:rsid w:val="008B51CA"/>
    <w:rsid w:val="008C2387"/>
    <w:rsid w:val="008C375B"/>
    <w:rsid w:val="008C575C"/>
    <w:rsid w:val="008C65E5"/>
    <w:rsid w:val="008C6A83"/>
    <w:rsid w:val="008D06EE"/>
    <w:rsid w:val="008D529C"/>
    <w:rsid w:val="008D6922"/>
    <w:rsid w:val="008E260F"/>
    <w:rsid w:val="008F3466"/>
    <w:rsid w:val="008F45F6"/>
    <w:rsid w:val="008F62D1"/>
    <w:rsid w:val="008F7A5E"/>
    <w:rsid w:val="0090028B"/>
    <w:rsid w:val="00900BF3"/>
    <w:rsid w:val="00901891"/>
    <w:rsid w:val="00907BC7"/>
    <w:rsid w:val="0091500C"/>
    <w:rsid w:val="009172D3"/>
    <w:rsid w:val="00917329"/>
    <w:rsid w:val="009212B0"/>
    <w:rsid w:val="0092688C"/>
    <w:rsid w:val="009313B2"/>
    <w:rsid w:val="009314B4"/>
    <w:rsid w:val="00933914"/>
    <w:rsid w:val="00943EFD"/>
    <w:rsid w:val="00944004"/>
    <w:rsid w:val="00963ADB"/>
    <w:rsid w:val="00964A3F"/>
    <w:rsid w:val="00966F49"/>
    <w:rsid w:val="009675B3"/>
    <w:rsid w:val="009718F6"/>
    <w:rsid w:val="00971AAF"/>
    <w:rsid w:val="00972E5E"/>
    <w:rsid w:val="00975F4D"/>
    <w:rsid w:val="00976882"/>
    <w:rsid w:val="00976A47"/>
    <w:rsid w:val="00981B3C"/>
    <w:rsid w:val="0098468A"/>
    <w:rsid w:val="00992913"/>
    <w:rsid w:val="00995585"/>
    <w:rsid w:val="0099682E"/>
    <w:rsid w:val="009A3016"/>
    <w:rsid w:val="009A5EBB"/>
    <w:rsid w:val="009B281C"/>
    <w:rsid w:val="009B4E0C"/>
    <w:rsid w:val="009B4FB5"/>
    <w:rsid w:val="009B5DAF"/>
    <w:rsid w:val="009C0081"/>
    <w:rsid w:val="009C033A"/>
    <w:rsid w:val="009C3F85"/>
    <w:rsid w:val="009C4322"/>
    <w:rsid w:val="009C550C"/>
    <w:rsid w:val="009D1266"/>
    <w:rsid w:val="009D17C1"/>
    <w:rsid w:val="009D6108"/>
    <w:rsid w:val="009D7BA2"/>
    <w:rsid w:val="009E18BE"/>
    <w:rsid w:val="009E45FA"/>
    <w:rsid w:val="009E52E7"/>
    <w:rsid w:val="009F306D"/>
    <w:rsid w:val="00A00409"/>
    <w:rsid w:val="00A01863"/>
    <w:rsid w:val="00A03535"/>
    <w:rsid w:val="00A048AF"/>
    <w:rsid w:val="00A05D5A"/>
    <w:rsid w:val="00A10F20"/>
    <w:rsid w:val="00A11174"/>
    <w:rsid w:val="00A161D4"/>
    <w:rsid w:val="00A22525"/>
    <w:rsid w:val="00A3007B"/>
    <w:rsid w:val="00A335FD"/>
    <w:rsid w:val="00A376B3"/>
    <w:rsid w:val="00A409D7"/>
    <w:rsid w:val="00A42973"/>
    <w:rsid w:val="00A43AD1"/>
    <w:rsid w:val="00A47545"/>
    <w:rsid w:val="00A476CE"/>
    <w:rsid w:val="00A51465"/>
    <w:rsid w:val="00A5157F"/>
    <w:rsid w:val="00A5167F"/>
    <w:rsid w:val="00A60B29"/>
    <w:rsid w:val="00A72209"/>
    <w:rsid w:val="00A72DB3"/>
    <w:rsid w:val="00A73051"/>
    <w:rsid w:val="00A767FB"/>
    <w:rsid w:val="00A80720"/>
    <w:rsid w:val="00A81589"/>
    <w:rsid w:val="00A83ACB"/>
    <w:rsid w:val="00A87257"/>
    <w:rsid w:val="00A9589D"/>
    <w:rsid w:val="00AA2AF8"/>
    <w:rsid w:val="00AB0259"/>
    <w:rsid w:val="00AB0D8E"/>
    <w:rsid w:val="00AB321D"/>
    <w:rsid w:val="00AB3B8F"/>
    <w:rsid w:val="00AC0746"/>
    <w:rsid w:val="00AC1063"/>
    <w:rsid w:val="00AD0A1F"/>
    <w:rsid w:val="00AD298F"/>
    <w:rsid w:val="00AD6D8B"/>
    <w:rsid w:val="00AD72FC"/>
    <w:rsid w:val="00AE53BE"/>
    <w:rsid w:val="00AF1841"/>
    <w:rsid w:val="00B074F3"/>
    <w:rsid w:val="00B129CE"/>
    <w:rsid w:val="00B1372C"/>
    <w:rsid w:val="00B205B5"/>
    <w:rsid w:val="00B20A5D"/>
    <w:rsid w:val="00B316B3"/>
    <w:rsid w:val="00B42CA2"/>
    <w:rsid w:val="00B47CD5"/>
    <w:rsid w:val="00B51264"/>
    <w:rsid w:val="00B53640"/>
    <w:rsid w:val="00B55150"/>
    <w:rsid w:val="00B55562"/>
    <w:rsid w:val="00B601E6"/>
    <w:rsid w:val="00B616AF"/>
    <w:rsid w:val="00B61B2F"/>
    <w:rsid w:val="00B770B2"/>
    <w:rsid w:val="00B81EF9"/>
    <w:rsid w:val="00B82957"/>
    <w:rsid w:val="00B87F39"/>
    <w:rsid w:val="00B9061D"/>
    <w:rsid w:val="00B90C85"/>
    <w:rsid w:val="00B90E95"/>
    <w:rsid w:val="00B927DC"/>
    <w:rsid w:val="00B92841"/>
    <w:rsid w:val="00B9650A"/>
    <w:rsid w:val="00B967B8"/>
    <w:rsid w:val="00B97EA1"/>
    <w:rsid w:val="00BA12E2"/>
    <w:rsid w:val="00BB398D"/>
    <w:rsid w:val="00BB607A"/>
    <w:rsid w:val="00BB7501"/>
    <w:rsid w:val="00BC16CB"/>
    <w:rsid w:val="00BC227D"/>
    <w:rsid w:val="00BC4B01"/>
    <w:rsid w:val="00BD4314"/>
    <w:rsid w:val="00BE171E"/>
    <w:rsid w:val="00BE2188"/>
    <w:rsid w:val="00BE39EF"/>
    <w:rsid w:val="00BE5E50"/>
    <w:rsid w:val="00BE7CAB"/>
    <w:rsid w:val="00BF3179"/>
    <w:rsid w:val="00BF61F5"/>
    <w:rsid w:val="00C052D1"/>
    <w:rsid w:val="00C0573F"/>
    <w:rsid w:val="00C060FD"/>
    <w:rsid w:val="00C0636F"/>
    <w:rsid w:val="00C10F0D"/>
    <w:rsid w:val="00C118B2"/>
    <w:rsid w:val="00C15F65"/>
    <w:rsid w:val="00C240A4"/>
    <w:rsid w:val="00C2658C"/>
    <w:rsid w:val="00C312F8"/>
    <w:rsid w:val="00C35FE5"/>
    <w:rsid w:val="00C37093"/>
    <w:rsid w:val="00C43035"/>
    <w:rsid w:val="00C444A9"/>
    <w:rsid w:val="00C47E5E"/>
    <w:rsid w:val="00C50AB2"/>
    <w:rsid w:val="00C535E5"/>
    <w:rsid w:val="00C55477"/>
    <w:rsid w:val="00C6738A"/>
    <w:rsid w:val="00C74614"/>
    <w:rsid w:val="00C74DDA"/>
    <w:rsid w:val="00C754E7"/>
    <w:rsid w:val="00C76754"/>
    <w:rsid w:val="00C767F9"/>
    <w:rsid w:val="00C77F68"/>
    <w:rsid w:val="00C812BD"/>
    <w:rsid w:val="00C84647"/>
    <w:rsid w:val="00C8489F"/>
    <w:rsid w:val="00C87B1B"/>
    <w:rsid w:val="00C90984"/>
    <w:rsid w:val="00C91761"/>
    <w:rsid w:val="00C927FE"/>
    <w:rsid w:val="00CA455D"/>
    <w:rsid w:val="00CA63F6"/>
    <w:rsid w:val="00CA6D30"/>
    <w:rsid w:val="00CA785D"/>
    <w:rsid w:val="00CB3A18"/>
    <w:rsid w:val="00CB5EE8"/>
    <w:rsid w:val="00CB7D25"/>
    <w:rsid w:val="00CC07C8"/>
    <w:rsid w:val="00CC22F1"/>
    <w:rsid w:val="00CC2E69"/>
    <w:rsid w:val="00CD35E6"/>
    <w:rsid w:val="00CD5012"/>
    <w:rsid w:val="00CD5A49"/>
    <w:rsid w:val="00CE1085"/>
    <w:rsid w:val="00CE4EBA"/>
    <w:rsid w:val="00CF6B07"/>
    <w:rsid w:val="00D13A75"/>
    <w:rsid w:val="00D15AC6"/>
    <w:rsid w:val="00D15E1F"/>
    <w:rsid w:val="00D16C52"/>
    <w:rsid w:val="00D17DE5"/>
    <w:rsid w:val="00D3078C"/>
    <w:rsid w:val="00D3101E"/>
    <w:rsid w:val="00D344BB"/>
    <w:rsid w:val="00D368EA"/>
    <w:rsid w:val="00D37EB0"/>
    <w:rsid w:val="00D40A4A"/>
    <w:rsid w:val="00D40F34"/>
    <w:rsid w:val="00D42AD8"/>
    <w:rsid w:val="00D44AB9"/>
    <w:rsid w:val="00D44B5F"/>
    <w:rsid w:val="00D47972"/>
    <w:rsid w:val="00D53B5E"/>
    <w:rsid w:val="00D54ABE"/>
    <w:rsid w:val="00D605F7"/>
    <w:rsid w:val="00D64EE6"/>
    <w:rsid w:val="00D66D51"/>
    <w:rsid w:val="00D674EF"/>
    <w:rsid w:val="00D72BD5"/>
    <w:rsid w:val="00D80452"/>
    <w:rsid w:val="00D9063E"/>
    <w:rsid w:val="00D92FF5"/>
    <w:rsid w:val="00D95AB9"/>
    <w:rsid w:val="00D97241"/>
    <w:rsid w:val="00DA35C3"/>
    <w:rsid w:val="00DA54CA"/>
    <w:rsid w:val="00DB4E96"/>
    <w:rsid w:val="00DC2200"/>
    <w:rsid w:val="00DC2C07"/>
    <w:rsid w:val="00DD07C4"/>
    <w:rsid w:val="00DD2FD7"/>
    <w:rsid w:val="00DD4A21"/>
    <w:rsid w:val="00DE0201"/>
    <w:rsid w:val="00DE1217"/>
    <w:rsid w:val="00DE3303"/>
    <w:rsid w:val="00DE7660"/>
    <w:rsid w:val="00DF3BD3"/>
    <w:rsid w:val="00E04B8E"/>
    <w:rsid w:val="00E068D5"/>
    <w:rsid w:val="00E102DA"/>
    <w:rsid w:val="00E1052C"/>
    <w:rsid w:val="00E10FD1"/>
    <w:rsid w:val="00E14FCE"/>
    <w:rsid w:val="00E172F0"/>
    <w:rsid w:val="00E25025"/>
    <w:rsid w:val="00E253B2"/>
    <w:rsid w:val="00E25D7F"/>
    <w:rsid w:val="00E2621F"/>
    <w:rsid w:val="00E2765C"/>
    <w:rsid w:val="00E309C2"/>
    <w:rsid w:val="00E3159F"/>
    <w:rsid w:val="00E33F3A"/>
    <w:rsid w:val="00E34296"/>
    <w:rsid w:val="00E3460D"/>
    <w:rsid w:val="00E4403C"/>
    <w:rsid w:val="00E444DA"/>
    <w:rsid w:val="00E50B11"/>
    <w:rsid w:val="00E52A48"/>
    <w:rsid w:val="00E53ECD"/>
    <w:rsid w:val="00E56688"/>
    <w:rsid w:val="00E62BF5"/>
    <w:rsid w:val="00E71549"/>
    <w:rsid w:val="00E72815"/>
    <w:rsid w:val="00E73EEA"/>
    <w:rsid w:val="00E9135D"/>
    <w:rsid w:val="00E94E92"/>
    <w:rsid w:val="00EA4798"/>
    <w:rsid w:val="00EA4E50"/>
    <w:rsid w:val="00EA629E"/>
    <w:rsid w:val="00EB1F6F"/>
    <w:rsid w:val="00EB21ED"/>
    <w:rsid w:val="00EB34ED"/>
    <w:rsid w:val="00EB7F04"/>
    <w:rsid w:val="00EC32BF"/>
    <w:rsid w:val="00EC33FB"/>
    <w:rsid w:val="00ED25CF"/>
    <w:rsid w:val="00ED36D6"/>
    <w:rsid w:val="00ED5280"/>
    <w:rsid w:val="00ED55E0"/>
    <w:rsid w:val="00EE7E06"/>
    <w:rsid w:val="00F01EDD"/>
    <w:rsid w:val="00F03BF7"/>
    <w:rsid w:val="00F03CB1"/>
    <w:rsid w:val="00F1385C"/>
    <w:rsid w:val="00F13965"/>
    <w:rsid w:val="00F155A3"/>
    <w:rsid w:val="00F23DCF"/>
    <w:rsid w:val="00F27857"/>
    <w:rsid w:val="00F324AE"/>
    <w:rsid w:val="00F36062"/>
    <w:rsid w:val="00F36FA2"/>
    <w:rsid w:val="00F37C71"/>
    <w:rsid w:val="00F44C7B"/>
    <w:rsid w:val="00F46CC5"/>
    <w:rsid w:val="00F47C49"/>
    <w:rsid w:val="00F51C2E"/>
    <w:rsid w:val="00F57203"/>
    <w:rsid w:val="00F57229"/>
    <w:rsid w:val="00F57E89"/>
    <w:rsid w:val="00F60EED"/>
    <w:rsid w:val="00F66EB7"/>
    <w:rsid w:val="00F678F6"/>
    <w:rsid w:val="00F70ED1"/>
    <w:rsid w:val="00F7310B"/>
    <w:rsid w:val="00F7387F"/>
    <w:rsid w:val="00F80753"/>
    <w:rsid w:val="00F8156A"/>
    <w:rsid w:val="00F83411"/>
    <w:rsid w:val="00F95AFD"/>
    <w:rsid w:val="00F96303"/>
    <w:rsid w:val="00FA0025"/>
    <w:rsid w:val="00FA199A"/>
    <w:rsid w:val="00FA37DE"/>
    <w:rsid w:val="00FA4067"/>
    <w:rsid w:val="00FA4415"/>
    <w:rsid w:val="00FA499E"/>
    <w:rsid w:val="00FA6C2D"/>
    <w:rsid w:val="00FA75E9"/>
    <w:rsid w:val="00FA7FCD"/>
    <w:rsid w:val="00FB1507"/>
    <w:rsid w:val="00FB170C"/>
    <w:rsid w:val="00FC06EE"/>
    <w:rsid w:val="00FC18A7"/>
    <w:rsid w:val="00FC5309"/>
    <w:rsid w:val="00FD0965"/>
    <w:rsid w:val="00FD2304"/>
    <w:rsid w:val="00FD2C86"/>
    <w:rsid w:val="00FD3D53"/>
    <w:rsid w:val="00FD3F83"/>
    <w:rsid w:val="00FD64B0"/>
    <w:rsid w:val="00FD69E2"/>
    <w:rsid w:val="00FD72F8"/>
    <w:rsid w:val="00FE38D5"/>
    <w:rsid w:val="00FE45EE"/>
    <w:rsid w:val="00FF5CE1"/>
    <w:rsid w:val="00FF7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097B7"/>
  <w15:docId w15:val="{EC82215C-04C0-4168-989A-E1FFC167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9E18BE"/>
    <w:pPr>
      <w:tabs>
        <w:tab w:val="right" w:pos="9360"/>
      </w:tabs>
    </w:pPr>
    <w:rPr>
      <w:i/>
      <w:sz w:val="20"/>
    </w:rPr>
  </w:style>
  <w:style w:type="character" w:customStyle="1" w:styleId="FooterChar">
    <w:name w:val="Footer Char"/>
    <w:link w:val="Footer"/>
    <w:uiPriority w:val="99"/>
    <w:semiHidden/>
    <w:rsid w:val="009E18BE"/>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FootnoteText">
    <w:name w:val="footnote text"/>
    <w:basedOn w:val="Normal"/>
    <w:link w:val="FootnoteTextChar"/>
    <w:uiPriority w:val="99"/>
    <w:rsid w:val="00D44AB9"/>
    <w:rPr>
      <w:sz w:val="20"/>
      <w:szCs w:val="20"/>
    </w:rPr>
  </w:style>
  <w:style w:type="character" w:customStyle="1" w:styleId="FootnoteTextChar">
    <w:name w:val="Footnote Text Char"/>
    <w:basedOn w:val="DefaultParagraphFont"/>
    <w:link w:val="FootnoteText"/>
    <w:uiPriority w:val="99"/>
    <w:rsid w:val="00D44AB9"/>
  </w:style>
  <w:style w:type="character" w:styleId="FootnoteReference">
    <w:name w:val="footnote reference"/>
    <w:basedOn w:val="DefaultParagraphFont"/>
    <w:uiPriority w:val="99"/>
    <w:rsid w:val="00D44AB9"/>
    <w:rPr>
      <w:vertAlign w:val="superscript"/>
    </w:rPr>
  </w:style>
  <w:style w:type="paragraph" w:styleId="ListParagraph">
    <w:name w:val="List Paragraph"/>
    <w:basedOn w:val="Normal"/>
    <w:uiPriority w:val="34"/>
    <w:qFormat/>
    <w:rsid w:val="005122FB"/>
    <w:pPr>
      <w:ind w:left="720"/>
      <w:contextualSpacing/>
    </w:pPr>
  </w:style>
  <w:style w:type="table" w:customStyle="1" w:styleId="LightShading-Accent11">
    <w:name w:val="Light Shading - Accent 11"/>
    <w:basedOn w:val="TableNormal"/>
    <w:uiPriority w:val="60"/>
    <w:rsid w:val="00244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2447E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2447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unhideWhenUsed/>
    <w:rsid w:val="00472DAF"/>
    <w:rPr>
      <w:color w:val="800080"/>
      <w:u w:val="single"/>
    </w:rPr>
  </w:style>
  <w:style w:type="paragraph" w:customStyle="1" w:styleId="xl141">
    <w:name w:val="xl141"/>
    <w:basedOn w:val="Normal"/>
    <w:rsid w:val="00472DAF"/>
    <w:pPr>
      <w:spacing w:before="100" w:beforeAutospacing="1" w:after="100" w:afterAutospacing="1"/>
      <w:jc w:val="center"/>
    </w:pPr>
  </w:style>
  <w:style w:type="character" w:styleId="CommentReference">
    <w:name w:val="annotation reference"/>
    <w:basedOn w:val="DefaultParagraphFont"/>
    <w:semiHidden/>
    <w:unhideWhenUsed/>
    <w:rsid w:val="000165D1"/>
    <w:rPr>
      <w:sz w:val="16"/>
      <w:szCs w:val="16"/>
    </w:rPr>
  </w:style>
  <w:style w:type="paragraph" w:styleId="CommentText">
    <w:name w:val="annotation text"/>
    <w:basedOn w:val="Normal"/>
    <w:link w:val="CommentTextChar"/>
    <w:semiHidden/>
    <w:unhideWhenUsed/>
    <w:rsid w:val="000165D1"/>
    <w:rPr>
      <w:sz w:val="20"/>
      <w:szCs w:val="20"/>
    </w:rPr>
  </w:style>
  <w:style w:type="character" w:customStyle="1" w:styleId="CommentTextChar">
    <w:name w:val="Comment Text Char"/>
    <w:basedOn w:val="DefaultParagraphFont"/>
    <w:link w:val="CommentText"/>
    <w:semiHidden/>
    <w:rsid w:val="000165D1"/>
  </w:style>
  <w:style w:type="paragraph" w:styleId="CommentSubject">
    <w:name w:val="annotation subject"/>
    <w:basedOn w:val="CommentText"/>
    <w:next w:val="CommentText"/>
    <w:link w:val="CommentSubjectChar"/>
    <w:semiHidden/>
    <w:unhideWhenUsed/>
    <w:rsid w:val="000165D1"/>
    <w:rPr>
      <w:b/>
      <w:bCs/>
    </w:rPr>
  </w:style>
  <w:style w:type="character" w:customStyle="1" w:styleId="CommentSubjectChar">
    <w:name w:val="Comment Subject Char"/>
    <w:basedOn w:val="CommentTextChar"/>
    <w:link w:val="CommentSubject"/>
    <w:semiHidden/>
    <w:rsid w:val="000165D1"/>
    <w:rPr>
      <w:b/>
      <w:bCs/>
    </w:rPr>
  </w:style>
  <w:style w:type="paragraph" w:styleId="Revision">
    <w:name w:val="Revision"/>
    <w:hidden/>
    <w:uiPriority w:val="99"/>
    <w:semiHidden/>
    <w:rsid w:val="000165D1"/>
    <w:rPr>
      <w:sz w:val="24"/>
      <w:szCs w:val="24"/>
    </w:rPr>
  </w:style>
  <w:style w:type="paragraph" w:styleId="NormalWeb">
    <w:name w:val="Normal (Web)"/>
    <w:basedOn w:val="Normal"/>
    <w:uiPriority w:val="99"/>
    <w:semiHidden/>
    <w:unhideWhenUsed/>
    <w:rsid w:val="004375BE"/>
    <w:pPr>
      <w:spacing w:before="100" w:beforeAutospacing="1" w:after="100" w:afterAutospacing="1"/>
    </w:pPr>
  </w:style>
  <w:style w:type="paragraph" w:styleId="DocumentMap">
    <w:name w:val="Document Map"/>
    <w:basedOn w:val="Normal"/>
    <w:link w:val="DocumentMapChar"/>
    <w:semiHidden/>
    <w:unhideWhenUsed/>
    <w:rsid w:val="00B1372C"/>
  </w:style>
  <w:style w:type="character" w:customStyle="1" w:styleId="DocumentMapChar">
    <w:name w:val="Document Map Char"/>
    <w:basedOn w:val="DefaultParagraphFont"/>
    <w:link w:val="DocumentMap"/>
    <w:semiHidden/>
    <w:rsid w:val="00B137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7111">
      <w:bodyDiv w:val="1"/>
      <w:marLeft w:val="0"/>
      <w:marRight w:val="0"/>
      <w:marTop w:val="0"/>
      <w:marBottom w:val="0"/>
      <w:divBdr>
        <w:top w:val="none" w:sz="0" w:space="0" w:color="auto"/>
        <w:left w:val="none" w:sz="0" w:space="0" w:color="auto"/>
        <w:bottom w:val="none" w:sz="0" w:space="0" w:color="auto"/>
        <w:right w:val="none" w:sz="0" w:space="0" w:color="auto"/>
      </w:divBdr>
    </w:div>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90412139">
      <w:bodyDiv w:val="1"/>
      <w:marLeft w:val="0"/>
      <w:marRight w:val="0"/>
      <w:marTop w:val="0"/>
      <w:marBottom w:val="0"/>
      <w:divBdr>
        <w:top w:val="none" w:sz="0" w:space="0" w:color="auto"/>
        <w:left w:val="none" w:sz="0" w:space="0" w:color="auto"/>
        <w:bottom w:val="none" w:sz="0" w:space="0" w:color="auto"/>
        <w:right w:val="none" w:sz="0" w:space="0" w:color="auto"/>
      </w:divBdr>
    </w:div>
    <w:div w:id="494108605">
      <w:bodyDiv w:val="1"/>
      <w:marLeft w:val="0"/>
      <w:marRight w:val="0"/>
      <w:marTop w:val="0"/>
      <w:marBottom w:val="0"/>
      <w:divBdr>
        <w:top w:val="none" w:sz="0" w:space="0" w:color="auto"/>
        <w:left w:val="none" w:sz="0" w:space="0" w:color="auto"/>
        <w:bottom w:val="none" w:sz="0" w:space="0" w:color="auto"/>
        <w:right w:val="none" w:sz="0" w:space="0" w:color="auto"/>
      </w:divBdr>
    </w:div>
    <w:div w:id="550848620">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72878992">
      <w:bodyDiv w:val="1"/>
      <w:marLeft w:val="0"/>
      <w:marRight w:val="0"/>
      <w:marTop w:val="0"/>
      <w:marBottom w:val="0"/>
      <w:divBdr>
        <w:top w:val="none" w:sz="0" w:space="0" w:color="auto"/>
        <w:left w:val="none" w:sz="0" w:space="0" w:color="auto"/>
        <w:bottom w:val="none" w:sz="0" w:space="0" w:color="auto"/>
        <w:right w:val="none" w:sz="0" w:space="0" w:color="auto"/>
      </w:divBdr>
    </w:div>
    <w:div w:id="701320442">
      <w:bodyDiv w:val="1"/>
      <w:marLeft w:val="0"/>
      <w:marRight w:val="0"/>
      <w:marTop w:val="0"/>
      <w:marBottom w:val="0"/>
      <w:divBdr>
        <w:top w:val="none" w:sz="0" w:space="0" w:color="auto"/>
        <w:left w:val="none" w:sz="0" w:space="0" w:color="auto"/>
        <w:bottom w:val="none" w:sz="0" w:space="0" w:color="auto"/>
        <w:right w:val="none" w:sz="0" w:space="0" w:color="auto"/>
      </w:divBdr>
    </w:div>
    <w:div w:id="862867028">
      <w:bodyDiv w:val="1"/>
      <w:marLeft w:val="0"/>
      <w:marRight w:val="0"/>
      <w:marTop w:val="0"/>
      <w:marBottom w:val="0"/>
      <w:divBdr>
        <w:top w:val="none" w:sz="0" w:space="0" w:color="auto"/>
        <w:left w:val="none" w:sz="0" w:space="0" w:color="auto"/>
        <w:bottom w:val="none" w:sz="0" w:space="0" w:color="auto"/>
        <w:right w:val="none" w:sz="0" w:space="0" w:color="auto"/>
      </w:divBdr>
    </w:div>
    <w:div w:id="870531609">
      <w:bodyDiv w:val="1"/>
      <w:marLeft w:val="0"/>
      <w:marRight w:val="0"/>
      <w:marTop w:val="0"/>
      <w:marBottom w:val="0"/>
      <w:divBdr>
        <w:top w:val="none" w:sz="0" w:space="0" w:color="auto"/>
        <w:left w:val="none" w:sz="0" w:space="0" w:color="auto"/>
        <w:bottom w:val="none" w:sz="0" w:space="0" w:color="auto"/>
        <w:right w:val="none" w:sz="0" w:space="0" w:color="auto"/>
      </w:divBdr>
    </w:div>
    <w:div w:id="880286493">
      <w:bodyDiv w:val="1"/>
      <w:marLeft w:val="0"/>
      <w:marRight w:val="0"/>
      <w:marTop w:val="0"/>
      <w:marBottom w:val="0"/>
      <w:divBdr>
        <w:top w:val="none" w:sz="0" w:space="0" w:color="auto"/>
        <w:left w:val="none" w:sz="0" w:space="0" w:color="auto"/>
        <w:bottom w:val="none" w:sz="0" w:space="0" w:color="auto"/>
        <w:right w:val="none" w:sz="0" w:space="0" w:color="auto"/>
      </w:divBdr>
    </w:div>
    <w:div w:id="956109531">
      <w:bodyDiv w:val="1"/>
      <w:marLeft w:val="0"/>
      <w:marRight w:val="0"/>
      <w:marTop w:val="0"/>
      <w:marBottom w:val="0"/>
      <w:divBdr>
        <w:top w:val="none" w:sz="0" w:space="0" w:color="auto"/>
        <w:left w:val="none" w:sz="0" w:space="0" w:color="auto"/>
        <w:bottom w:val="none" w:sz="0" w:space="0" w:color="auto"/>
        <w:right w:val="none" w:sz="0" w:space="0" w:color="auto"/>
      </w:divBdr>
    </w:div>
    <w:div w:id="1026834364">
      <w:bodyDiv w:val="1"/>
      <w:marLeft w:val="0"/>
      <w:marRight w:val="0"/>
      <w:marTop w:val="0"/>
      <w:marBottom w:val="0"/>
      <w:divBdr>
        <w:top w:val="none" w:sz="0" w:space="0" w:color="auto"/>
        <w:left w:val="none" w:sz="0" w:space="0" w:color="auto"/>
        <w:bottom w:val="none" w:sz="0" w:space="0" w:color="auto"/>
        <w:right w:val="none" w:sz="0" w:space="0" w:color="auto"/>
      </w:divBdr>
    </w:div>
    <w:div w:id="1029645547">
      <w:bodyDiv w:val="1"/>
      <w:marLeft w:val="0"/>
      <w:marRight w:val="0"/>
      <w:marTop w:val="0"/>
      <w:marBottom w:val="0"/>
      <w:divBdr>
        <w:top w:val="none" w:sz="0" w:space="0" w:color="auto"/>
        <w:left w:val="none" w:sz="0" w:space="0" w:color="auto"/>
        <w:bottom w:val="none" w:sz="0" w:space="0" w:color="auto"/>
        <w:right w:val="none" w:sz="0" w:space="0" w:color="auto"/>
      </w:divBdr>
    </w:div>
    <w:div w:id="1039479771">
      <w:bodyDiv w:val="1"/>
      <w:marLeft w:val="0"/>
      <w:marRight w:val="0"/>
      <w:marTop w:val="0"/>
      <w:marBottom w:val="0"/>
      <w:divBdr>
        <w:top w:val="none" w:sz="0" w:space="0" w:color="auto"/>
        <w:left w:val="none" w:sz="0" w:space="0" w:color="auto"/>
        <w:bottom w:val="none" w:sz="0" w:space="0" w:color="auto"/>
        <w:right w:val="none" w:sz="0" w:space="0" w:color="auto"/>
      </w:divBdr>
    </w:div>
    <w:div w:id="1100762004">
      <w:bodyDiv w:val="1"/>
      <w:marLeft w:val="0"/>
      <w:marRight w:val="0"/>
      <w:marTop w:val="0"/>
      <w:marBottom w:val="0"/>
      <w:divBdr>
        <w:top w:val="none" w:sz="0" w:space="0" w:color="auto"/>
        <w:left w:val="none" w:sz="0" w:space="0" w:color="auto"/>
        <w:bottom w:val="none" w:sz="0" w:space="0" w:color="auto"/>
        <w:right w:val="none" w:sz="0" w:space="0" w:color="auto"/>
      </w:divBdr>
    </w:div>
    <w:div w:id="1120606596">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703896">
      <w:bodyDiv w:val="1"/>
      <w:marLeft w:val="0"/>
      <w:marRight w:val="0"/>
      <w:marTop w:val="0"/>
      <w:marBottom w:val="0"/>
      <w:divBdr>
        <w:top w:val="none" w:sz="0" w:space="0" w:color="auto"/>
        <w:left w:val="none" w:sz="0" w:space="0" w:color="auto"/>
        <w:bottom w:val="none" w:sz="0" w:space="0" w:color="auto"/>
        <w:right w:val="none" w:sz="0" w:space="0" w:color="auto"/>
      </w:divBdr>
    </w:div>
    <w:div w:id="1222324399">
      <w:bodyDiv w:val="1"/>
      <w:marLeft w:val="0"/>
      <w:marRight w:val="0"/>
      <w:marTop w:val="0"/>
      <w:marBottom w:val="0"/>
      <w:divBdr>
        <w:top w:val="none" w:sz="0" w:space="0" w:color="auto"/>
        <w:left w:val="none" w:sz="0" w:space="0" w:color="auto"/>
        <w:bottom w:val="none" w:sz="0" w:space="0" w:color="auto"/>
        <w:right w:val="none" w:sz="0" w:space="0" w:color="auto"/>
      </w:divBdr>
    </w:div>
    <w:div w:id="126800316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45231978">
      <w:bodyDiv w:val="1"/>
      <w:marLeft w:val="0"/>
      <w:marRight w:val="0"/>
      <w:marTop w:val="0"/>
      <w:marBottom w:val="0"/>
      <w:divBdr>
        <w:top w:val="none" w:sz="0" w:space="0" w:color="auto"/>
        <w:left w:val="none" w:sz="0" w:space="0" w:color="auto"/>
        <w:bottom w:val="none" w:sz="0" w:space="0" w:color="auto"/>
        <w:right w:val="none" w:sz="0" w:space="0" w:color="auto"/>
      </w:divBdr>
    </w:div>
    <w:div w:id="1494024585">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39392569">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05574294">
      <w:bodyDiv w:val="1"/>
      <w:marLeft w:val="0"/>
      <w:marRight w:val="0"/>
      <w:marTop w:val="0"/>
      <w:marBottom w:val="0"/>
      <w:divBdr>
        <w:top w:val="none" w:sz="0" w:space="0" w:color="auto"/>
        <w:left w:val="none" w:sz="0" w:space="0" w:color="auto"/>
        <w:bottom w:val="none" w:sz="0" w:space="0" w:color="auto"/>
        <w:right w:val="none" w:sz="0" w:space="0" w:color="auto"/>
      </w:divBdr>
    </w:div>
    <w:div w:id="1660961913">
      <w:bodyDiv w:val="1"/>
      <w:marLeft w:val="0"/>
      <w:marRight w:val="0"/>
      <w:marTop w:val="0"/>
      <w:marBottom w:val="0"/>
      <w:divBdr>
        <w:top w:val="none" w:sz="0" w:space="0" w:color="auto"/>
        <w:left w:val="none" w:sz="0" w:space="0" w:color="auto"/>
        <w:bottom w:val="none" w:sz="0" w:space="0" w:color="auto"/>
        <w:right w:val="none" w:sz="0" w:space="0" w:color="auto"/>
      </w:divBdr>
    </w:div>
    <w:div w:id="1707829799">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7864216">
      <w:bodyDiv w:val="1"/>
      <w:marLeft w:val="0"/>
      <w:marRight w:val="0"/>
      <w:marTop w:val="0"/>
      <w:marBottom w:val="0"/>
      <w:divBdr>
        <w:top w:val="none" w:sz="0" w:space="0" w:color="auto"/>
        <w:left w:val="none" w:sz="0" w:space="0" w:color="auto"/>
        <w:bottom w:val="none" w:sz="0" w:space="0" w:color="auto"/>
        <w:right w:val="none" w:sz="0" w:space="0" w:color="auto"/>
      </w:divBdr>
    </w:div>
    <w:div w:id="1974367603">
      <w:bodyDiv w:val="1"/>
      <w:marLeft w:val="0"/>
      <w:marRight w:val="0"/>
      <w:marTop w:val="0"/>
      <w:marBottom w:val="0"/>
      <w:divBdr>
        <w:top w:val="none" w:sz="0" w:space="0" w:color="auto"/>
        <w:left w:val="none" w:sz="0" w:space="0" w:color="auto"/>
        <w:bottom w:val="none" w:sz="0" w:space="0" w:color="auto"/>
        <w:right w:val="none" w:sz="0" w:space="0" w:color="auto"/>
      </w:divBdr>
    </w:div>
    <w:div w:id="20588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hyperlink" Target="http://www.mass.gov/legis/laws/mgl/23a-66.htm"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chart" Target="charts/chart6.xml"/><Relationship Id="rId28" Type="http://schemas.openxmlformats.org/officeDocument/2006/relationships/hyperlink" Target="http://www.doe.mass.edu/research/radar/" TargetMode="Externa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finance/chapter70/FBRC-Report.pdf" TargetMode="External"/><Relationship Id="rId2" Type="http://schemas.openxmlformats.org/officeDocument/2006/relationships/hyperlink" Target="http://www.doe.mass.edu/finance/chapter70/chapter-cal.pdf" TargetMode="External"/><Relationship Id="rId1" Type="http://schemas.openxmlformats.org/officeDocument/2006/relationships/hyperlink" Target="https://nces.ed.gov/pubs2007/ruraled/exhibit_a.asp" TargetMode="External"/><Relationship Id="rId6" Type="http://schemas.openxmlformats.org/officeDocument/2006/relationships/hyperlink" Target="https://www.mass.gov/service-details/fy17-efficiency-and-regionalization-grant-recipients" TargetMode="External"/><Relationship Id="rId5" Type="http://schemas.openxmlformats.org/officeDocument/2006/relationships/hyperlink" Target="http://www.doe.mass.edu/finance/regional/" TargetMode="External"/><Relationship Id="rId4" Type="http://schemas.openxmlformats.org/officeDocument/2006/relationships/hyperlink" Target="http://0104.nccdn.net/1_5/183/03c/233/7.18.17-BCETF-Phase-II-Final-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staff_enro_spending_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C70Data_RuralAidStudy_2017-8-2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SE-FPS-MAL-001\SHARED\FINANCE\SCHFIN\Planning\Rural%20Schools%20Report\C70Data_RuralAidStudy_2017-8-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Figure 1: Teachers per 100 students</a:t>
            </a:r>
          </a:p>
        </c:rich>
      </c:tx>
      <c:overlay val="0"/>
      <c:spPr>
        <a:noFill/>
        <a:ln>
          <a:noFill/>
        </a:ln>
        <a:effectLst/>
      </c:spPr>
    </c:title>
    <c:autoTitleDeleted val="0"/>
    <c:plotArea>
      <c:layout/>
      <c:lineChart>
        <c:grouping val="standard"/>
        <c:varyColors val="0"/>
        <c:ser>
          <c:idx val="1"/>
          <c:order val="0"/>
          <c:tx>
            <c:v>Rural districts</c:v>
          </c:tx>
          <c:spPr>
            <a:ln w="28575" cap="rnd" cmpd="sng" algn="ctr">
              <a:solidFill>
                <a:schemeClr val="accent1"/>
              </a:solidFill>
              <a:prstDash val="solid"/>
              <a:round/>
            </a:ln>
            <a:effectLst/>
          </c:spPr>
          <c:marker>
            <c:symbol val="none"/>
          </c:marker>
          <c:cat>
            <c:numRef>
              <c:f>pivots!$M$11:$V$11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pivots!$M$13:$V$13</c:f>
              <c:numCache>
                <c:formatCode>0.0</c:formatCode>
                <c:ptCount val="10"/>
                <c:pt idx="0">
                  <c:v>8.1986364232332516</c:v>
                </c:pt>
                <c:pt idx="1">
                  <c:v>8.2310979051160089</c:v>
                </c:pt>
                <c:pt idx="2">
                  <c:v>8.1489269952497985</c:v>
                </c:pt>
                <c:pt idx="3">
                  <c:v>8.2048679925160979</c:v>
                </c:pt>
                <c:pt idx="4">
                  <c:v>8.2880123496220488</c:v>
                </c:pt>
                <c:pt idx="5">
                  <c:v>8.3191503220670224</c:v>
                </c:pt>
                <c:pt idx="6">
                  <c:v>8.4156851994005208</c:v>
                </c:pt>
                <c:pt idx="7">
                  <c:v>8.1781573882143697</c:v>
                </c:pt>
                <c:pt idx="8">
                  <c:v>8.513350873895881</c:v>
                </c:pt>
                <c:pt idx="9">
                  <c:v>8.4495289675426211</c:v>
                </c:pt>
              </c:numCache>
            </c:numRef>
          </c:val>
          <c:smooth val="0"/>
          <c:extLst>
            <c:ext xmlns:c16="http://schemas.microsoft.com/office/drawing/2014/chart" uri="{C3380CC4-5D6E-409C-BE32-E72D297353CC}">
              <c16:uniqueId val="{00000000-5D26-48C0-96AC-D43948A0C4BC}"/>
            </c:ext>
          </c:extLst>
        </c:ser>
        <c:ser>
          <c:idx val="0"/>
          <c:order val="1"/>
          <c:tx>
            <c:v>All other districts</c:v>
          </c:tx>
          <c:spPr>
            <a:ln w="28575" cap="rnd" cmpd="sng" algn="ctr">
              <a:solidFill>
                <a:schemeClr val="accent2"/>
              </a:solidFill>
              <a:prstDash val="solid"/>
              <a:round/>
            </a:ln>
            <a:effectLst/>
          </c:spPr>
          <c:marker>
            <c:symbol val="none"/>
          </c:marker>
          <c:cat>
            <c:numRef>
              <c:f>pivots!$M$11:$V$11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pivots!$M$12:$V$12</c:f>
              <c:numCache>
                <c:formatCode>0.0</c:formatCode>
                <c:ptCount val="10"/>
                <c:pt idx="0">
                  <c:v>7.3038177010016874</c:v>
                </c:pt>
                <c:pt idx="1">
                  <c:v>7.2932962509808084</c:v>
                </c:pt>
                <c:pt idx="2">
                  <c:v>7.2595884367575456</c:v>
                </c:pt>
                <c:pt idx="3">
                  <c:v>7.1351870387214937</c:v>
                </c:pt>
                <c:pt idx="4">
                  <c:v>7.2175526325203672</c:v>
                </c:pt>
                <c:pt idx="5">
                  <c:v>7.3420971968713582</c:v>
                </c:pt>
                <c:pt idx="6">
                  <c:v>7.3164331432678704</c:v>
                </c:pt>
                <c:pt idx="7">
                  <c:v>7.4699507549632624</c:v>
                </c:pt>
                <c:pt idx="8">
                  <c:v>7.0115229178270786</c:v>
                </c:pt>
                <c:pt idx="9">
                  <c:v>7.5036819229845904</c:v>
                </c:pt>
              </c:numCache>
            </c:numRef>
          </c:val>
          <c:smooth val="0"/>
          <c:extLst>
            <c:ext xmlns:c16="http://schemas.microsoft.com/office/drawing/2014/chart" uri="{C3380CC4-5D6E-409C-BE32-E72D297353CC}">
              <c16:uniqueId val="{00000001-5D26-48C0-96AC-D43948A0C4BC}"/>
            </c:ext>
          </c:extLst>
        </c:ser>
        <c:dLbls>
          <c:showLegendKey val="0"/>
          <c:showVal val="0"/>
          <c:showCatName val="0"/>
          <c:showSerName val="0"/>
          <c:showPercent val="0"/>
          <c:showBubbleSize val="0"/>
        </c:dLbls>
        <c:smooth val="0"/>
        <c:axId val="103604608"/>
        <c:axId val="103607296"/>
      </c:lineChart>
      <c:catAx>
        <c:axId val="10360460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607296"/>
        <c:crosses val="autoZero"/>
        <c:auto val="1"/>
        <c:lblAlgn val="ctr"/>
        <c:lblOffset val="100"/>
        <c:noMultiLvlLbl val="0"/>
      </c:catAx>
      <c:valAx>
        <c:axId val="103607296"/>
        <c:scaling>
          <c:orientation val="minMax"/>
          <c:max val="10"/>
        </c:scaling>
        <c:delete val="0"/>
        <c:axPos val="l"/>
        <c:majorGridlines>
          <c:spPr>
            <a:ln w="9525" cap="flat" cmpd="sng" algn="ctr">
              <a:solidFill>
                <a:schemeClr val="tx1">
                  <a:tint val="75000"/>
                  <a:shade val="95000"/>
                  <a:satMod val="105000"/>
                </a:schemeClr>
              </a:solidFill>
              <a:prstDash val="dash"/>
              <a:round/>
            </a:ln>
            <a:effectLst/>
          </c:spPr>
        </c:majorGridlines>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604608"/>
        <c:crosses val="autoZero"/>
        <c:crossBetween val="between"/>
        <c:majorUnit val="1"/>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Figure 2:</a:t>
            </a:r>
            <a:r>
              <a:rPr lang="en-US" sz="1400" baseline="0"/>
              <a:t> </a:t>
            </a:r>
            <a:r>
              <a:rPr lang="en-US" sz="1400"/>
              <a:t>Paraprofessionals per 100 students</a:t>
            </a:r>
          </a:p>
        </c:rich>
      </c:tx>
      <c:overlay val="0"/>
      <c:spPr>
        <a:noFill/>
        <a:ln>
          <a:noFill/>
        </a:ln>
        <a:effectLst/>
      </c:spPr>
    </c:title>
    <c:autoTitleDeleted val="0"/>
    <c:plotArea>
      <c:layout/>
      <c:lineChart>
        <c:grouping val="standard"/>
        <c:varyColors val="0"/>
        <c:ser>
          <c:idx val="1"/>
          <c:order val="0"/>
          <c:tx>
            <c:v>Rural districts</c:v>
          </c:tx>
          <c:spPr>
            <a:ln w="28575" cap="rnd" cmpd="sng" algn="ctr">
              <a:solidFill>
                <a:schemeClr val="accent1"/>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pivots!$M$20:$V$20</c:f>
              <c:numCache>
                <c:formatCode>0.0</c:formatCode>
                <c:ptCount val="10"/>
                <c:pt idx="0">
                  <c:v>3.4963288317818217</c:v>
                </c:pt>
                <c:pt idx="1">
                  <c:v>3.5525480561734337</c:v>
                </c:pt>
                <c:pt idx="2">
                  <c:v>3.5951184179496667</c:v>
                </c:pt>
                <c:pt idx="3">
                  <c:v>3.6117628715958667</c:v>
                </c:pt>
                <c:pt idx="4">
                  <c:v>3.6259696937435608</c:v>
                </c:pt>
                <c:pt idx="5">
                  <c:v>3.7207136136643282</c:v>
                </c:pt>
                <c:pt idx="6">
                  <c:v>3.8689293416675863</c:v>
                </c:pt>
                <c:pt idx="7">
                  <c:v>3.804471424341124</c:v>
                </c:pt>
                <c:pt idx="8">
                  <c:v>3.966844578086826</c:v>
                </c:pt>
                <c:pt idx="9">
                  <c:v>3.9523627903428777</c:v>
                </c:pt>
              </c:numCache>
            </c:numRef>
          </c:val>
          <c:smooth val="0"/>
          <c:extLst>
            <c:ext xmlns:c16="http://schemas.microsoft.com/office/drawing/2014/chart" uri="{C3380CC4-5D6E-409C-BE32-E72D297353CC}">
              <c16:uniqueId val="{00000000-98BB-49E0-AF3B-D1FE0A82B21E}"/>
            </c:ext>
          </c:extLst>
        </c:ser>
        <c:ser>
          <c:idx val="0"/>
          <c:order val="1"/>
          <c:tx>
            <c:v>All other districts</c:v>
          </c:tx>
          <c:spPr>
            <a:ln w="28575" cap="rnd" cmpd="sng" algn="ctr">
              <a:solidFill>
                <a:schemeClr val="accent2"/>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pivots!$M$19:$V$19</c:f>
              <c:numCache>
                <c:formatCode>0.0</c:formatCode>
                <c:ptCount val="10"/>
                <c:pt idx="0">
                  <c:v>2.2037007437423592</c:v>
                </c:pt>
                <c:pt idx="1">
                  <c:v>2.273114851116472</c:v>
                </c:pt>
                <c:pt idx="2">
                  <c:v>2.3181066268393979</c:v>
                </c:pt>
                <c:pt idx="3">
                  <c:v>2.346272307536438</c:v>
                </c:pt>
                <c:pt idx="4">
                  <c:v>2.3918377111784839</c:v>
                </c:pt>
                <c:pt idx="5">
                  <c:v>2.4542245764699842</c:v>
                </c:pt>
                <c:pt idx="6">
                  <c:v>2.4947494460933197</c:v>
                </c:pt>
                <c:pt idx="7">
                  <c:v>2.5409002271292542</c:v>
                </c:pt>
                <c:pt idx="8">
                  <c:v>2.4281757818634602</c:v>
                </c:pt>
                <c:pt idx="9">
                  <c:v>2.6553677959422202</c:v>
                </c:pt>
              </c:numCache>
            </c:numRef>
          </c:val>
          <c:smooth val="0"/>
          <c:extLst>
            <c:ext xmlns:c16="http://schemas.microsoft.com/office/drawing/2014/chart" uri="{C3380CC4-5D6E-409C-BE32-E72D297353CC}">
              <c16:uniqueId val="{00000001-98BB-49E0-AF3B-D1FE0A82B21E}"/>
            </c:ext>
          </c:extLst>
        </c:ser>
        <c:dLbls>
          <c:showLegendKey val="0"/>
          <c:showVal val="0"/>
          <c:showCatName val="0"/>
          <c:showSerName val="0"/>
          <c:showPercent val="0"/>
          <c:showBubbleSize val="0"/>
        </c:dLbls>
        <c:smooth val="0"/>
        <c:axId val="140495104"/>
        <c:axId val="143181696"/>
      </c:lineChart>
      <c:catAx>
        <c:axId val="14049510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3181696"/>
        <c:crosses val="autoZero"/>
        <c:auto val="1"/>
        <c:lblAlgn val="ctr"/>
        <c:lblOffset val="100"/>
        <c:noMultiLvlLbl val="0"/>
      </c:catAx>
      <c:valAx>
        <c:axId val="143181696"/>
        <c:scaling>
          <c:orientation val="minMax"/>
          <c:max val="10"/>
        </c:scaling>
        <c:delete val="0"/>
        <c:axPos val="l"/>
        <c:majorGridlines>
          <c:spPr>
            <a:ln w="9525" cap="flat" cmpd="sng" algn="ctr">
              <a:solidFill>
                <a:schemeClr val="tx1">
                  <a:tint val="75000"/>
                  <a:shade val="95000"/>
                  <a:satMod val="105000"/>
                </a:schemeClr>
              </a:solidFill>
              <a:prstDash val="dash"/>
              <a:round/>
            </a:ln>
            <a:effectLst/>
          </c:spPr>
        </c:majorGridlines>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0495104"/>
        <c:crosses val="autoZero"/>
        <c:crossBetween val="between"/>
        <c:majorUnit val="1"/>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Figure 3:</a:t>
            </a:r>
            <a:r>
              <a:rPr lang="en-US" sz="1400" baseline="0"/>
              <a:t> In-district per pupil spending</a:t>
            </a:r>
            <a:endParaRPr lang="en-US" sz="1400"/>
          </a:p>
        </c:rich>
      </c:tx>
      <c:overlay val="0"/>
      <c:spPr>
        <a:noFill/>
        <a:ln>
          <a:noFill/>
        </a:ln>
        <a:effectLst/>
      </c:spPr>
    </c:title>
    <c:autoTitleDeleted val="0"/>
    <c:plotArea>
      <c:layout/>
      <c:lineChart>
        <c:grouping val="standard"/>
        <c:varyColors val="0"/>
        <c:ser>
          <c:idx val="1"/>
          <c:order val="0"/>
          <c:tx>
            <c:v>Rural districts</c:v>
          </c:tx>
          <c:spPr>
            <a:ln w="28575" cap="rnd" cmpd="sng" algn="ctr">
              <a:solidFill>
                <a:schemeClr val="accent1"/>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pivots!$M$34:$U$34</c:f>
              <c:numCache>
                <c:formatCode>#,##0.00</c:formatCode>
                <c:ptCount val="9"/>
                <c:pt idx="0">
                  <c:v>12806.999765311013</c:v>
                </c:pt>
                <c:pt idx="1">
                  <c:v>13340.566428717962</c:v>
                </c:pt>
                <c:pt idx="2">
                  <c:v>13539.34464043707</c:v>
                </c:pt>
                <c:pt idx="3">
                  <c:v>14091.383062536795</c:v>
                </c:pt>
                <c:pt idx="4">
                  <c:v>14435.157254116884</c:v>
                </c:pt>
                <c:pt idx="5">
                  <c:v>15103.62684985783</c:v>
                </c:pt>
                <c:pt idx="6">
                  <c:v>15579.399602131312</c:v>
                </c:pt>
                <c:pt idx="7">
                  <c:v>16086.94331051301</c:v>
                </c:pt>
                <c:pt idx="8">
                  <c:v>16771.72887695031</c:v>
                </c:pt>
              </c:numCache>
            </c:numRef>
          </c:val>
          <c:smooth val="0"/>
          <c:extLst>
            <c:ext xmlns:c16="http://schemas.microsoft.com/office/drawing/2014/chart" uri="{C3380CC4-5D6E-409C-BE32-E72D297353CC}">
              <c16:uniqueId val="{00000000-CDD3-48BD-BB64-87AB5B5032C6}"/>
            </c:ext>
          </c:extLst>
        </c:ser>
        <c:ser>
          <c:idx val="0"/>
          <c:order val="1"/>
          <c:tx>
            <c:v>All other districts</c:v>
          </c:tx>
          <c:spPr>
            <a:ln w="28575" cap="rnd" cmpd="sng" algn="ctr">
              <a:solidFill>
                <a:schemeClr val="accent2"/>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pivots!$M$33:$U$33</c:f>
              <c:numCache>
                <c:formatCode>#,##0.00</c:formatCode>
                <c:ptCount val="9"/>
                <c:pt idx="0">
                  <c:v>11950.918685645174</c:v>
                </c:pt>
                <c:pt idx="1">
                  <c:v>12498.013692143109</c:v>
                </c:pt>
                <c:pt idx="2">
                  <c:v>12533.29504669651</c:v>
                </c:pt>
                <c:pt idx="3">
                  <c:v>12851.1363849767</c:v>
                </c:pt>
                <c:pt idx="4">
                  <c:v>13080.255729591869</c:v>
                </c:pt>
                <c:pt idx="5">
                  <c:v>13459.925394367121</c:v>
                </c:pt>
                <c:pt idx="6">
                  <c:v>13950.17720769571</c:v>
                </c:pt>
                <c:pt idx="7">
                  <c:v>14384.46500085916</c:v>
                </c:pt>
                <c:pt idx="8">
                  <c:v>14926.68449316029</c:v>
                </c:pt>
              </c:numCache>
            </c:numRef>
          </c:val>
          <c:smooth val="0"/>
          <c:extLst>
            <c:ext xmlns:c16="http://schemas.microsoft.com/office/drawing/2014/chart" uri="{C3380CC4-5D6E-409C-BE32-E72D297353CC}">
              <c16:uniqueId val="{00000001-CDD3-48BD-BB64-87AB5B5032C6}"/>
            </c:ext>
          </c:extLst>
        </c:ser>
        <c:dLbls>
          <c:showLegendKey val="0"/>
          <c:showVal val="0"/>
          <c:showCatName val="0"/>
          <c:showSerName val="0"/>
          <c:showPercent val="0"/>
          <c:showBubbleSize val="0"/>
        </c:dLbls>
        <c:smooth val="0"/>
        <c:axId val="146700160"/>
        <c:axId val="146894848"/>
      </c:lineChart>
      <c:catAx>
        <c:axId val="1467001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6894848"/>
        <c:crosses val="autoZero"/>
        <c:auto val="1"/>
        <c:lblAlgn val="ctr"/>
        <c:lblOffset val="100"/>
        <c:noMultiLvlLbl val="0"/>
      </c:catAx>
      <c:valAx>
        <c:axId val="146894848"/>
        <c:scaling>
          <c:orientation val="minMax"/>
        </c:scaling>
        <c:delete val="0"/>
        <c:axPos val="l"/>
        <c:majorGridlines>
          <c:spPr>
            <a:ln w="9525" cap="flat" cmpd="sng" algn="ctr">
              <a:solidFill>
                <a:schemeClr val="tx1">
                  <a:tint val="75000"/>
                  <a:shade val="95000"/>
                  <a:satMod val="105000"/>
                </a:schemeClr>
              </a:solidFill>
              <a:prstDash val="dash"/>
              <a:round/>
            </a:ln>
            <a:effectLst/>
          </c:spPr>
        </c:majorGridlines>
        <c:numFmt formatCode="&quot;$&quot;#,##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670016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400"/>
              <a:t>Figure 4: Fiscal</a:t>
            </a:r>
            <a:r>
              <a:rPr lang="en-US" sz="1400" baseline="0"/>
              <a:t> year 2008</a:t>
            </a:r>
            <a:r>
              <a:rPr lang="en-US" sz="1400"/>
              <a:t> per</a:t>
            </a:r>
            <a:r>
              <a:rPr lang="en-US" sz="1400" baseline="0"/>
              <a:t> pupil spending by major functional category</a:t>
            </a:r>
            <a:endParaRPr lang="en-US" sz="1400"/>
          </a:p>
        </c:rich>
      </c:tx>
      <c:overlay val="0"/>
    </c:title>
    <c:autoTitleDeleted val="0"/>
    <c:plotArea>
      <c:layout/>
      <c:barChart>
        <c:barDir val="bar"/>
        <c:grouping val="clustered"/>
        <c:varyColors val="0"/>
        <c:ser>
          <c:idx val="1"/>
          <c:order val="0"/>
          <c:tx>
            <c:v>Rural districts</c:v>
          </c:tx>
          <c:spPr>
            <a:solidFill>
              <a:schemeClr val="accent1"/>
            </a:solidFill>
          </c:spPr>
          <c:invertIfNegative val="0"/>
          <c:dLbls>
            <c:numFmt formatCode="&quot;$&quot;#,##0" sourceLinked="0"/>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(allcats!$R$4,allcats!$R$6,allcats!$R$8,allcats!$R$10,allcats!$R$12,allcats!$R$14,allcats!$R$16,allcats!$R$18,allcats!$R$20,allcats!$R$22,allcats!$R$24,allcats!$R$26)</c:f>
              <c:numCache>
                <c:formatCode>#,##0</c:formatCode>
                <c:ptCount val="12"/>
                <c:pt idx="0">
                  <c:v>488.60189687877221</c:v>
                </c:pt>
                <c:pt idx="1">
                  <c:v>842.95299985408428</c:v>
                </c:pt>
                <c:pt idx="2">
                  <c:v>4832.0960669611623</c:v>
                </c:pt>
                <c:pt idx="3">
                  <c:v>1098.7436484407131</c:v>
                </c:pt>
                <c:pt idx="4">
                  <c:v>178.59430969530558</c:v>
                </c:pt>
                <c:pt idx="5">
                  <c:v>434.64351887593352</c:v>
                </c:pt>
                <c:pt idx="6">
                  <c:v>394.45063372995372</c:v>
                </c:pt>
                <c:pt idx="7">
                  <c:v>1366.3031086261549</c:v>
                </c:pt>
                <c:pt idx="8">
                  <c:v>1161.6965302373035</c:v>
                </c:pt>
                <c:pt idx="9">
                  <c:v>2008.9170520116211</c:v>
                </c:pt>
                <c:pt idx="10">
                  <c:v>12806.999765311022</c:v>
                </c:pt>
                <c:pt idx="11">
                  <c:v>14223.95740721213</c:v>
                </c:pt>
              </c:numCache>
            </c:numRef>
          </c:val>
          <c:extLst>
            <c:ext xmlns:c16="http://schemas.microsoft.com/office/drawing/2014/chart" uri="{C3380CC4-5D6E-409C-BE32-E72D297353CC}">
              <c16:uniqueId val="{00000000-0DF3-47D5-AAB9-9031732827D6}"/>
            </c:ext>
          </c:extLst>
        </c:ser>
        <c:ser>
          <c:idx val="0"/>
          <c:order val="1"/>
          <c:tx>
            <c:v>All other districts</c:v>
          </c:tx>
          <c:spPr>
            <a:solidFill>
              <a:schemeClr val="accent2"/>
            </a:solidFill>
          </c:spPr>
          <c:invertIfNegative val="0"/>
          <c:dLbls>
            <c:numFmt formatCode="&quot;$&quot;#,##0" sourceLinked="0"/>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(allcats!$R$5,allcats!$R$7,allcats!$R$9,allcats!$R$11,allcats!$R$13,allcats!$R$15,allcats!$R$17,allcats!$R$19,allcats!$R$21,allcats!$R$23,allcats!$R$25,allcats!$R$27)</c:f>
              <c:numCache>
                <c:formatCode>#,##0</c:formatCode>
                <c:ptCount val="12"/>
                <c:pt idx="0">
                  <c:v>419.24757670373231</c:v>
                </c:pt>
                <c:pt idx="1">
                  <c:v>798.83718519556567</c:v>
                </c:pt>
                <c:pt idx="2">
                  <c:v>4696.5046498633583</c:v>
                </c:pt>
                <c:pt idx="3">
                  <c:v>871.67424809545787</c:v>
                </c:pt>
                <c:pt idx="4">
                  <c:v>217.58762974444531</c:v>
                </c:pt>
                <c:pt idx="5">
                  <c:v>359.43068096732259</c:v>
                </c:pt>
                <c:pt idx="6">
                  <c:v>337.12534476307195</c:v>
                </c:pt>
                <c:pt idx="7">
                  <c:v>1121.5552379501601</c:v>
                </c:pt>
                <c:pt idx="8">
                  <c:v>1058.0697125777708</c:v>
                </c:pt>
                <c:pt idx="9">
                  <c:v>2070.8864197843282</c:v>
                </c:pt>
                <c:pt idx="10">
                  <c:v>11950.918685645174</c:v>
                </c:pt>
                <c:pt idx="11">
                  <c:v>13138.457088701009</c:v>
                </c:pt>
              </c:numCache>
            </c:numRef>
          </c:val>
          <c:extLst>
            <c:ext xmlns:c16="http://schemas.microsoft.com/office/drawing/2014/chart" uri="{C3380CC4-5D6E-409C-BE32-E72D297353CC}">
              <c16:uniqueId val="{00000001-0DF3-47D5-AAB9-9031732827D6}"/>
            </c:ext>
          </c:extLst>
        </c:ser>
        <c:dLbls>
          <c:showLegendKey val="0"/>
          <c:showVal val="0"/>
          <c:showCatName val="0"/>
          <c:showSerName val="0"/>
          <c:showPercent val="0"/>
          <c:showBubbleSize val="0"/>
        </c:dLbls>
        <c:gapWidth val="150"/>
        <c:axId val="149988480"/>
        <c:axId val="149990784"/>
      </c:barChart>
      <c:catAx>
        <c:axId val="149988480"/>
        <c:scaling>
          <c:orientation val="maxMin"/>
        </c:scaling>
        <c:delete val="0"/>
        <c:axPos val="l"/>
        <c:numFmt formatCode="General" sourceLinked="0"/>
        <c:majorTickMark val="out"/>
        <c:minorTickMark val="none"/>
        <c:tickLblPos val="nextTo"/>
        <c:crossAx val="149990784"/>
        <c:crosses val="autoZero"/>
        <c:auto val="1"/>
        <c:lblAlgn val="ctr"/>
        <c:lblOffset val="100"/>
        <c:noMultiLvlLbl val="0"/>
      </c:catAx>
      <c:valAx>
        <c:axId val="149990784"/>
        <c:scaling>
          <c:orientation val="minMax"/>
        </c:scaling>
        <c:delete val="1"/>
        <c:axPos val="t"/>
        <c:numFmt formatCode="#,##0" sourceLinked="0"/>
        <c:majorTickMark val="out"/>
        <c:minorTickMark val="none"/>
        <c:tickLblPos val="none"/>
        <c:crossAx val="149988480"/>
        <c:crosses val="autoZero"/>
        <c:crossBetween val="between"/>
      </c:valAx>
    </c:plotArea>
    <c:legend>
      <c:legendPos val="b"/>
      <c:overlay val="0"/>
    </c:legend>
    <c:plotVisOnly val="0"/>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en-US" sz="1400"/>
              <a:t>Figure 5: Fiscal</a:t>
            </a:r>
            <a:r>
              <a:rPr lang="en-US" sz="1400" baseline="0"/>
              <a:t> year 2016</a:t>
            </a:r>
            <a:r>
              <a:rPr lang="en-US" sz="1400"/>
              <a:t> per</a:t>
            </a:r>
            <a:r>
              <a:rPr lang="en-US" sz="1400" baseline="0"/>
              <a:t> pupil spending by major functional category</a:t>
            </a:r>
            <a:endParaRPr lang="en-US" sz="1400"/>
          </a:p>
        </c:rich>
      </c:tx>
      <c:overlay val="0"/>
    </c:title>
    <c:autoTitleDeleted val="0"/>
    <c:plotArea>
      <c:layout/>
      <c:barChart>
        <c:barDir val="bar"/>
        <c:grouping val="clustered"/>
        <c:varyColors val="0"/>
        <c:ser>
          <c:idx val="1"/>
          <c:order val="0"/>
          <c:tx>
            <c:v>Rural districts</c:v>
          </c:tx>
          <c:spPr>
            <a:solidFill>
              <a:schemeClr val="accent1"/>
            </a:solidFill>
          </c:spPr>
          <c:invertIfNegative val="0"/>
          <c:dLbls>
            <c:numFmt formatCode="&quot;$&quot;#,##0" sourceLinked="0"/>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(allcats!$R$31,allcats!$R$33,allcats!$R$35,allcats!$R$37,allcats!$R$39,allcats!$R$41,allcats!$R$43,allcats!$R$45,allcats!$R$47,allcats!$R$49,allcats!$R$51,allcats!$R$53)</c:f>
              <c:numCache>
                <c:formatCode>#,##0.00</c:formatCode>
                <c:ptCount val="12"/>
                <c:pt idx="0">
                  <c:v>648.70005372357309</c:v>
                </c:pt>
                <c:pt idx="1">
                  <c:v>1098.9188864843611</c:v>
                </c:pt>
                <c:pt idx="2">
                  <c:v>6107.8223887316744</c:v>
                </c:pt>
                <c:pt idx="3">
                  <c:v>1484.000998047791</c:v>
                </c:pt>
                <c:pt idx="4">
                  <c:v>219.8415880990934</c:v>
                </c:pt>
                <c:pt idx="5">
                  <c:v>480.09029585798714</c:v>
                </c:pt>
                <c:pt idx="6">
                  <c:v>545.00162608392634</c:v>
                </c:pt>
                <c:pt idx="7">
                  <c:v>1824.4250401035131</c:v>
                </c:pt>
                <c:pt idx="8">
                  <c:v>1335.8700192194146</c:v>
                </c:pt>
                <c:pt idx="9">
                  <c:v>3027.0579805989801</c:v>
                </c:pt>
                <c:pt idx="10">
                  <c:v>16771.72887695031</c:v>
                </c:pt>
                <c:pt idx="11">
                  <c:v>18678.29547450778</c:v>
                </c:pt>
              </c:numCache>
            </c:numRef>
          </c:val>
          <c:extLst>
            <c:ext xmlns:c16="http://schemas.microsoft.com/office/drawing/2014/chart" uri="{C3380CC4-5D6E-409C-BE32-E72D297353CC}">
              <c16:uniqueId val="{00000000-188C-404B-ABF4-53281B72939F}"/>
            </c:ext>
          </c:extLst>
        </c:ser>
        <c:ser>
          <c:idx val="0"/>
          <c:order val="1"/>
          <c:tx>
            <c:v>All other districts</c:v>
          </c:tx>
          <c:spPr>
            <a:solidFill>
              <a:schemeClr val="accent2"/>
            </a:solidFill>
          </c:spPr>
          <c:invertIfNegative val="0"/>
          <c:dLbls>
            <c:numFmt formatCode="&quot;$&quot;#,##0" sourceLinked="0"/>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(allcats!$R$32,allcats!$R$34,allcats!$R$36,allcats!$R$38,allcats!$R$40,allcats!$R$42,allcats!$R$44,allcats!$R$46,allcats!$R$48,allcats!$R$50,allcats!$R$52,allcats!$R$54)</c:f>
              <c:numCache>
                <c:formatCode>#,##0.00</c:formatCode>
                <c:ptCount val="12"/>
                <c:pt idx="0">
                  <c:v>545.33782040331357</c:v>
                </c:pt>
                <c:pt idx="1">
                  <c:v>1011.2291559646995</c:v>
                </c:pt>
                <c:pt idx="2">
                  <c:v>5807.3229289320843</c:v>
                </c:pt>
                <c:pt idx="3">
                  <c:v>1230.0022251268699</c:v>
                </c:pt>
                <c:pt idx="4">
                  <c:v>206.28567680072081</c:v>
                </c:pt>
                <c:pt idx="5">
                  <c:v>466.02703599159162</c:v>
                </c:pt>
                <c:pt idx="6">
                  <c:v>456.5628002656544</c:v>
                </c:pt>
                <c:pt idx="7">
                  <c:v>1485.9375139545411</c:v>
                </c:pt>
                <c:pt idx="8">
                  <c:v>1118.9662843208</c:v>
                </c:pt>
                <c:pt idx="9">
                  <c:v>2599.013051400002</c:v>
                </c:pt>
                <c:pt idx="10">
                  <c:v>14926.68449316029</c:v>
                </c:pt>
                <c:pt idx="11">
                  <c:v>16691.553067482353</c:v>
                </c:pt>
              </c:numCache>
            </c:numRef>
          </c:val>
          <c:extLst>
            <c:ext xmlns:c16="http://schemas.microsoft.com/office/drawing/2014/chart" uri="{C3380CC4-5D6E-409C-BE32-E72D297353CC}">
              <c16:uniqueId val="{00000001-188C-404B-ABF4-53281B72939F}"/>
            </c:ext>
          </c:extLst>
        </c:ser>
        <c:dLbls>
          <c:showLegendKey val="0"/>
          <c:showVal val="0"/>
          <c:showCatName val="0"/>
          <c:showSerName val="0"/>
          <c:showPercent val="0"/>
          <c:showBubbleSize val="0"/>
        </c:dLbls>
        <c:gapWidth val="150"/>
        <c:axId val="151168128"/>
        <c:axId val="151170432"/>
      </c:barChart>
      <c:catAx>
        <c:axId val="151168128"/>
        <c:scaling>
          <c:orientation val="maxMin"/>
        </c:scaling>
        <c:delete val="0"/>
        <c:axPos val="l"/>
        <c:numFmt formatCode="General" sourceLinked="0"/>
        <c:majorTickMark val="out"/>
        <c:minorTickMark val="none"/>
        <c:tickLblPos val="nextTo"/>
        <c:crossAx val="151170432"/>
        <c:crosses val="autoZero"/>
        <c:auto val="1"/>
        <c:lblAlgn val="ctr"/>
        <c:lblOffset val="100"/>
        <c:noMultiLvlLbl val="0"/>
      </c:catAx>
      <c:valAx>
        <c:axId val="151170432"/>
        <c:scaling>
          <c:orientation val="minMax"/>
        </c:scaling>
        <c:delete val="1"/>
        <c:axPos val="t"/>
        <c:numFmt formatCode="#,##0" sourceLinked="0"/>
        <c:majorTickMark val="out"/>
        <c:minorTickMark val="none"/>
        <c:tickLblPos val="none"/>
        <c:crossAx val="151168128"/>
        <c:crosses val="autoZero"/>
        <c:crossBetween val="between"/>
      </c:valAx>
    </c:plotArea>
    <c:legend>
      <c:legendPos val="b"/>
      <c:overlay val="0"/>
    </c:legend>
    <c:plotVisOnly val="0"/>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en-US" sz="1400"/>
              <a:t>Figure 6: Change in per pupil spending by major func</a:t>
            </a:r>
            <a:r>
              <a:rPr lang="en-US" sz="1400" baseline="0"/>
              <a:t>tional category, fiscal years 2008-2016</a:t>
            </a:r>
            <a:endParaRPr lang="en-US" sz="1400"/>
          </a:p>
        </c:rich>
      </c:tx>
      <c:overlay val="0"/>
    </c:title>
    <c:autoTitleDeleted val="0"/>
    <c:plotArea>
      <c:layout/>
      <c:barChart>
        <c:barDir val="bar"/>
        <c:grouping val="clustered"/>
        <c:varyColors val="0"/>
        <c:ser>
          <c:idx val="1"/>
          <c:order val="0"/>
          <c:tx>
            <c:v>Rural districts</c:v>
          </c:tx>
          <c:spPr>
            <a:solidFill>
              <a:schemeClr val="accent1"/>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(allcats!$R$57,allcats!$R$59,allcats!$R$61,allcats!$R$63,allcats!$R$65,allcats!$R$67,allcats!$R$69,allcats!$R$71,allcats!$R$73,allcats!$R$75,allcats!$R$77,allcats!$R$79)</c:f>
              <c:numCache>
                <c:formatCode>0.0%</c:formatCode>
                <c:ptCount val="12"/>
                <c:pt idx="0">
                  <c:v>0.32766585203111293</c:v>
                </c:pt>
                <c:pt idx="1">
                  <c:v>0.30365380593530239</c:v>
                </c:pt>
                <c:pt idx="2">
                  <c:v>0.26401096006620045</c:v>
                </c:pt>
                <c:pt idx="3">
                  <c:v>0.35063442701472602</c:v>
                </c:pt>
                <c:pt idx="4">
                  <c:v>0.23095516578416522</c:v>
                </c:pt>
                <c:pt idx="5">
                  <c:v>0.104561036822977</c:v>
                </c:pt>
                <c:pt idx="6">
                  <c:v>0.38167258328464648</c:v>
                </c:pt>
                <c:pt idx="7">
                  <c:v>0.33530036533255936</c:v>
                </c:pt>
                <c:pt idx="8">
                  <c:v>0.14993028252097049</c:v>
                </c:pt>
                <c:pt idx="9">
                  <c:v>0.50681083500578161</c:v>
                </c:pt>
                <c:pt idx="10">
                  <c:v>0.30957516860257739</c:v>
                </c:pt>
                <c:pt idx="11">
                  <c:v>0.313157438522498</c:v>
                </c:pt>
              </c:numCache>
            </c:numRef>
          </c:val>
          <c:extLst>
            <c:ext xmlns:c16="http://schemas.microsoft.com/office/drawing/2014/chart" uri="{C3380CC4-5D6E-409C-BE32-E72D297353CC}">
              <c16:uniqueId val="{00000000-8811-4264-B879-EA8CB0549EFA}"/>
            </c:ext>
          </c:extLst>
        </c:ser>
        <c:ser>
          <c:idx val="0"/>
          <c:order val="1"/>
          <c:tx>
            <c:v>All other districts</c:v>
          </c:tx>
          <c:spPr>
            <a:solidFill>
              <a:schemeClr val="accent2"/>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allcats!$AC$4:$AC$15</c:f>
              <c:strCache>
                <c:ptCount val="12"/>
                <c:pt idx="0">
                  <c:v>Administration</c:v>
                </c:pt>
                <c:pt idx="1">
                  <c:v>Instructional leadership</c:v>
                </c:pt>
                <c:pt idx="2">
                  <c:v>Teachers</c:v>
                </c:pt>
                <c:pt idx="3">
                  <c:v>Other teaching services</c:v>
                </c:pt>
                <c:pt idx="4">
                  <c:v>Professional development</c:v>
                </c:pt>
                <c:pt idx="5">
                  <c:v>Instructional materials</c:v>
                </c:pt>
                <c:pt idx="6">
                  <c:v>Guidance and psychology</c:v>
                </c:pt>
                <c:pt idx="7">
                  <c:v>Pupil services</c:v>
                </c:pt>
                <c:pt idx="8">
                  <c:v>Operations and maintenance</c:v>
                </c:pt>
                <c:pt idx="9">
                  <c:v>Benefits and fixed costs</c:v>
                </c:pt>
                <c:pt idx="10">
                  <c:v>In-district per pupil</c:v>
                </c:pt>
                <c:pt idx="11">
                  <c:v>Total per pupil</c:v>
                </c:pt>
              </c:strCache>
            </c:strRef>
          </c:cat>
          <c:val>
            <c:numRef>
              <c:f>(allcats!$R$58,allcats!$R$60,allcats!$R$62,allcats!$R$64,allcats!$R$66,allcats!$R$68,allcats!$R$70,allcats!$R$72,allcats!$R$74,allcats!$R$76,allcats!$R$78,allcats!$R$80)</c:f>
              <c:numCache>
                <c:formatCode>0.0%</c:formatCode>
                <c:ptCount val="12"/>
                <c:pt idx="0">
                  <c:v>0.30075366133526366</c:v>
                </c:pt>
                <c:pt idx="1">
                  <c:v>0.26587641975771653</c:v>
                </c:pt>
                <c:pt idx="2">
                  <c:v>0.236520212771654</c:v>
                </c:pt>
                <c:pt idx="3">
                  <c:v>0.41108014583926478</c:v>
                </c:pt>
                <c:pt idx="4">
                  <c:v>-5.1942074818309356E-2</c:v>
                </c:pt>
                <c:pt idx="5">
                  <c:v>0.29656999435159731</c:v>
                </c:pt>
                <c:pt idx="6">
                  <c:v>0.35428204185158801</c:v>
                </c:pt>
                <c:pt idx="7">
                  <c:v>0.32489017363991396</c:v>
                </c:pt>
                <c:pt idx="8">
                  <c:v>5.7554404042685157E-2</c:v>
                </c:pt>
                <c:pt idx="9">
                  <c:v>0.25502443135953246</c:v>
                </c:pt>
                <c:pt idx="10">
                  <c:v>0.24899891680205338</c:v>
                </c:pt>
                <c:pt idx="11">
                  <c:v>0.27043479723635538</c:v>
                </c:pt>
              </c:numCache>
            </c:numRef>
          </c:val>
          <c:extLst>
            <c:ext xmlns:c16="http://schemas.microsoft.com/office/drawing/2014/chart" uri="{C3380CC4-5D6E-409C-BE32-E72D297353CC}">
              <c16:uniqueId val="{00000001-8811-4264-B879-EA8CB0549EFA}"/>
            </c:ext>
          </c:extLst>
        </c:ser>
        <c:dLbls>
          <c:showLegendKey val="0"/>
          <c:showVal val="0"/>
          <c:showCatName val="0"/>
          <c:showSerName val="0"/>
          <c:showPercent val="0"/>
          <c:showBubbleSize val="0"/>
        </c:dLbls>
        <c:gapWidth val="150"/>
        <c:axId val="39170048"/>
        <c:axId val="39171584"/>
      </c:barChart>
      <c:catAx>
        <c:axId val="39170048"/>
        <c:scaling>
          <c:orientation val="maxMin"/>
        </c:scaling>
        <c:delete val="0"/>
        <c:axPos val="l"/>
        <c:numFmt formatCode="General" sourceLinked="0"/>
        <c:majorTickMark val="out"/>
        <c:minorTickMark val="none"/>
        <c:tickLblPos val="low"/>
        <c:crossAx val="39171584"/>
        <c:crosses val="autoZero"/>
        <c:auto val="1"/>
        <c:lblAlgn val="ctr"/>
        <c:lblOffset val="0"/>
        <c:noMultiLvlLbl val="0"/>
      </c:catAx>
      <c:valAx>
        <c:axId val="39171584"/>
        <c:scaling>
          <c:orientation val="minMax"/>
          <c:min val="-0.1"/>
        </c:scaling>
        <c:delete val="1"/>
        <c:axPos val="t"/>
        <c:numFmt formatCode="0.00%" sourceLinked="0"/>
        <c:majorTickMark val="out"/>
        <c:minorTickMark val="none"/>
        <c:tickLblPos val="none"/>
        <c:crossAx val="39170048"/>
        <c:crosses val="autoZero"/>
        <c:crossBetween val="between"/>
      </c:valAx>
    </c:plotArea>
    <c:legend>
      <c:legendPos val="b"/>
      <c:overlay val="0"/>
    </c:legend>
    <c:plotVisOnly val="0"/>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Figure 7:</a:t>
            </a:r>
            <a:r>
              <a:rPr lang="en-US" sz="1400" baseline="0"/>
              <a:t> In-district transportation spending per pupil</a:t>
            </a:r>
            <a:endParaRPr lang="en-US" sz="1400"/>
          </a:p>
        </c:rich>
      </c:tx>
      <c:overlay val="0"/>
      <c:spPr>
        <a:noFill/>
        <a:ln>
          <a:noFill/>
        </a:ln>
        <a:effectLst/>
      </c:spPr>
    </c:title>
    <c:autoTitleDeleted val="0"/>
    <c:plotArea>
      <c:layout/>
      <c:lineChart>
        <c:grouping val="standard"/>
        <c:varyColors val="0"/>
        <c:ser>
          <c:idx val="1"/>
          <c:order val="0"/>
          <c:tx>
            <c:v>Rural districts</c:v>
          </c:tx>
          <c:spPr>
            <a:ln w="28575" cap="rnd" cmpd="sng" algn="ctr">
              <a:solidFill>
                <a:schemeClr val="accent1"/>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transport!$O$17:$W$17</c:f>
              <c:numCache>
                <c:formatCode>#,##0.00</c:formatCode>
                <c:ptCount val="9"/>
                <c:pt idx="0">
                  <c:v>643.38293793805769</c:v>
                </c:pt>
                <c:pt idx="1">
                  <c:v>668.01796442184741</c:v>
                </c:pt>
                <c:pt idx="2">
                  <c:v>655.59992142060571</c:v>
                </c:pt>
                <c:pt idx="3">
                  <c:v>676.82820362229631</c:v>
                </c:pt>
                <c:pt idx="4">
                  <c:v>721.36070247888551</c:v>
                </c:pt>
                <c:pt idx="5">
                  <c:v>746.19668486882051</c:v>
                </c:pt>
                <c:pt idx="6">
                  <c:v>785.14986197006851</c:v>
                </c:pt>
                <c:pt idx="7">
                  <c:v>828.44576556219351</c:v>
                </c:pt>
                <c:pt idx="8">
                  <c:v>877.98693591851793</c:v>
                </c:pt>
              </c:numCache>
            </c:numRef>
          </c:val>
          <c:smooth val="0"/>
          <c:extLst>
            <c:ext xmlns:c16="http://schemas.microsoft.com/office/drawing/2014/chart" uri="{C3380CC4-5D6E-409C-BE32-E72D297353CC}">
              <c16:uniqueId val="{00000000-5730-437C-89F8-6F1539018F6D}"/>
            </c:ext>
          </c:extLst>
        </c:ser>
        <c:ser>
          <c:idx val="0"/>
          <c:order val="1"/>
          <c:tx>
            <c:v>All other districts</c:v>
          </c:tx>
          <c:spPr>
            <a:ln w="28575" cap="rnd" cmpd="sng" algn="ctr">
              <a:solidFill>
                <a:schemeClr val="accent2"/>
              </a:solidFill>
              <a:prstDash val="solid"/>
              <a:round/>
            </a:ln>
            <a:effectLst/>
          </c:spPr>
          <c:marker>
            <c:symbol val="none"/>
          </c:marker>
          <c:cat>
            <c:numRef>
              <c:f>pivots!$M$18:$V$18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transport!$O$16:$W$16</c:f>
              <c:numCache>
                <c:formatCode>#,##0.00</c:formatCode>
                <c:ptCount val="9"/>
                <c:pt idx="0">
                  <c:v>430.70483925804189</c:v>
                </c:pt>
                <c:pt idx="1">
                  <c:v>456.03355251194483</c:v>
                </c:pt>
                <c:pt idx="2">
                  <c:v>444.96549782830562</c:v>
                </c:pt>
                <c:pt idx="3">
                  <c:v>461.87745690102696</c:v>
                </c:pt>
                <c:pt idx="4">
                  <c:v>475.12333920246914</c:v>
                </c:pt>
                <c:pt idx="5">
                  <c:v>496.65603325104883</c:v>
                </c:pt>
                <c:pt idx="6">
                  <c:v>541.04535191989271</c:v>
                </c:pt>
                <c:pt idx="7">
                  <c:v>565.6036487274755</c:v>
                </c:pt>
                <c:pt idx="8">
                  <c:v>586.88445609740086</c:v>
                </c:pt>
              </c:numCache>
            </c:numRef>
          </c:val>
          <c:smooth val="0"/>
          <c:extLst>
            <c:ext xmlns:c16="http://schemas.microsoft.com/office/drawing/2014/chart" uri="{C3380CC4-5D6E-409C-BE32-E72D297353CC}">
              <c16:uniqueId val="{00000001-5730-437C-89F8-6F1539018F6D}"/>
            </c:ext>
          </c:extLst>
        </c:ser>
        <c:dLbls>
          <c:showLegendKey val="0"/>
          <c:showVal val="0"/>
          <c:showCatName val="0"/>
          <c:showSerName val="0"/>
          <c:showPercent val="0"/>
          <c:showBubbleSize val="0"/>
        </c:dLbls>
        <c:smooth val="0"/>
        <c:axId val="39187968"/>
        <c:axId val="39189504"/>
      </c:lineChart>
      <c:catAx>
        <c:axId val="391879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189504"/>
        <c:crosses val="autoZero"/>
        <c:auto val="1"/>
        <c:lblAlgn val="ctr"/>
        <c:lblOffset val="100"/>
        <c:noMultiLvlLbl val="0"/>
      </c:catAx>
      <c:valAx>
        <c:axId val="39189504"/>
        <c:scaling>
          <c:orientation val="minMax"/>
        </c:scaling>
        <c:delete val="0"/>
        <c:axPos val="l"/>
        <c:majorGridlines>
          <c:spPr>
            <a:ln w="9525" cap="flat" cmpd="sng" algn="ctr">
              <a:solidFill>
                <a:schemeClr val="tx1">
                  <a:tint val="75000"/>
                  <a:shade val="95000"/>
                  <a:satMod val="105000"/>
                </a:schemeClr>
              </a:solidFill>
              <a:prstDash val="dash"/>
              <a:round/>
            </a:ln>
            <a:effectLst/>
          </c:spPr>
        </c:majorGridlines>
        <c:numFmt formatCode="&quot;$&quot;#,##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1879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Figure 8: Fiscal</a:t>
            </a:r>
            <a:r>
              <a:rPr lang="en-US" sz="1400" baseline="0"/>
              <a:t> year 2016 a</a:t>
            </a:r>
            <a:r>
              <a:rPr lang="en-US" sz="1400"/>
              <a:t>ssumed and</a:t>
            </a:r>
            <a:r>
              <a:rPr lang="en-US" sz="1400" baseline="0"/>
              <a:t> actual </a:t>
            </a:r>
          </a:p>
          <a:p>
            <a:pPr>
              <a:defRPr/>
            </a:pPr>
            <a:r>
              <a:rPr lang="en-US" sz="1400" baseline="0"/>
              <a:t>average teacher salaries</a:t>
            </a:r>
            <a:endParaRPr lang="en-US" sz="1400"/>
          </a:p>
        </c:rich>
      </c:tx>
      <c:overlay val="0"/>
    </c:title>
    <c:autoTitleDeleted val="0"/>
    <c:plotArea>
      <c:layout/>
      <c:barChart>
        <c:barDir val="col"/>
        <c:grouping val="clustered"/>
        <c:varyColors val="0"/>
        <c:ser>
          <c:idx val="1"/>
          <c:order val="0"/>
          <c:tx>
            <c:strRef>
              <c:f>'Report Figures'!$D$29</c:f>
              <c:strCache>
                <c:ptCount val="1"/>
                <c:pt idx="0">
                  <c:v>Assumed average salary</c:v>
                </c:pt>
              </c:strCache>
            </c:strRef>
          </c:tx>
          <c:spPr>
            <a:solidFill>
              <a:srgbClr val="4F81BD"/>
            </a:solidFill>
          </c:spPr>
          <c:invertIfNegative val="0"/>
          <c:dLbls>
            <c:dLbl>
              <c:idx val="0"/>
              <c:tx>
                <c:rich>
                  <a:bodyPr/>
                  <a:lstStyle/>
                  <a:p>
                    <a:r>
                      <a:rPr lang="en-US"/>
                      <a:t> $69,139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864-4400-8439-3BAC9C9B4CB6}"/>
                </c:ext>
              </c:extLst>
            </c:dLbl>
            <c:dLbl>
              <c:idx val="1"/>
              <c:tx>
                <c:rich>
                  <a:bodyPr/>
                  <a:lstStyle/>
                  <a:p>
                    <a:r>
                      <a:rPr lang="en-US"/>
                      <a:t> $69,681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64-4400-8439-3BAC9C9B4CB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Figures'!$B$30:$B$31</c:f>
              <c:strCache>
                <c:ptCount val="2"/>
                <c:pt idx="0">
                  <c:v>Rural districts</c:v>
                </c:pt>
                <c:pt idx="1">
                  <c:v>All other districts</c:v>
                </c:pt>
              </c:strCache>
            </c:strRef>
          </c:cat>
          <c:val>
            <c:numRef>
              <c:f>'Report Figures'!$D$30:$D$31</c:f>
              <c:numCache>
                <c:formatCode>_(* #,##0_);_(* \(#,##0\);_(* "-"??_);_(@_)</c:formatCode>
                <c:ptCount val="2"/>
                <c:pt idx="0">
                  <c:v>69139.477955921699</c:v>
                </c:pt>
                <c:pt idx="1">
                  <c:v>69681.050421833992</c:v>
                </c:pt>
              </c:numCache>
            </c:numRef>
          </c:val>
          <c:extLst>
            <c:ext xmlns:c16="http://schemas.microsoft.com/office/drawing/2014/chart" uri="{C3380CC4-5D6E-409C-BE32-E72D297353CC}">
              <c16:uniqueId val="{00000002-7864-4400-8439-3BAC9C9B4CB6}"/>
            </c:ext>
          </c:extLst>
        </c:ser>
        <c:ser>
          <c:idx val="0"/>
          <c:order val="1"/>
          <c:tx>
            <c:strRef>
              <c:f>'Report Figures'!$C$29</c:f>
              <c:strCache>
                <c:ptCount val="1"/>
                <c:pt idx="0">
                  <c:v>Actual average salary</c:v>
                </c:pt>
              </c:strCache>
            </c:strRef>
          </c:tx>
          <c:spPr>
            <a:solidFill>
              <a:srgbClr val="C0504D"/>
            </a:solidFill>
          </c:spPr>
          <c:invertIfNegative val="0"/>
          <c:dLbls>
            <c:dLbl>
              <c:idx val="0"/>
              <c:tx>
                <c:rich>
                  <a:bodyPr/>
                  <a:lstStyle/>
                  <a:p>
                    <a:r>
                      <a:rPr lang="en-US"/>
                      <a:t> $68,273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64-4400-8439-3BAC9C9B4CB6}"/>
                </c:ext>
              </c:extLst>
            </c:dLbl>
            <c:dLbl>
              <c:idx val="1"/>
              <c:tx>
                <c:rich>
                  <a:bodyPr/>
                  <a:lstStyle/>
                  <a:p>
                    <a:r>
                      <a:rPr lang="en-US"/>
                      <a:t> $75,405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864-4400-8439-3BAC9C9B4CB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Figures'!$B$30:$B$31</c:f>
              <c:strCache>
                <c:ptCount val="2"/>
                <c:pt idx="0">
                  <c:v>Rural districts</c:v>
                </c:pt>
                <c:pt idx="1">
                  <c:v>All other districts</c:v>
                </c:pt>
              </c:strCache>
            </c:strRef>
          </c:cat>
          <c:val>
            <c:numRef>
              <c:f>'Report Figures'!$C$30:$C$31</c:f>
              <c:numCache>
                <c:formatCode>_(* #,##0_);_(* \(#,##0\);_(* "-"??_);_(@_)</c:formatCode>
                <c:ptCount val="2"/>
                <c:pt idx="0">
                  <c:v>68272.990756547384</c:v>
                </c:pt>
                <c:pt idx="1">
                  <c:v>75404.682923605447</c:v>
                </c:pt>
              </c:numCache>
            </c:numRef>
          </c:val>
          <c:extLst>
            <c:ext xmlns:c16="http://schemas.microsoft.com/office/drawing/2014/chart" uri="{C3380CC4-5D6E-409C-BE32-E72D297353CC}">
              <c16:uniqueId val="{00000005-7864-4400-8439-3BAC9C9B4CB6}"/>
            </c:ext>
          </c:extLst>
        </c:ser>
        <c:dLbls>
          <c:showLegendKey val="0"/>
          <c:showVal val="0"/>
          <c:showCatName val="0"/>
          <c:showSerName val="0"/>
          <c:showPercent val="0"/>
          <c:showBubbleSize val="0"/>
        </c:dLbls>
        <c:gapWidth val="150"/>
        <c:axId val="39361536"/>
        <c:axId val="39375616"/>
      </c:barChart>
      <c:catAx>
        <c:axId val="39361536"/>
        <c:scaling>
          <c:orientation val="minMax"/>
        </c:scaling>
        <c:delete val="0"/>
        <c:axPos val="b"/>
        <c:numFmt formatCode="General" sourceLinked="0"/>
        <c:majorTickMark val="out"/>
        <c:minorTickMark val="none"/>
        <c:tickLblPos val="nextTo"/>
        <c:crossAx val="39375616"/>
        <c:crossesAt val="0"/>
        <c:auto val="1"/>
        <c:lblAlgn val="ctr"/>
        <c:lblOffset val="100"/>
        <c:noMultiLvlLbl val="0"/>
      </c:catAx>
      <c:valAx>
        <c:axId val="39375616"/>
        <c:scaling>
          <c:orientation val="minMax"/>
          <c:min val="0"/>
        </c:scaling>
        <c:delete val="0"/>
        <c:axPos val="l"/>
        <c:title>
          <c:tx>
            <c:rich>
              <a:bodyPr rot="-5400000" vert="horz"/>
              <a:lstStyle/>
              <a:p>
                <a:pPr>
                  <a:defRPr/>
                </a:pPr>
                <a:r>
                  <a:rPr lang="en-US"/>
                  <a:t>$ per teacher FTE</a:t>
                </a:r>
              </a:p>
            </c:rich>
          </c:tx>
          <c:overlay val="0"/>
        </c:title>
        <c:numFmt formatCode="&quot;$&quot;#,##0" sourceLinked="0"/>
        <c:majorTickMark val="out"/>
        <c:minorTickMark val="none"/>
        <c:tickLblPos val="nextTo"/>
        <c:crossAx val="393615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9: Foundation budget and hold</a:t>
            </a:r>
            <a:r>
              <a:rPr lang="en-US" sz="1400" baseline="0"/>
              <a:t> harmless aid per pupil</a:t>
            </a:r>
            <a:endParaRPr lang="en-US" sz="1400"/>
          </a:p>
        </c:rich>
      </c:tx>
      <c:overlay val="0"/>
    </c:title>
    <c:autoTitleDeleted val="0"/>
    <c:plotArea>
      <c:layout/>
      <c:barChart>
        <c:barDir val="col"/>
        <c:grouping val="clustered"/>
        <c:varyColors val="0"/>
        <c:ser>
          <c:idx val="0"/>
          <c:order val="0"/>
          <c:tx>
            <c:strRef>
              <c:f>'Report Figures'!$B$7</c:f>
              <c:strCache>
                <c:ptCount val="1"/>
                <c:pt idx="0">
                  <c:v>Foundation budget per pupil</c:v>
                </c:pt>
              </c:strCache>
            </c:strRef>
          </c:tx>
          <c:spPr>
            <a:solidFill>
              <a:srgbClr val="4F81BD"/>
            </a:solidFill>
          </c:spPr>
          <c:invertIfNegative val="0"/>
          <c:cat>
            <c:multiLvlStrRef>
              <c:f>'Report Figures'!$C$2:$F$3</c:f>
              <c:multiLvlStrCache>
                <c:ptCount val="4"/>
                <c:lvl>
                  <c:pt idx="0">
                    <c:v>FY2008</c:v>
                  </c:pt>
                  <c:pt idx="1">
                    <c:v>FY2017</c:v>
                  </c:pt>
                  <c:pt idx="2">
                    <c:v>FY2008</c:v>
                  </c:pt>
                  <c:pt idx="3">
                    <c:v>FY2017</c:v>
                  </c:pt>
                </c:lvl>
                <c:lvl>
                  <c:pt idx="0">
                    <c:v>Rural districts</c:v>
                  </c:pt>
                  <c:pt idx="2">
                    <c:v>All other districts</c:v>
                  </c:pt>
                </c:lvl>
              </c:multiLvlStrCache>
            </c:multiLvlStrRef>
          </c:cat>
          <c:val>
            <c:numRef>
              <c:f>'Report Figures'!$C$7:$F$7</c:f>
              <c:numCache>
                <c:formatCode>_(* #,##0_);_(* \(#,##0\);_(* "-"??_);_(@_)</c:formatCode>
                <c:ptCount val="4"/>
                <c:pt idx="0">
                  <c:v>8246.3773316631577</c:v>
                </c:pt>
                <c:pt idx="1">
                  <c:v>10220.68869234498</c:v>
                </c:pt>
                <c:pt idx="2">
                  <c:v>8854.6366434114134</c:v>
                </c:pt>
                <c:pt idx="3">
                  <c:v>10772.138231829254</c:v>
                </c:pt>
              </c:numCache>
            </c:numRef>
          </c:val>
          <c:extLst>
            <c:ext xmlns:c16="http://schemas.microsoft.com/office/drawing/2014/chart" uri="{C3380CC4-5D6E-409C-BE32-E72D297353CC}">
              <c16:uniqueId val="{00000000-C612-43C4-8747-88877FE27953}"/>
            </c:ext>
          </c:extLst>
        </c:ser>
        <c:ser>
          <c:idx val="1"/>
          <c:order val="1"/>
          <c:tx>
            <c:strRef>
              <c:f>'Report Figures'!$B$8</c:f>
              <c:strCache>
                <c:ptCount val="1"/>
                <c:pt idx="0">
                  <c:v>Hold harmless aid per pupil</c:v>
                </c:pt>
              </c:strCache>
            </c:strRef>
          </c:tx>
          <c:spPr>
            <a:solidFill>
              <a:srgbClr val="C0504D"/>
            </a:solidFill>
          </c:spPr>
          <c:invertIfNegative val="0"/>
          <c:cat>
            <c:multiLvlStrRef>
              <c:f>'Report Figures'!$C$2:$F$3</c:f>
              <c:multiLvlStrCache>
                <c:ptCount val="4"/>
                <c:lvl>
                  <c:pt idx="0">
                    <c:v>FY2008</c:v>
                  </c:pt>
                  <c:pt idx="1">
                    <c:v>FY2017</c:v>
                  </c:pt>
                  <c:pt idx="2">
                    <c:v>FY2008</c:v>
                  </c:pt>
                  <c:pt idx="3">
                    <c:v>FY2017</c:v>
                  </c:pt>
                </c:lvl>
                <c:lvl>
                  <c:pt idx="0">
                    <c:v>Rural districts</c:v>
                  </c:pt>
                  <c:pt idx="2">
                    <c:v>All other districts</c:v>
                  </c:pt>
                </c:lvl>
              </c:multiLvlStrCache>
            </c:multiLvlStrRef>
          </c:cat>
          <c:val>
            <c:numRef>
              <c:f>'Report Figures'!$C$8:$F$8</c:f>
              <c:numCache>
                <c:formatCode>_(* #,##0_);_(* \(#,##0\);_(* "-"??_);_(@_)</c:formatCode>
                <c:ptCount val="4"/>
                <c:pt idx="0">
                  <c:v>826.36311317241382</c:v>
                </c:pt>
                <c:pt idx="1">
                  <c:v>1328.2139810912681</c:v>
                </c:pt>
                <c:pt idx="2">
                  <c:v>267.8545702074087</c:v>
                </c:pt>
                <c:pt idx="3">
                  <c:v>451.7612937227168</c:v>
                </c:pt>
              </c:numCache>
            </c:numRef>
          </c:val>
          <c:extLst>
            <c:ext xmlns:c16="http://schemas.microsoft.com/office/drawing/2014/chart" uri="{C3380CC4-5D6E-409C-BE32-E72D297353CC}">
              <c16:uniqueId val="{00000001-C612-43C4-8747-88877FE27953}"/>
            </c:ext>
          </c:extLst>
        </c:ser>
        <c:dLbls>
          <c:showLegendKey val="0"/>
          <c:showVal val="0"/>
          <c:showCatName val="0"/>
          <c:showSerName val="0"/>
          <c:showPercent val="0"/>
          <c:showBubbleSize val="0"/>
        </c:dLbls>
        <c:gapWidth val="150"/>
        <c:overlap val="100"/>
        <c:axId val="41556224"/>
        <c:axId val="41574400"/>
      </c:barChart>
      <c:catAx>
        <c:axId val="41556224"/>
        <c:scaling>
          <c:orientation val="minMax"/>
        </c:scaling>
        <c:delete val="0"/>
        <c:axPos val="b"/>
        <c:numFmt formatCode="General" sourceLinked="1"/>
        <c:majorTickMark val="out"/>
        <c:minorTickMark val="none"/>
        <c:tickLblPos val="nextTo"/>
        <c:crossAx val="41574400"/>
        <c:crosses val="autoZero"/>
        <c:auto val="1"/>
        <c:lblAlgn val="ctr"/>
        <c:lblOffset val="100"/>
        <c:noMultiLvlLbl val="0"/>
      </c:catAx>
      <c:valAx>
        <c:axId val="41574400"/>
        <c:scaling>
          <c:orientation val="minMax"/>
        </c:scaling>
        <c:delete val="0"/>
        <c:axPos val="l"/>
        <c:title>
          <c:tx>
            <c:rich>
              <a:bodyPr rot="-5400000" vert="horz"/>
              <a:lstStyle/>
              <a:p>
                <a:pPr>
                  <a:defRPr/>
                </a:pPr>
                <a:r>
                  <a:rPr lang="en-US" baseline="0"/>
                  <a:t>$ per pupil</a:t>
                </a:r>
                <a:endParaRPr lang="en-US"/>
              </a:p>
            </c:rich>
          </c:tx>
          <c:overlay val="0"/>
        </c:title>
        <c:numFmt formatCode="&quot;$&quot;#,##0" sourceLinked="0"/>
        <c:majorTickMark val="out"/>
        <c:minorTickMark val="none"/>
        <c:tickLblPos val="nextTo"/>
        <c:crossAx val="4155622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DESE-231-71382</_dlc_DocId>
    <_dlc_DocIdUrl xmlns="733efe1c-5bbe-4968-87dc-d400e65c879f">
      <Url>https://sharepoint.doemass.org/ese/webteam/cps/_layouts/DocIdRedir.aspx?ID=DESE-231-71382</Url>
      <Description>DESE-231-71382</Description>
    </_dlc_DocIdUrl>
    <_vti_RoutingExistingProperties xmlns="0a4e05da-b9bc-4326-ad73-01ef31b95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2BF08-EF9C-4CF8-8EE0-D1C30FFB4AEA}">
  <ds:schemaRefs>
    <ds:schemaRef ds:uri="http://schemas.openxmlformats.org/officeDocument/2006/bibliography"/>
  </ds:schemaRefs>
</ds:datastoreItem>
</file>

<file path=customXml/itemProps2.xml><?xml version="1.0" encoding="utf-8"?>
<ds:datastoreItem xmlns:ds="http://schemas.openxmlformats.org/officeDocument/2006/customXml" ds:itemID="{CFB40FA5-24CB-49BC-9D34-073A76C7E8FF}">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116D0F34-8C30-44A4-864E-FB06D3C7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C9FBD-AB39-435C-B3D6-1ADE2D8F63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7866</Words>
  <Characters>44840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Fiscal Conditions in Rural School Districts</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Conditions in Rural School Districts</dc:title>
  <dc:creator>DESE</dc:creator>
  <cp:lastModifiedBy>Zou, Dong (EOE)</cp:lastModifiedBy>
  <cp:revision>4</cp:revision>
  <cp:lastPrinted>2018-01-04T17:46:00Z</cp:lastPrinted>
  <dcterms:created xsi:type="dcterms:W3CDTF">2021-06-03T20:31:00Z</dcterms:created>
  <dcterms:modified xsi:type="dcterms:W3CDTF">2021-06-03T21:05:00Z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2021</vt:lpwstr>
  </property>
</Properties>
</file>