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6466CA04" w14:textId="77777777" w:rsidTr="00E309C2">
        <w:trPr>
          <w:gridAfter w:val="1"/>
          <w:wAfter w:w="1530" w:type="dxa"/>
          <w:trHeight w:val="5040"/>
        </w:trPr>
        <w:tc>
          <w:tcPr>
            <w:tcW w:w="8010" w:type="dxa"/>
            <w:gridSpan w:val="2"/>
          </w:tcPr>
          <w:p w14:paraId="776A2B93" w14:textId="77777777" w:rsidR="005F037D" w:rsidRDefault="005F037D">
            <w:pPr>
              <w:keepNext/>
            </w:pPr>
            <w:bookmarkStart w:id="0" w:name="_GoBack"/>
            <w:bookmarkEnd w:id="0"/>
          </w:p>
          <w:p w14:paraId="3F16AFE5" w14:textId="77777777" w:rsidR="005F037D" w:rsidRDefault="00741DF2" w:rsidP="00CE1085">
            <w:r>
              <w:rPr>
                <w:noProof/>
                <w:lang w:eastAsia="zh-CN"/>
              </w:rPr>
              <w:drawing>
                <wp:inline distT="0" distB="0" distL="0" distR="0" wp14:anchorId="6439818A" wp14:editId="0D2B7576">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20EF5234" w14:textId="77777777" w:rsidTr="00E309C2">
        <w:trPr>
          <w:gridAfter w:val="1"/>
          <w:wAfter w:w="1530" w:type="dxa"/>
          <w:cantSplit/>
          <w:trHeight w:val="200"/>
        </w:trPr>
        <w:tc>
          <w:tcPr>
            <w:tcW w:w="990" w:type="dxa"/>
            <w:vMerge w:val="restart"/>
            <w:vAlign w:val="bottom"/>
          </w:tcPr>
          <w:p w14:paraId="5660F5E3" w14:textId="77777777" w:rsidR="005F037D" w:rsidRPr="00274356" w:rsidRDefault="005F037D" w:rsidP="00274356"/>
        </w:tc>
        <w:tc>
          <w:tcPr>
            <w:tcW w:w="7020" w:type="dxa"/>
            <w:vAlign w:val="bottom"/>
          </w:tcPr>
          <w:p w14:paraId="60C5D7A9" w14:textId="77777777" w:rsidR="005F037D" w:rsidRPr="009A5EBB" w:rsidRDefault="001D129F" w:rsidP="00F66EB7">
            <w:pPr>
              <w:pStyle w:val="ESEReportName"/>
              <w:rPr>
                <w:rFonts w:ascii="Times New Roman" w:hAnsi="Times New Roman"/>
                <w:sz w:val="40"/>
                <w:szCs w:val="40"/>
              </w:rPr>
            </w:pPr>
            <w:r>
              <w:rPr>
                <w:rFonts w:ascii="Times New Roman" w:hAnsi="Times New Roman"/>
                <w:sz w:val="40"/>
                <w:szCs w:val="40"/>
              </w:rPr>
              <w:t>Education Evaluation Grant Program</w:t>
            </w:r>
          </w:p>
        </w:tc>
      </w:tr>
      <w:tr w:rsidR="005F037D" w14:paraId="16D5AAA7" w14:textId="77777777" w:rsidTr="00E309C2">
        <w:trPr>
          <w:gridAfter w:val="1"/>
          <w:wAfter w:w="1530" w:type="dxa"/>
          <w:cantSplit/>
          <w:trHeight w:val="240"/>
        </w:trPr>
        <w:tc>
          <w:tcPr>
            <w:tcW w:w="990" w:type="dxa"/>
            <w:vMerge/>
            <w:vAlign w:val="bottom"/>
          </w:tcPr>
          <w:p w14:paraId="18314645" w14:textId="77777777" w:rsidR="005F037D" w:rsidRDefault="005F037D">
            <w:pPr>
              <w:spacing w:line="400" w:lineRule="exact"/>
              <w:rPr>
                <w:rFonts w:ascii="Arial" w:hAnsi="Arial"/>
                <w:color w:val="000000"/>
              </w:rPr>
            </w:pPr>
          </w:p>
        </w:tc>
        <w:tc>
          <w:tcPr>
            <w:tcW w:w="7020" w:type="dxa"/>
          </w:tcPr>
          <w:p w14:paraId="35619371" w14:textId="77777777" w:rsidR="005F037D" w:rsidRPr="00EB1F6F" w:rsidRDefault="00360679">
            <w:r>
              <w:pict w14:anchorId="5745D9AD">
                <v:rect id="_x0000_i1025" style="width:0;height:1.5pt" o:hrstd="t" o:hr="t" fillcolor="#aaa" stroked="f"/>
              </w:pict>
            </w:r>
          </w:p>
        </w:tc>
      </w:tr>
      <w:tr w:rsidR="005F037D" w14:paraId="32F1BAD0" w14:textId="77777777" w:rsidTr="00E309C2">
        <w:trPr>
          <w:gridAfter w:val="1"/>
          <w:wAfter w:w="1530" w:type="dxa"/>
          <w:cantSplit/>
          <w:trHeight w:val="760"/>
        </w:trPr>
        <w:tc>
          <w:tcPr>
            <w:tcW w:w="990" w:type="dxa"/>
            <w:vMerge/>
            <w:vAlign w:val="bottom"/>
          </w:tcPr>
          <w:p w14:paraId="1E00809A" w14:textId="77777777" w:rsidR="005F037D" w:rsidRDefault="005F037D">
            <w:pPr>
              <w:spacing w:line="400" w:lineRule="exact"/>
              <w:rPr>
                <w:rFonts w:ascii="Arial" w:hAnsi="Arial"/>
                <w:color w:val="000000"/>
              </w:rPr>
            </w:pPr>
          </w:p>
        </w:tc>
        <w:tc>
          <w:tcPr>
            <w:tcW w:w="7020" w:type="dxa"/>
          </w:tcPr>
          <w:p w14:paraId="1452436F" w14:textId="77777777" w:rsidR="005F037D" w:rsidRPr="009A5EBB" w:rsidRDefault="00F17E59" w:rsidP="001D129F">
            <w:pPr>
              <w:pStyle w:val="arial9"/>
              <w:rPr>
                <w:rFonts w:ascii="Times New Roman" w:hAnsi="Times New Roman"/>
                <w:sz w:val="20"/>
                <w:szCs w:val="20"/>
              </w:rPr>
            </w:pPr>
            <w:r>
              <w:rPr>
                <w:rFonts w:ascii="Times New Roman" w:hAnsi="Times New Roman"/>
                <w:sz w:val="20"/>
                <w:szCs w:val="20"/>
              </w:rPr>
              <w:t>June</w:t>
            </w:r>
            <w:r w:rsidR="001D129F">
              <w:rPr>
                <w:rFonts w:ascii="Times New Roman" w:hAnsi="Times New Roman"/>
                <w:sz w:val="20"/>
                <w:szCs w:val="20"/>
              </w:rPr>
              <w:t xml:space="preserve"> 2018</w:t>
            </w:r>
          </w:p>
        </w:tc>
      </w:tr>
      <w:tr w:rsidR="005F037D" w14:paraId="0C7CD527" w14:textId="77777777" w:rsidTr="00E309C2">
        <w:trPr>
          <w:gridAfter w:val="1"/>
          <w:wAfter w:w="1530" w:type="dxa"/>
          <w:cantSplit/>
          <w:trHeight w:val="6246"/>
        </w:trPr>
        <w:tc>
          <w:tcPr>
            <w:tcW w:w="990" w:type="dxa"/>
            <w:vMerge/>
            <w:vAlign w:val="bottom"/>
          </w:tcPr>
          <w:p w14:paraId="7E988DF5" w14:textId="77777777" w:rsidR="005F037D" w:rsidRDefault="005F037D">
            <w:pPr>
              <w:spacing w:line="400" w:lineRule="exact"/>
              <w:rPr>
                <w:rFonts w:ascii="Arial" w:hAnsi="Arial"/>
                <w:color w:val="000000"/>
              </w:rPr>
            </w:pPr>
          </w:p>
        </w:tc>
        <w:tc>
          <w:tcPr>
            <w:tcW w:w="7020" w:type="dxa"/>
            <w:vAlign w:val="bottom"/>
          </w:tcPr>
          <w:p w14:paraId="3D8AEC63"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159B5986"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03C62F11"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65085A4B"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172B3F98" w14:textId="77777777" w:rsidTr="00E309C2">
        <w:tblPrEx>
          <w:tblCellMar>
            <w:left w:w="108" w:type="dxa"/>
            <w:right w:w="108" w:type="dxa"/>
          </w:tblCellMar>
        </w:tblPrEx>
        <w:trPr>
          <w:trHeight w:val="8235"/>
        </w:trPr>
        <w:tc>
          <w:tcPr>
            <w:tcW w:w="9540" w:type="dxa"/>
            <w:gridSpan w:val="3"/>
          </w:tcPr>
          <w:p w14:paraId="2C09EDD8" w14:textId="77777777" w:rsidR="00C118B2" w:rsidRPr="00345DE2" w:rsidRDefault="00741DF2" w:rsidP="00E309C2">
            <w:pPr>
              <w:jc w:val="center"/>
            </w:pPr>
            <w:r>
              <w:rPr>
                <w:noProof/>
                <w:lang w:eastAsia="zh-CN"/>
              </w:rPr>
              <w:lastRenderedPageBreak/>
              <w:drawing>
                <wp:inline distT="0" distB="0" distL="0" distR="0" wp14:anchorId="2DBCA953" wp14:editId="39B8A913">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13F6458C" w14:textId="77777777" w:rsidR="00C118B2" w:rsidRPr="00345DE2" w:rsidRDefault="00C118B2" w:rsidP="00E309C2"/>
          <w:p w14:paraId="69D6C9AC" w14:textId="77777777" w:rsidR="00C118B2" w:rsidRPr="00345DE2" w:rsidRDefault="00C118B2" w:rsidP="00E309C2"/>
          <w:p w14:paraId="7003C610"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5BD25A4F" w14:textId="4125CA93" w:rsidR="00CC22F1" w:rsidRPr="009A5EBB" w:rsidRDefault="00064FA4" w:rsidP="00E309C2">
            <w:pPr>
              <w:pStyle w:val="BoardMembers"/>
              <w:rPr>
                <w:rFonts w:ascii="Times New Roman" w:hAnsi="Times New Roman"/>
                <w:sz w:val="20"/>
              </w:rPr>
            </w:pPr>
            <w:r>
              <w:rPr>
                <w:rFonts w:ascii="Times New Roman" w:hAnsi="Times New Roman"/>
                <w:sz w:val="20"/>
              </w:rPr>
              <w:t>Jeffrey C. Riley</w:t>
            </w:r>
          </w:p>
          <w:p w14:paraId="2FDF6456" w14:textId="2731E5A5" w:rsidR="00C118B2" w:rsidRPr="009A5EBB" w:rsidRDefault="00C118B2" w:rsidP="00E309C2">
            <w:pPr>
              <w:pStyle w:val="BoardMembers"/>
              <w:rPr>
                <w:rFonts w:ascii="Times New Roman" w:hAnsi="Times New Roman"/>
                <w:sz w:val="20"/>
              </w:rPr>
            </w:pPr>
            <w:r w:rsidRPr="009A5EBB">
              <w:rPr>
                <w:rFonts w:ascii="Times New Roman" w:hAnsi="Times New Roman"/>
                <w:sz w:val="20"/>
              </w:rPr>
              <w:t>Commissioner</w:t>
            </w:r>
          </w:p>
          <w:p w14:paraId="281916B4" w14:textId="7EAB0E74" w:rsidR="007012FA" w:rsidRDefault="007012FA" w:rsidP="00E309C2">
            <w:pPr>
              <w:autoSpaceDE w:val="0"/>
              <w:autoSpaceDN w:val="0"/>
              <w:adjustRightInd w:val="0"/>
              <w:jc w:val="center"/>
              <w:rPr>
                <w:bCs/>
                <w:sz w:val="22"/>
                <w:szCs w:val="22"/>
              </w:rPr>
            </w:pPr>
          </w:p>
          <w:p w14:paraId="6588BA99" w14:textId="77777777" w:rsidR="00522BFB" w:rsidRDefault="00522BFB" w:rsidP="00E309C2">
            <w:pPr>
              <w:autoSpaceDE w:val="0"/>
              <w:autoSpaceDN w:val="0"/>
              <w:adjustRightInd w:val="0"/>
              <w:jc w:val="center"/>
              <w:rPr>
                <w:bCs/>
                <w:sz w:val="22"/>
                <w:szCs w:val="22"/>
              </w:rPr>
            </w:pPr>
          </w:p>
          <w:p w14:paraId="496B7D29"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3BAD7838" w14:textId="77777777" w:rsidR="00D16C52" w:rsidRPr="00522BFB" w:rsidRDefault="00D16C52" w:rsidP="00E309C2">
            <w:pPr>
              <w:jc w:val="center"/>
              <w:rPr>
                <w:sz w:val="20"/>
                <w:szCs w:val="20"/>
              </w:rPr>
            </w:pPr>
            <w:r w:rsidRPr="00522BFB">
              <w:rPr>
                <w:sz w:val="20"/>
                <w:szCs w:val="20"/>
              </w:rPr>
              <w:t>Mr. Paul Sagan, Chair, Cambridge</w:t>
            </w:r>
          </w:p>
          <w:p w14:paraId="08E9CC85" w14:textId="77777777" w:rsidR="00D16C52" w:rsidRPr="00522BFB" w:rsidRDefault="00D16C52" w:rsidP="00E309C2">
            <w:pPr>
              <w:jc w:val="center"/>
              <w:rPr>
                <w:sz w:val="20"/>
                <w:szCs w:val="20"/>
              </w:rPr>
            </w:pPr>
            <w:r w:rsidRPr="00522BFB">
              <w:rPr>
                <w:sz w:val="20"/>
                <w:szCs w:val="20"/>
              </w:rPr>
              <w:t>Ms. Katherine Craven, Brookline</w:t>
            </w:r>
          </w:p>
          <w:p w14:paraId="0C57CB6F" w14:textId="77777777" w:rsidR="00D16C52" w:rsidRPr="00522BFB" w:rsidRDefault="00D16C52" w:rsidP="00E309C2">
            <w:pPr>
              <w:jc w:val="center"/>
              <w:rPr>
                <w:sz w:val="20"/>
                <w:szCs w:val="20"/>
              </w:rPr>
            </w:pPr>
            <w:r w:rsidRPr="00522BFB">
              <w:rPr>
                <w:sz w:val="20"/>
                <w:szCs w:val="20"/>
              </w:rPr>
              <w:t>Mr. Edward Doherty, Hyde Park</w:t>
            </w:r>
          </w:p>
          <w:p w14:paraId="1F240EE2" w14:textId="77777777" w:rsidR="00D16C52" w:rsidRPr="00522BFB" w:rsidRDefault="00D16C52" w:rsidP="00E309C2">
            <w:pPr>
              <w:jc w:val="center"/>
              <w:rPr>
                <w:sz w:val="20"/>
                <w:szCs w:val="20"/>
              </w:rPr>
            </w:pPr>
            <w:r w:rsidRPr="00522BFB">
              <w:rPr>
                <w:sz w:val="20"/>
                <w:szCs w:val="20"/>
              </w:rPr>
              <w:t xml:space="preserve">Ms. Amanda </w:t>
            </w:r>
            <w:proofErr w:type="spellStart"/>
            <w:r w:rsidRPr="00522BFB">
              <w:rPr>
                <w:sz w:val="20"/>
                <w:szCs w:val="20"/>
              </w:rPr>
              <w:t>Fernández</w:t>
            </w:r>
            <w:proofErr w:type="spellEnd"/>
            <w:r w:rsidRPr="00522BFB">
              <w:rPr>
                <w:sz w:val="20"/>
                <w:szCs w:val="20"/>
              </w:rPr>
              <w:t>, Belmont</w:t>
            </w:r>
          </w:p>
          <w:p w14:paraId="455BB85C" w14:textId="77777777" w:rsidR="00D16C52" w:rsidRPr="00522BFB" w:rsidRDefault="00D16C52" w:rsidP="00E309C2">
            <w:pPr>
              <w:jc w:val="center"/>
              <w:rPr>
                <w:sz w:val="20"/>
                <w:szCs w:val="20"/>
              </w:rPr>
            </w:pPr>
            <w:r w:rsidRPr="00522BFB">
              <w:rPr>
                <w:sz w:val="20"/>
                <w:szCs w:val="20"/>
              </w:rPr>
              <w:t>Ms. Margaret McKenna, Boston</w:t>
            </w:r>
          </w:p>
          <w:p w14:paraId="6ABC8D77" w14:textId="77777777" w:rsidR="00D16C52" w:rsidRPr="00522BFB" w:rsidRDefault="00D16C52" w:rsidP="00E309C2">
            <w:pPr>
              <w:jc w:val="center"/>
              <w:rPr>
                <w:sz w:val="20"/>
                <w:szCs w:val="20"/>
              </w:rPr>
            </w:pPr>
            <w:r w:rsidRPr="00522BFB">
              <w:rPr>
                <w:sz w:val="20"/>
                <w:szCs w:val="20"/>
              </w:rPr>
              <w:t>Mr. Michael Moriarty, Holyoke</w:t>
            </w:r>
          </w:p>
          <w:p w14:paraId="5E8C0B95" w14:textId="77777777" w:rsidR="00D16C52" w:rsidRPr="00522BFB" w:rsidRDefault="00D16C52" w:rsidP="00E309C2">
            <w:pPr>
              <w:jc w:val="center"/>
              <w:rPr>
                <w:sz w:val="20"/>
                <w:szCs w:val="20"/>
              </w:rPr>
            </w:pPr>
            <w:r w:rsidRPr="00522BFB">
              <w:rPr>
                <w:sz w:val="20"/>
                <w:szCs w:val="20"/>
              </w:rPr>
              <w:t>Mr. James Morton, Vice Chair, Springfield</w:t>
            </w:r>
          </w:p>
          <w:p w14:paraId="3DA54EE9" w14:textId="77777777" w:rsidR="00D16C52" w:rsidRPr="00522BFB" w:rsidRDefault="00D16C52" w:rsidP="00E309C2">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14:paraId="09D11D2F" w14:textId="77777777" w:rsidR="00D16C52" w:rsidRPr="00522BFB" w:rsidRDefault="00D16C52" w:rsidP="00E309C2">
            <w:pPr>
              <w:jc w:val="center"/>
              <w:rPr>
                <w:sz w:val="20"/>
                <w:szCs w:val="20"/>
              </w:rPr>
            </w:pPr>
            <w:r w:rsidRPr="00522BFB">
              <w:rPr>
                <w:sz w:val="20"/>
                <w:szCs w:val="20"/>
              </w:rPr>
              <w:t>Ms. Mary Ann Stewart, Lexington</w:t>
            </w:r>
          </w:p>
          <w:p w14:paraId="36595410" w14:textId="77777777" w:rsidR="00D16C52" w:rsidRPr="00522BFB" w:rsidRDefault="00D16C52" w:rsidP="00E309C2">
            <w:pPr>
              <w:jc w:val="center"/>
              <w:rPr>
                <w:sz w:val="20"/>
                <w:szCs w:val="20"/>
              </w:rPr>
            </w:pPr>
            <w:r w:rsidRPr="00522BFB">
              <w:rPr>
                <w:sz w:val="20"/>
                <w:szCs w:val="20"/>
              </w:rPr>
              <w:t xml:space="preserve">Ms. Hannah </w:t>
            </w:r>
            <w:proofErr w:type="spellStart"/>
            <w:r w:rsidRPr="00522BFB">
              <w:rPr>
                <w:sz w:val="20"/>
                <w:szCs w:val="20"/>
              </w:rPr>
              <w:t>Trimarchi</w:t>
            </w:r>
            <w:proofErr w:type="spellEnd"/>
            <w:r w:rsidRPr="00522BFB">
              <w:rPr>
                <w:sz w:val="20"/>
                <w:szCs w:val="20"/>
              </w:rPr>
              <w:t>, Chair, Student Advisory Council, Marblehead</w:t>
            </w:r>
          </w:p>
          <w:p w14:paraId="1BFAC84D" w14:textId="77777777" w:rsidR="00D16C52" w:rsidRPr="00522BFB" w:rsidRDefault="00D16C52" w:rsidP="00E309C2">
            <w:pPr>
              <w:jc w:val="center"/>
              <w:rPr>
                <w:sz w:val="20"/>
                <w:szCs w:val="20"/>
              </w:rPr>
            </w:pPr>
            <w:r w:rsidRPr="00522BFB">
              <w:rPr>
                <w:sz w:val="20"/>
                <w:szCs w:val="20"/>
              </w:rPr>
              <w:t>Dr. Martin West, Newton</w:t>
            </w:r>
          </w:p>
          <w:p w14:paraId="7EE2E751" w14:textId="77777777" w:rsidR="00D16C52" w:rsidRPr="00522BFB" w:rsidRDefault="00D16C52" w:rsidP="00E309C2">
            <w:pPr>
              <w:jc w:val="center"/>
              <w:rPr>
                <w:sz w:val="20"/>
                <w:szCs w:val="20"/>
              </w:rPr>
            </w:pPr>
          </w:p>
          <w:p w14:paraId="61D11B37" w14:textId="6691B4CC" w:rsidR="00D16C52" w:rsidRPr="00522BFB" w:rsidRDefault="00D16C52" w:rsidP="00E309C2">
            <w:pPr>
              <w:jc w:val="center"/>
              <w:rPr>
                <w:sz w:val="20"/>
                <w:szCs w:val="20"/>
              </w:rPr>
            </w:pPr>
            <w:r w:rsidRPr="00522BFB">
              <w:rPr>
                <w:sz w:val="20"/>
                <w:szCs w:val="20"/>
              </w:rPr>
              <w:t>Jeff</w:t>
            </w:r>
            <w:r w:rsidR="00064FA4">
              <w:rPr>
                <w:sz w:val="20"/>
                <w:szCs w:val="20"/>
              </w:rPr>
              <w:t>rey C. Riley</w:t>
            </w:r>
            <w:r w:rsidRPr="00522BFB">
              <w:rPr>
                <w:sz w:val="20"/>
                <w:szCs w:val="20"/>
              </w:rPr>
              <w:t>, Commissioner and Secretary to the Board</w:t>
            </w:r>
          </w:p>
          <w:p w14:paraId="2E0DF282" w14:textId="77777777" w:rsidR="00D42AD8" w:rsidRDefault="00D42AD8" w:rsidP="00E309C2">
            <w:pPr>
              <w:autoSpaceDE w:val="0"/>
              <w:autoSpaceDN w:val="0"/>
              <w:adjustRightInd w:val="0"/>
              <w:jc w:val="center"/>
              <w:rPr>
                <w:sz w:val="22"/>
                <w:szCs w:val="22"/>
              </w:rPr>
            </w:pPr>
          </w:p>
          <w:p w14:paraId="681D43C9"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45BE58B3"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We do not discriminate </w:t>
            </w:r>
            <w:proofErr w:type="gramStart"/>
            <w:r w:rsidRPr="009A5EBB">
              <w:rPr>
                <w:rFonts w:ascii="Times New Roman" w:hAnsi="Times New Roman"/>
                <w:szCs w:val="18"/>
              </w:rPr>
              <w:t>on the basis of</w:t>
            </w:r>
            <w:proofErr w:type="gramEnd"/>
            <w:r w:rsidRPr="009A5EBB">
              <w:rPr>
                <w:rFonts w:ascii="Times New Roman" w:hAnsi="Times New Roman"/>
                <w:szCs w:val="18"/>
              </w:rPr>
              <w:t xml:space="preserve">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325DAD56"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4ECF7BB5"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08C9A2D4" w14:textId="77777777" w:rsidR="00C118B2" w:rsidRPr="009A5EBB" w:rsidRDefault="00C118B2" w:rsidP="00E309C2">
            <w:pPr>
              <w:rPr>
                <w:sz w:val="18"/>
                <w:szCs w:val="18"/>
              </w:rPr>
            </w:pPr>
          </w:p>
          <w:p w14:paraId="3A784AD9" w14:textId="77777777" w:rsidR="00B61B2F" w:rsidRPr="009A5EBB" w:rsidRDefault="00B61B2F" w:rsidP="00E309C2">
            <w:pPr>
              <w:rPr>
                <w:sz w:val="18"/>
                <w:szCs w:val="18"/>
              </w:rPr>
            </w:pPr>
          </w:p>
          <w:p w14:paraId="33DC4AA3"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F17E59">
              <w:rPr>
                <w:rFonts w:ascii="Times New Roman" w:hAnsi="Times New Roman"/>
                <w:szCs w:val="18"/>
              </w:rPr>
              <w:t>8</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252826F5"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 xml:space="preserve">Permission </w:t>
            </w:r>
            <w:proofErr w:type="gramStart"/>
            <w:r w:rsidRPr="009A5EBB">
              <w:rPr>
                <w:rFonts w:ascii="Times New Roman" w:hAnsi="Times New Roman"/>
                <w:szCs w:val="18"/>
              </w:rPr>
              <w:t>is hereby granted</w:t>
            </w:r>
            <w:proofErr w:type="gramEnd"/>
            <w:r w:rsidRPr="009A5EBB">
              <w:rPr>
                <w:rFonts w:ascii="Times New Roman" w:hAnsi="Times New Roman"/>
                <w:szCs w:val="18"/>
              </w:rPr>
              <w:t xml:space="preserve">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106B5362" w14:textId="77777777" w:rsidR="00C118B2" w:rsidRPr="009A5EBB" w:rsidRDefault="00C118B2" w:rsidP="00E309C2">
            <w:pPr>
              <w:rPr>
                <w:sz w:val="18"/>
                <w:szCs w:val="18"/>
              </w:rPr>
            </w:pPr>
          </w:p>
          <w:p w14:paraId="006A89EF"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123A3333" w14:textId="77777777" w:rsidR="00C118B2" w:rsidRDefault="00C118B2" w:rsidP="00E309C2">
            <w:pPr>
              <w:rPr>
                <w:sz w:val="18"/>
                <w:szCs w:val="18"/>
              </w:rPr>
            </w:pPr>
          </w:p>
          <w:p w14:paraId="5DCAE6CC" w14:textId="77777777" w:rsidR="00522BFB" w:rsidRDefault="00522BFB" w:rsidP="00E309C2">
            <w:pPr>
              <w:rPr>
                <w:sz w:val="18"/>
                <w:szCs w:val="18"/>
              </w:rPr>
            </w:pPr>
          </w:p>
          <w:p w14:paraId="4C04F916" w14:textId="77777777" w:rsidR="00522BFB" w:rsidRDefault="00522BFB" w:rsidP="00E309C2">
            <w:pPr>
              <w:rPr>
                <w:sz w:val="18"/>
                <w:szCs w:val="18"/>
              </w:rPr>
            </w:pPr>
          </w:p>
          <w:p w14:paraId="75D4A265" w14:textId="77777777" w:rsidR="00522BFB" w:rsidRPr="009A5EBB" w:rsidRDefault="00522BFB" w:rsidP="00E309C2">
            <w:pPr>
              <w:rPr>
                <w:sz w:val="18"/>
                <w:szCs w:val="18"/>
              </w:rPr>
            </w:pPr>
          </w:p>
          <w:p w14:paraId="796701F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7FC42624"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22F82E30"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2610ABB3"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6897B7B5" w14:textId="77777777" w:rsidR="00522BFB" w:rsidRPr="00345DE2" w:rsidRDefault="00522BFB" w:rsidP="00E309C2"/>
          <w:p w14:paraId="1F6F981C" w14:textId="77777777" w:rsidR="00C118B2" w:rsidRDefault="00741DF2" w:rsidP="00E309C2">
            <w:pPr>
              <w:jc w:val="center"/>
              <w:rPr>
                <w:sz w:val="18"/>
              </w:rPr>
            </w:pPr>
            <w:r>
              <w:rPr>
                <w:noProof/>
                <w:lang w:eastAsia="zh-CN"/>
              </w:rPr>
              <w:drawing>
                <wp:inline distT="0" distB="0" distL="0" distR="0" wp14:anchorId="7C3B0229" wp14:editId="7ECECAF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1336064" w14:textId="77777777" w:rsidR="004D45D4" w:rsidRDefault="004D45D4" w:rsidP="00E309C2">
      <w:pPr>
        <w:ind w:right="720"/>
      </w:pPr>
    </w:p>
    <w:p w14:paraId="5B05C2AE"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rPr>
        <w:lastRenderedPageBreak/>
        <w:drawing>
          <wp:anchor distT="0" distB="0" distL="114300" distR="274320" simplePos="0" relativeHeight="251658240" behindDoc="1" locked="0" layoutInCell="0" allowOverlap="1" wp14:anchorId="5E4C56B1" wp14:editId="31A6A7BB">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070A6BD9"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35D8271E" w14:textId="77777777" w:rsidR="00FA0025" w:rsidRPr="00FA0025" w:rsidRDefault="0005131B" w:rsidP="002C2113">
      <w:pPr>
        <w:ind w:left="1260"/>
      </w:pPr>
      <w:r>
        <w:rPr>
          <w:noProof/>
          <w:lang w:eastAsia="zh-CN"/>
        </w:rPr>
        <mc:AlternateContent>
          <mc:Choice Requires="wps">
            <w:drawing>
              <wp:anchor distT="0" distB="0" distL="114300" distR="114300" simplePos="0" relativeHeight="251657216" behindDoc="0" locked="0" layoutInCell="0" allowOverlap="1" wp14:anchorId="617D8C32" wp14:editId="6CA92EE5">
                <wp:simplePos x="0" y="0"/>
                <wp:positionH relativeFrom="column">
                  <wp:posOffset>792480</wp:posOffset>
                </wp:positionH>
                <wp:positionV relativeFrom="paragraph">
                  <wp:posOffset>64770</wp:posOffset>
                </wp:positionV>
                <wp:extent cx="5219065" cy="0"/>
                <wp:effectExtent l="11430" t="6985" r="8255" b="12065"/>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D1B0" id="Line 25"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mc:Fallback>
        </mc:AlternateContent>
      </w:r>
    </w:p>
    <w:p w14:paraId="40618815"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78AE73D4"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579E82ED" w14:textId="77777777" w:rsidR="00FA0025" w:rsidRPr="00C974A6" w:rsidRDefault="00FA0025" w:rsidP="00FA0025">
      <w:pPr>
        <w:ind w:left="720"/>
        <w:rPr>
          <w:rFonts w:ascii="Arial" w:hAnsi="Arial"/>
          <w:i/>
          <w:sz w:val="16"/>
          <w:szCs w:val="16"/>
        </w:rPr>
      </w:pPr>
    </w:p>
    <w:p w14:paraId="7711A220"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DESE letterhead"/>
      </w:tblPr>
      <w:tblGrid>
        <w:gridCol w:w="2603"/>
        <w:gridCol w:w="6757"/>
      </w:tblGrid>
      <w:tr w:rsidR="00E253B2" w:rsidRPr="00C974A6" w14:paraId="248F53A3" w14:textId="77777777" w:rsidTr="007A3CEC">
        <w:trPr>
          <w:tblHeader/>
        </w:trPr>
        <w:tc>
          <w:tcPr>
            <w:tcW w:w="2640" w:type="dxa"/>
          </w:tcPr>
          <w:p w14:paraId="7A859245" w14:textId="77777777" w:rsidR="00E253B2" w:rsidRPr="00FA7DF8" w:rsidRDefault="00E253B2" w:rsidP="00E253B2">
            <w:pPr>
              <w:jc w:val="center"/>
              <w:rPr>
                <w:rFonts w:ascii="Arial" w:hAnsi="Arial" w:cs="Arial"/>
                <w:sz w:val="14"/>
                <w:szCs w:val="14"/>
              </w:rPr>
            </w:pPr>
          </w:p>
          <w:p w14:paraId="71494997" w14:textId="15665F00" w:rsidR="00E253B2" w:rsidRDefault="009B1662" w:rsidP="00E253B2">
            <w:pPr>
              <w:jc w:val="center"/>
              <w:rPr>
                <w:rFonts w:ascii="Arial" w:hAnsi="Arial" w:cs="Arial"/>
                <w:sz w:val="16"/>
                <w:szCs w:val="16"/>
              </w:rPr>
            </w:pPr>
            <w:r>
              <w:rPr>
                <w:rFonts w:ascii="Arial" w:hAnsi="Arial" w:cs="Arial"/>
                <w:sz w:val="16"/>
                <w:szCs w:val="16"/>
              </w:rPr>
              <w:t>Jeffrey C. Riley</w:t>
            </w:r>
          </w:p>
          <w:p w14:paraId="23990EAF" w14:textId="09F47B5B"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41D5078C" w14:textId="77777777" w:rsidR="00E253B2" w:rsidRPr="00C974A6" w:rsidRDefault="00E253B2" w:rsidP="00E253B2">
            <w:pPr>
              <w:jc w:val="center"/>
              <w:rPr>
                <w:rFonts w:ascii="Arial" w:hAnsi="Arial"/>
                <w:i/>
                <w:sz w:val="16"/>
                <w:szCs w:val="16"/>
              </w:rPr>
            </w:pPr>
          </w:p>
        </w:tc>
      </w:tr>
    </w:tbl>
    <w:p w14:paraId="29885C86" w14:textId="77777777" w:rsidR="00FA0025" w:rsidRPr="00C974A6" w:rsidRDefault="00FA0025" w:rsidP="00FA0025">
      <w:pPr>
        <w:ind w:left="720"/>
        <w:jc w:val="center"/>
        <w:rPr>
          <w:rFonts w:ascii="Arial" w:hAnsi="Arial"/>
          <w:i/>
          <w:sz w:val="16"/>
          <w:szCs w:val="16"/>
        </w:rPr>
      </w:pPr>
    </w:p>
    <w:p w14:paraId="6F523F04" w14:textId="77777777" w:rsidR="00FA0025" w:rsidRDefault="00FA0025" w:rsidP="00FA0025">
      <w:pPr>
        <w:rPr>
          <w:rFonts w:ascii="Arial" w:hAnsi="Arial"/>
          <w:i/>
          <w:sz w:val="18"/>
        </w:rPr>
      </w:pPr>
    </w:p>
    <w:p w14:paraId="41488173" w14:textId="77777777" w:rsidR="00E253B2" w:rsidRDefault="00E253B2" w:rsidP="00FA0025"/>
    <w:p w14:paraId="159B0281" w14:textId="77777777" w:rsidR="00E253B2" w:rsidRDefault="00E253B2" w:rsidP="00FA0025"/>
    <w:p w14:paraId="76BBCDA6" w14:textId="77777777" w:rsidR="00E253B2" w:rsidRDefault="00E253B2" w:rsidP="00FA0025"/>
    <w:p w14:paraId="1DCD61C0" w14:textId="77777777" w:rsidR="001D129F" w:rsidRPr="005F1A5F" w:rsidRDefault="00F17E59" w:rsidP="001D129F">
      <w:r>
        <w:t>June</w:t>
      </w:r>
      <w:r w:rsidR="001D129F">
        <w:t xml:space="preserve"> 23, 2018</w:t>
      </w:r>
    </w:p>
    <w:p w14:paraId="6B2BD3BF" w14:textId="77777777" w:rsidR="001D129F" w:rsidRPr="005F1A5F" w:rsidRDefault="001D129F" w:rsidP="001D129F"/>
    <w:p w14:paraId="0B672DCB" w14:textId="77777777" w:rsidR="001D129F" w:rsidRDefault="001D129F" w:rsidP="001D129F">
      <w:r w:rsidRPr="005F1A5F">
        <w:t>Members of the General Court:</w:t>
      </w:r>
    </w:p>
    <w:p w14:paraId="10546B56" w14:textId="77777777" w:rsidR="001D129F" w:rsidRDefault="001D129F" w:rsidP="001D129F"/>
    <w:p w14:paraId="11A68AA0" w14:textId="77777777" w:rsidR="001D129F" w:rsidRDefault="001D129F" w:rsidP="001D129F">
      <w:r>
        <w:t xml:space="preserve">Attached </w:t>
      </w:r>
      <w:proofErr w:type="gramStart"/>
      <w:r>
        <w:t>is the Department of Elementary and Secondary Education’s final report on the grant program established</w:t>
      </w:r>
      <w:proofErr w:type="gramEnd"/>
      <w:r>
        <w:t xml:space="preserve"> in fiscal year 2016 for evaluation of state-funded education programming. </w:t>
      </w:r>
    </w:p>
    <w:p w14:paraId="3D20E16F" w14:textId="77777777" w:rsidR="001D129F" w:rsidRDefault="001D129F" w:rsidP="001D129F"/>
    <w:p w14:paraId="317539D7" w14:textId="77777777" w:rsidR="00D75E94" w:rsidRDefault="00D75E94" w:rsidP="001D129F">
      <w:r>
        <w:t xml:space="preserve">These grants </w:t>
      </w:r>
      <w:r w:rsidR="001D129F">
        <w:t xml:space="preserve">funded evaluations of two state programs: </w:t>
      </w:r>
    </w:p>
    <w:p w14:paraId="7938B0C3" w14:textId="77777777" w:rsidR="00D75E94" w:rsidRPr="00D75E94" w:rsidRDefault="00D75E94" w:rsidP="00D75E94">
      <w:pPr>
        <w:pStyle w:val="ListParagraph"/>
        <w:numPr>
          <w:ilvl w:val="0"/>
          <w:numId w:val="10"/>
        </w:numPr>
        <w:rPr>
          <w:rFonts w:ascii="Times New Roman" w:hAnsi="Times New Roman" w:cs="Times New Roman"/>
        </w:rPr>
      </w:pPr>
      <w:r>
        <w:rPr>
          <w:rFonts w:ascii="Times New Roman" w:hAnsi="Times New Roman" w:cs="Times New Roman"/>
        </w:rPr>
        <w:t>A</w:t>
      </w:r>
      <w:r w:rsidR="001D129F" w:rsidRPr="00D75E94">
        <w:rPr>
          <w:rFonts w:ascii="Times New Roman" w:hAnsi="Times New Roman" w:cs="Times New Roman"/>
        </w:rPr>
        <w:t xml:space="preserve">cademic </w:t>
      </w:r>
      <w:r>
        <w:rPr>
          <w:rFonts w:ascii="Times New Roman" w:hAnsi="Times New Roman" w:cs="Times New Roman"/>
        </w:rPr>
        <w:t>S</w:t>
      </w:r>
      <w:r w:rsidR="001D129F" w:rsidRPr="00D75E94">
        <w:rPr>
          <w:rFonts w:ascii="Times New Roman" w:hAnsi="Times New Roman" w:cs="Times New Roman"/>
        </w:rPr>
        <w:t>upport</w:t>
      </w:r>
      <w:r w:rsidRPr="00D75E94">
        <w:rPr>
          <w:rFonts w:ascii="Times New Roman" w:hAnsi="Times New Roman" w:cs="Times New Roman"/>
        </w:rPr>
        <w:t xml:space="preserve">, </w:t>
      </w:r>
      <w:r w:rsidR="001D129F" w:rsidRPr="00D75E94">
        <w:rPr>
          <w:rFonts w:ascii="Times New Roman" w:hAnsi="Times New Roman" w:cs="Times New Roman"/>
        </w:rPr>
        <w:t>which provided remediation for students at risk of not meeting the state’s high school graduation requirement</w:t>
      </w:r>
      <w:r w:rsidRPr="00D75E94">
        <w:rPr>
          <w:rFonts w:ascii="Times New Roman" w:hAnsi="Times New Roman" w:cs="Times New Roman"/>
        </w:rPr>
        <w:t xml:space="preserve"> until the program ended in FY17</w:t>
      </w:r>
      <w:r w:rsidR="001D129F" w:rsidRPr="00D75E94">
        <w:rPr>
          <w:rFonts w:ascii="Times New Roman" w:hAnsi="Times New Roman" w:cs="Times New Roman"/>
        </w:rPr>
        <w:t xml:space="preserve">, and </w:t>
      </w:r>
    </w:p>
    <w:p w14:paraId="0EE229DF" w14:textId="77777777" w:rsidR="00D75E94" w:rsidRPr="00D75E94" w:rsidRDefault="00D75E94" w:rsidP="00D75E94">
      <w:pPr>
        <w:pStyle w:val="ListParagraph"/>
        <w:numPr>
          <w:ilvl w:val="0"/>
          <w:numId w:val="10"/>
        </w:numPr>
        <w:rPr>
          <w:rFonts w:ascii="Times New Roman" w:hAnsi="Times New Roman" w:cs="Times New Roman"/>
        </w:rPr>
      </w:pPr>
      <w:r>
        <w:rPr>
          <w:rFonts w:ascii="Times New Roman" w:hAnsi="Times New Roman" w:cs="Times New Roman"/>
        </w:rPr>
        <w:t>E</w:t>
      </w:r>
      <w:r w:rsidR="001D129F" w:rsidRPr="00D75E94">
        <w:rPr>
          <w:rFonts w:ascii="Times New Roman" w:hAnsi="Times New Roman" w:cs="Times New Roman"/>
        </w:rPr>
        <w:t xml:space="preserve">ducator preparation and licensure programs, which work to improve the quality of the state’s educator workforce. </w:t>
      </w:r>
    </w:p>
    <w:p w14:paraId="156CFB66" w14:textId="77777777" w:rsidR="001D129F" w:rsidRDefault="001D129F" w:rsidP="00D75E94">
      <w:r>
        <w:t xml:space="preserve">All </w:t>
      </w:r>
      <w:r w:rsidR="00D75E94">
        <w:t>studies</w:t>
      </w:r>
      <w:r>
        <w:t xml:space="preserve"> from </w:t>
      </w:r>
      <w:proofErr w:type="gramStart"/>
      <w:r>
        <w:t xml:space="preserve">these </w:t>
      </w:r>
      <w:r w:rsidR="00D75E94">
        <w:t>evaluation</w:t>
      </w:r>
      <w:proofErr w:type="gramEnd"/>
      <w:r w:rsidR="00D75E94">
        <w:t xml:space="preserve"> are </w:t>
      </w:r>
      <w:r>
        <w:t xml:space="preserve">now complete, and we are happy to share three final reports from this work. </w:t>
      </w:r>
    </w:p>
    <w:p w14:paraId="10F5320D" w14:textId="77777777" w:rsidR="001D129F" w:rsidRDefault="001D129F" w:rsidP="001D129F"/>
    <w:p w14:paraId="298DE6D4" w14:textId="77777777" w:rsidR="001D129F" w:rsidRDefault="001D129F" w:rsidP="001D129F">
      <w:r>
        <w:t>We appreciate your support in helping us to evaluate the implementation, outcomes, and costs and benefits of our state programs.</w:t>
      </w:r>
    </w:p>
    <w:p w14:paraId="43DD1F25" w14:textId="77777777" w:rsidR="001D129F" w:rsidRDefault="001D129F" w:rsidP="001D129F"/>
    <w:p w14:paraId="150096E6" w14:textId="77777777" w:rsidR="001D129F" w:rsidRDefault="001D129F" w:rsidP="001D129F">
      <w:r>
        <w:t>Sincerely yours,</w:t>
      </w:r>
    </w:p>
    <w:p w14:paraId="52A9C1D5" w14:textId="77777777" w:rsidR="001D129F" w:rsidRDefault="001D129F" w:rsidP="001D129F"/>
    <w:p w14:paraId="557DDEC5" w14:textId="77777777" w:rsidR="001D129F" w:rsidRDefault="001D129F" w:rsidP="001D129F"/>
    <w:p w14:paraId="58D815F7" w14:textId="77777777" w:rsidR="00F17E59" w:rsidRDefault="00F17E59" w:rsidP="001D129F"/>
    <w:p w14:paraId="74CF7BDF" w14:textId="77777777" w:rsidR="001D129F" w:rsidRDefault="00F17E59" w:rsidP="001D129F">
      <w:r>
        <w:t>Jeffrey C. Riley</w:t>
      </w:r>
    </w:p>
    <w:p w14:paraId="56CFFD5E" w14:textId="77777777" w:rsidR="001D129F" w:rsidRDefault="001D129F" w:rsidP="001D129F">
      <w:r>
        <w:t>Commissioner</w:t>
      </w:r>
      <w:r w:rsidR="00F17E59">
        <w:t xml:space="preserve"> of Elementary and Secondary Education</w:t>
      </w:r>
    </w:p>
    <w:p w14:paraId="0437D399" w14:textId="77777777" w:rsidR="002C2113" w:rsidRDefault="002C2113" w:rsidP="00FA0025"/>
    <w:p w14:paraId="6CBD3CE4"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32D5EC64" w14:textId="77777777" w:rsidR="001D129F" w:rsidRPr="001D129F" w:rsidRDefault="001D129F" w:rsidP="001D129F">
      <w:pPr>
        <w:pStyle w:val="Heading1"/>
        <w:rPr>
          <w:rFonts w:ascii="Times New Roman" w:hAnsi="Times New Roman" w:cs="Times New Roman"/>
        </w:rPr>
      </w:pPr>
      <w:r w:rsidRPr="001D129F">
        <w:rPr>
          <w:rFonts w:ascii="Times New Roman" w:hAnsi="Times New Roman" w:cs="Times New Roman"/>
        </w:rPr>
        <w:lastRenderedPageBreak/>
        <w:t>Legislative report</w:t>
      </w:r>
    </w:p>
    <w:p w14:paraId="53DA9204" w14:textId="77777777" w:rsidR="001D129F" w:rsidRDefault="001D129F" w:rsidP="001D129F"/>
    <w:p w14:paraId="03208D8E" w14:textId="77777777" w:rsidR="001D129F" w:rsidRDefault="001D129F" w:rsidP="001D129F">
      <w:r>
        <w:t xml:space="preserve">The Department of Elementary and Secondary Education respectfully submits </w:t>
      </w:r>
      <w:r w:rsidR="00DC7415">
        <w:t xml:space="preserve">this Report to the Legislature </w:t>
      </w:r>
      <w:r>
        <w:t xml:space="preserve">pursuant to Chapter </w:t>
      </w:r>
      <w:r w:rsidR="001B1C24">
        <w:t>46</w:t>
      </w:r>
      <w:r>
        <w:t xml:space="preserve"> of the Acts of </w:t>
      </w:r>
      <w:r w:rsidR="001B1C24">
        <w:t>2015</w:t>
      </w:r>
      <w:r>
        <w:t>, line item 7010-0050:</w:t>
      </w:r>
    </w:p>
    <w:p w14:paraId="12E33BDB" w14:textId="77777777" w:rsidR="001D129F" w:rsidRDefault="001D129F" w:rsidP="001D129F"/>
    <w:p w14:paraId="327C0E0A" w14:textId="77777777" w:rsidR="001D129F" w:rsidRPr="00F67B64" w:rsidRDefault="001D129F" w:rsidP="001D129F">
      <w:pPr>
        <w:ind w:left="720"/>
        <w:rPr>
          <w:i/>
        </w:rPr>
      </w:pPr>
      <w:proofErr w:type="gramStart"/>
      <w:r>
        <w:rPr>
          <w:i/>
        </w:rPr>
        <w:t>“…</w:t>
      </w:r>
      <w:r w:rsidRPr="00F67B64">
        <w:rPr>
          <w:i/>
        </w:rPr>
        <w:t>provided further, that organizations receiving funds through this item shall report biannually to the house and senate committees on ways and means, the joint committee on education and the joint committee on higher education on: (1) the status and preliminary results of evaluations funded through this item; and (2) any obstacles encountered in access to data or other information that is negatively affecting the completion of the study.</w:t>
      </w:r>
      <w:r>
        <w:rPr>
          <w:i/>
        </w:rPr>
        <w:t>”</w:t>
      </w:r>
      <w:proofErr w:type="gramEnd"/>
    </w:p>
    <w:p w14:paraId="5C335911" w14:textId="77777777" w:rsidR="001D129F" w:rsidRDefault="001D129F" w:rsidP="001D129F"/>
    <w:p w14:paraId="38ECCD4C" w14:textId="77777777" w:rsidR="001D129F" w:rsidRDefault="001D129F" w:rsidP="001D129F">
      <w:r>
        <w:t xml:space="preserve">The purpose of this funding was to support evaluation of state-funded education programming. The legislature provided $300,000 for this purpose in fiscal year 2016 and stipulated specific requirements for the analyses to </w:t>
      </w:r>
      <w:proofErr w:type="gramStart"/>
      <w:r>
        <w:t>be conducted</w:t>
      </w:r>
      <w:proofErr w:type="gramEnd"/>
      <w:r>
        <w:t xml:space="preserve"> with the funding. </w:t>
      </w:r>
    </w:p>
    <w:p w14:paraId="6F8CBA91" w14:textId="77777777" w:rsidR="001D129F" w:rsidRPr="00C12395" w:rsidRDefault="001D129F" w:rsidP="001D129F"/>
    <w:p w14:paraId="04DE4457" w14:textId="77777777" w:rsidR="001D129F" w:rsidRPr="00C12395" w:rsidRDefault="001D129F" w:rsidP="001D129F">
      <w:r w:rsidRPr="00C12395">
        <w:t xml:space="preserve">In the grant competition, the agency prioritized </w:t>
      </w:r>
      <w:r>
        <w:t xml:space="preserve">proposals related to </w:t>
      </w:r>
      <w:r w:rsidRPr="00C12395">
        <w:t>the st</w:t>
      </w:r>
      <w:r>
        <w:t>ate academic support program</w:t>
      </w:r>
      <w:r w:rsidRPr="00C12395">
        <w:t xml:space="preserve"> for students at risk of not meeting the high school graduation requirement and the state’s educator preparation</w:t>
      </w:r>
      <w:r w:rsidR="00DC7415">
        <w:t xml:space="preserve"> and licensure programs. </w:t>
      </w:r>
      <w:r w:rsidRPr="00C12395">
        <w:t xml:space="preserve">ESE also allowed proposals to evaluate other state-funded education programs so long as the proposals studied a topic of significant interest to the agency and sufficient data were available to meet the legislative requirements for this grant program. </w:t>
      </w:r>
    </w:p>
    <w:p w14:paraId="5DF0743A" w14:textId="77777777" w:rsidR="001D129F" w:rsidRPr="00C12395" w:rsidRDefault="001D129F" w:rsidP="001D129F">
      <w:pPr>
        <w:widowControl w:val="0"/>
        <w:autoSpaceDE w:val="0"/>
        <w:autoSpaceDN w:val="0"/>
        <w:adjustRightInd w:val="0"/>
      </w:pPr>
    </w:p>
    <w:p w14:paraId="6CA7BEDE" w14:textId="77777777" w:rsidR="001D129F" w:rsidRPr="00C12395" w:rsidRDefault="001D129F" w:rsidP="001D129F">
      <w:pPr>
        <w:keepNext/>
        <w:keepLines/>
      </w:pPr>
      <w:r w:rsidRPr="00C12395">
        <w:t xml:space="preserve">Per the </w:t>
      </w:r>
      <w:r>
        <w:t xml:space="preserve">statutory </w:t>
      </w:r>
      <w:r w:rsidRPr="00C12395">
        <w:t>requirement, proposals specified how the researcher would analyze the following six areas:</w:t>
      </w:r>
    </w:p>
    <w:p w14:paraId="7A5236C4" w14:textId="77777777" w:rsidR="001D129F" w:rsidRPr="00C12395" w:rsidRDefault="001D129F" w:rsidP="00920546">
      <w:pPr>
        <w:pStyle w:val="ListParagraph"/>
        <w:numPr>
          <w:ilvl w:val="0"/>
          <w:numId w:val="7"/>
        </w:numPr>
        <w:spacing w:after="0"/>
        <w:rPr>
          <w:rFonts w:ascii="Times New Roman" w:hAnsi="Times New Roman" w:cs="Times New Roman"/>
        </w:rPr>
      </w:pPr>
      <w:r w:rsidRPr="00C12395">
        <w:rPr>
          <w:rFonts w:ascii="Times New Roman" w:hAnsi="Times New Roman" w:cs="Times New Roman"/>
        </w:rPr>
        <w:t>The quantifiable effect of the program on the population enrolled in the program;</w:t>
      </w:r>
    </w:p>
    <w:p w14:paraId="3F0C019A" w14:textId="77777777" w:rsidR="001D129F" w:rsidRPr="00C12395" w:rsidRDefault="001D129F" w:rsidP="00920546">
      <w:pPr>
        <w:pStyle w:val="ListParagraph"/>
        <w:numPr>
          <w:ilvl w:val="0"/>
          <w:numId w:val="7"/>
        </w:numPr>
        <w:spacing w:after="0"/>
        <w:rPr>
          <w:rFonts w:ascii="Times New Roman" w:hAnsi="Times New Roman" w:cs="Times New Roman"/>
        </w:rPr>
      </w:pPr>
      <w:r w:rsidRPr="00C12395">
        <w:rPr>
          <w:rFonts w:ascii="Times New Roman" w:hAnsi="Times New Roman" w:cs="Times New Roman"/>
        </w:rPr>
        <w:t>Fidelity of program implementation;</w:t>
      </w:r>
    </w:p>
    <w:p w14:paraId="4AA64949" w14:textId="77777777" w:rsidR="001D129F" w:rsidRPr="00C12395" w:rsidRDefault="001D129F" w:rsidP="00920546">
      <w:pPr>
        <w:pStyle w:val="ListParagraph"/>
        <w:numPr>
          <w:ilvl w:val="0"/>
          <w:numId w:val="7"/>
        </w:numPr>
        <w:spacing w:after="0"/>
        <w:rPr>
          <w:rFonts w:ascii="Times New Roman" w:hAnsi="Times New Roman" w:cs="Times New Roman"/>
        </w:rPr>
      </w:pPr>
      <w:r w:rsidRPr="00C12395">
        <w:rPr>
          <w:rFonts w:ascii="Times New Roman" w:hAnsi="Times New Roman" w:cs="Times New Roman"/>
        </w:rPr>
        <w:t>An estimate of the cost to the Commonwealth of the education problem being addressed through the program;</w:t>
      </w:r>
    </w:p>
    <w:p w14:paraId="68565547" w14:textId="77777777" w:rsidR="001D129F" w:rsidRPr="00C12395" w:rsidRDefault="001D129F" w:rsidP="00920546">
      <w:pPr>
        <w:pStyle w:val="ListParagraph"/>
        <w:numPr>
          <w:ilvl w:val="0"/>
          <w:numId w:val="7"/>
        </w:numPr>
        <w:spacing w:after="0"/>
        <w:rPr>
          <w:rFonts w:ascii="Times New Roman" w:hAnsi="Times New Roman" w:cs="Times New Roman"/>
        </w:rPr>
      </w:pPr>
      <w:r w:rsidRPr="00C12395">
        <w:rPr>
          <w:rFonts w:ascii="Times New Roman" w:hAnsi="Times New Roman" w:cs="Times New Roman"/>
        </w:rPr>
        <w:t>A comparison of the cost of the program and the estimated short-term and long-term benefits received by program recipients through the program;</w:t>
      </w:r>
    </w:p>
    <w:p w14:paraId="531263E0" w14:textId="77777777" w:rsidR="001D129F" w:rsidRPr="00C12395" w:rsidRDefault="001D129F" w:rsidP="00920546">
      <w:pPr>
        <w:pStyle w:val="ListParagraph"/>
        <w:numPr>
          <w:ilvl w:val="0"/>
          <w:numId w:val="7"/>
        </w:numPr>
        <w:spacing w:after="0"/>
        <w:rPr>
          <w:rFonts w:ascii="Times New Roman" w:hAnsi="Times New Roman" w:cs="Times New Roman"/>
        </w:rPr>
      </w:pPr>
      <w:r w:rsidRPr="00C12395">
        <w:rPr>
          <w:rFonts w:ascii="Times New Roman" w:hAnsi="Times New Roman" w:cs="Times New Roman"/>
        </w:rPr>
        <w:t>Data limitations in estimating the effect of the program; and</w:t>
      </w:r>
    </w:p>
    <w:p w14:paraId="038E7579" w14:textId="77777777" w:rsidR="001D129F" w:rsidRPr="00C12395" w:rsidRDefault="001D129F" w:rsidP="00920546">
      <w:pPr>
        <w:pStyle w:val="ListParagraph"/>
        <w:numPr>
          <w:ilvl w:val="0"/>
          <w:numId w:val="7"/>
        </w:numPr>
        <w:spacing w:after="0"/>
        <w:rPr>
          <w:rFonts w:ascii="Times New Roman" w:hAnsi="Times New Roman" w:cs="Times New Roman"/>
        </w:rPr>
      </w:pPr>
      <w:r w:rsidRPr="00C12395">
        <w:rPr>
          <w:rFonts w:ascii="Times New Roman" w:hAnsi="Times New Roman" w:cs="Times New Roman"/>
        </w:rPr>
        <w:t>Recommendations for further study.</w:t>
      </w:r>
    </w:p>
    <w:p w14:paraId="0B3D686B" w14:textId="77777777" w:rsidR="001D129F" w:rsidRPr="00C12395" w:rsidRDefault="001D129F" w:rsidP="001D129F">
      <w:pPr>
        <w:widowControl w:val="0"/>
        <w:autoSpaceDE w:val="0"/>
        <w:autoSpaceDN w:val="0"/>
        <w:adjustRightInd w:val="0"/>
      </w:pPr>
    </w:p>
    <w:p w14:paraId="4DDB92F5" w14:textId="77777777" w:rsidR="001D129F" w:rsidRPr="00C12395" w:rsidRDefault="001D129F" w:rsidP="001D129F">
      <w:r>
        <w:t xml:space="preserve">ESE received five applications: three for the educator preparation and licensure priority and two for the academic support priority. </w:t>
      </w:r>
      <w:r w:rsidRPr="00C12395">
        <w:t>No applicants proposed projects outside the two prioritized programs.</w:t>
      </w:r>
    </w:p>
    <w:p w14:paraId="7BA1A2C8" w14:textId="77777777" w:rsidR="001D129F" w:rsidRPr="00C12395" w:rsidRDefault="001D129F" w:rsidP="001D129F"/>
    <w:p w14:paraId="02EED470" w14:textId="77777777" w:rsidR="00920546" w:rsidRDefault="001D129F" w:rsidP="001D129F">
      <w:r w:rsidRPr="00C12395">
        <w:t xml:space="preserve">After review, the UMass Donahue Institute </w:t>
      </w:r>
      <w:proofErr w:type="gramStart"/>
      <w:r w:rsidRPr="00C12395">
        <w:t>was awarded</w:t>
      </w:r>
      <w:proofErr w:type="gramEnd"/>
      <w:r w:rsidRPr="00C12395">
        <w:t xml:space="preserve"> a </w:t>
      </w:r>
      <w:r>
        <w:t xml:space="preserve">$150,000 </w:t>
      </w:r>
      <w:r w:rsidRPr="00C12395">
        <w:t xml:space="preserve">grant to study the state’s academic support program and the American Institutes of Research was awarded a </w:t>
      </w:r>
      <w:r>
        <w:t xml:space="preserve">$150,000 </w:t>
      </w:r>
      <w:r w:rsidRPr="00C12395">
        <w:t>grant to study educator prepa</w:t>
      </w:r>
      <w:r>
        <w:t xml:space="preserve">ration and licensure. </w:t>
      </w:r>
    </w:p>
    <w:p w14:paraId="1F5870E1" w14:textId="77777777" w:rsidR="00920546" w:rsidRDefault="00920546" w:rsidP="001D129F"/>
    <w:p w14:paraId="1EEF3751" w14:textId="77777777" w:rsidR="00920546" w:rsidRDefault="00920546" w:rsidP="001D129F">
      <w:r>
        <w:t xml:space="preserve">Executive summaries of the </w:t>
      </w:r>
      <w:r w:rsidR="006E7C88">
        <w:t>three</w:t>
      </w:r>
      <w:r w:rsidR="001D129F">
        <w:t xml:space="preserve"> final reports resulting from these awards </w:t>
      </w:r>
      <w:r>
        <w:t xml:space="preserve">follow in this document, along with links to the full reports posted on ESE’s public web page. </w:t>
      </w:r>
    </w:p>
    <w:p w14:paraId="5A29E528" w14:textId="77777777" w:rsidR="00920546" w:rsidRDefault="00920546">
      <w:pPr>
        <w:rPr>
          <w:b/>
        </w:rPr>
      </w:pPr>
      <w:r>
        <w:rPr>
          <w:b/>
        </w:rPr>
        <w:br w:type="page"/>
      </w:r>
    </w:p>
    <w:p w14:paraId="14491B5B" w14:textId="77777777" w:rsidR="002E7C0B" w:rsidRDefault="002E7C0B" w:rsidP="00920546">
      <w:pPr>
        <w:rPr>
          <w:b/>
        </w:rPr>
      </w:pPr>
      <w:r>
        <w:rPr>
          <w:noProof/>
          <w:lang w:eastAsia="zh-CN"/>
        </w:rPr>
        <w:lastRenderedPageBreak/>
        <w:drawing>
          <wp:inline distT="0" distB="0" distL="0" distR="0" wp14:anchorId="3D293A4B" wp14:editId="5C4D9DB2">
            <wp:extent cx="3954647" cy="628650"/>
            <wp:effectExtent l="0" t="0" r="8255" b="0"/>
            <wp:docPr id="5" name="Picture 5" descr="UMass Donahue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5709" cy="631998"/>
                    </a:xfrm>
                    <a:prstGeom prst="rect">
                      <a:avLst/>
                    </a:prstGeom>
                  </pic:spPr>
                </pic:pic>
              </a:graphicData>
            </a:graphic>
          </wp:inline>
        </w:drawing>
      </w:r>
    </w:p>
    <w:p w14:paraId="53AB3425" w14:textId="77777777" w:rsidR="002E7C0B" w:rsidRDefault="002E7C0B" w:rsidP="00920546">
      <w:pPr>
        <w:rPr>
          <w:b/>
        </w:rPr>
      </w:pPr>
    </w:p>
    <w:p w14:paraId="69FC5138" w14:textId="77777777" w:rsidR="00920546" w:rsidRDefault="001D129F" w:rsidP="00920546">
      <w:pPr>
        <w:rPr>
          <w:b/>
        </w:rPr>
      </w:pPr>
      <w:r w:rsidRPr="00920546">
        <w:rPr>
          <w:b/>
        </w:rPr>
        <w:t>Evaluation of Academic Support Programs: Final Report</w:t>
      </w:r>
    </w:p>
    <w:p w14:paraId="0FC4D31F" w14:textId="77777777" w:rsidR="001D129F" w:rsidRPr="00920546" w:rsidRDefault="00920546" w:rsidP="00920546">
      <w:pPr>
        <w:rPr>
          <w:b/>
        </w:rPr>
      </w:pPr>
      <w:r>
        <w:rPr>
          <w:b/>
        </w:rPr>
        <w:t xml:space="preserve">University of Massachusetts </w:t>
      </w:r>
      <w:r w:rsidR="001D129F" w:rsidRPr="00920546">
        <w:rPr>
          <w:b/>
        </w:rPr>
        <w:t>Donahue Institute</w:t>
      </w:r>
    </w:p>
    <w:p w14:paraId="0CE416D2" w14:textId="77777777" w:rsidR="00920546" w:rsidRPr="00920546" w:rsidRDefault="00360679" w:rsidP="00920546">
      <w:hyperlink r:id="rId16" w:history="1">
        <w:r w:rsidR="00920546" w:rsidRPr="00920546">
          <w:rPr>
            <w:rStyle w:val="Hyperlink"/>
          </w:rPr>
          <w:t>http://www.doe.mass.edu/research/reports/2017/06aspeval.docx</w:t>
        </w:r>
      </w:hyperlink>
      <w:r w:rsidR="00920546" w:rsidRPr="00920546">
        <w:t xml:space="preserve"> </w:t>
      </w:r>
    </w:p>
    <w:p w14:paraId="254C1F80" w14:textId="77777777" w:rsidR="00920546" w:rsidRDefault="00920546" w:rsidP="00920546"/>
    <w:p w14:paraId="74614797" w14:textId="77777777" w:rsidR="00920546" w:rsidRPr="0028575A" w:rsidRDefault="00920546" w:rsidP="00920546">
      <w:pPr>
        <w:contextualSpacing/>
        <w:rPr>
          <w:szCs w:val="22"/>
        </w:rPr>
      </w:pPr>
      <w:r w:rsidRPr="00B520C9">
        <w:rPr>
          <w:szCs w:val="22"/>
        </w:rPr>
        <w:t>The Massachusetts state legislatu</w:t>
      </w:r>
      <w:r>
        <w:rPr>
          <w:szCs w:val="22"/>
        </w:rPr>
        <w:t>re funded</w:t>
      </w:r>
      <w:r w:rsidRPr="00B520C9">
        <w:rPr>
          <w:szCs w:val="22"/>
        </w:rPr>
        <w:t xml:space="preserve"> the Academic Support grants annually to enhance academic support services to assist all eligible students in meeting the </w:t>
      </w:r>
      <w:r>
        <w:rPr>
          <w:szCs w:val="22"/>
        </w:rPr>
        <w:t>Commonwealth’</w:t>
      </w:r>
      <w:r w:rsidRPr="00B520C9">
        <w:rPr>
          <w:szCs w:val="22"/>
        </w:rPr>
        <w:t>s Competency Determination</w:t>
      </w:r>
      <w:r>
        <w:rPr>
          <w:szCs w:val="22"/>
        </w:rPr>
        <w:t>,</w:t>
      </w:r>
      <w:r w:rsidRPr="00B520C9">
        <w:rPr>
          <w:rStyle w:val="FootnoteReference"/>
          <w:iCs/>
          <w:szCs w:val="22"/>
        </w:rPr>
        <w:footnoteReference w:id="1"/>
      </w:r>
      <w:r w:rsidRPr="00B520C9">
        <w:rPr>
          <w:szCs w:val="22"/>
        </w:rPr>
        <w:t xml:space="preserve"> a requirement for high school graduation. </w:t>
      </w:r>
      <w:r>
        <w:rPr>
          <w:szCs w:val="22"/>
        </w:rPr>
        <w:t xml:space="preserve">Academic Support services were informed by evidence-based practices, as defined by ESE, and data collected by individual sites. </w:t>
      </w:r>
      <w:r w:rsidRPr="00AC7F34">
        <w:rPr>
          <w:rFonts w:eastAsia="Calibri"/>
          <w:szCs w:val="22"/>
        </w:rPr>
        <w:t>The Academic Support grants fund</w:t>
      </w:r>
      <w:r>
        <w:rPr>
          <w:rFonts w:eastAsia="Calibri"/>
          <w:szCs w:val="22"/>
        </w:rPr>
        <w:t>ed</w:t>
      </w:r>
      <w:r w:rsidRPr="00AC7F34">
        <w:rPr>
          <w:rFonts w:eastAsia="Calibri"/>
          <w:szCs w:val="22"/>
        </w:rPr>
        <w:t xml:space="preserve"> four types of school year and summer grant programs: </w:t>
      </w:r>
      <w:r>
        <w:rPr>
          <w:rFonts w:eastAsia="Calibri"/>
          <w:szCs w:val="22"/>
        </w:rPr>
        <w:t xml:space="preserve">(1) </w:t>
      </w:r>
      <w:r w:rsidRPr="00B520C9">
        <w:rPr>
          <w:iCs/>
          <w:szCs w:val="22"/>
        </w:rPr>
        <w:t xml:space="preserve">Allocation </w:t>
      </w:r>
      <w:r>
        <w:rPr>
          <w:iCs/>
          <w:szCs w:val="22"/>
        </w:rPr>
        <w:t>g</w:t>
      </w:r>
      <w:r w:rsidRPr="00B520C9">
        <w:rPr>
          <w:iCs/>
          <w:szCs w:val="22"/>
        </w:rPr>
        <w:t xml:space="preserve">rant </w:t>
      </w:r>
      <w:r>
        <w:rPr>
          <w:iCs/>
          <w:szCs w:val="22"/>
        </w:rPr>
        <w:t>p</w:t>
      </w:r>
      <w:r w:rsidRPr="00B520C9">
        <w:rPr>
          <w:iCs/>
          <w:szCs w:val="22"/>
        </w:rPr>
        <w:t xml:space="preserve">rogram; </w:t>
      </w:r>
      <w:r>
        <w:rPr>
          <w:iCs/>
          <w:szCs w:val="22"/>
        </w:rPr>
        <w:t>(</w:t>
      </w:r>
      <w:r w:rsidRPr="00B520C9">
        <w:rPr>
          <w:iCs/>
          <w:szCs w:val="22"/>
        </w:rPr>
        <w:t xml:space="preserve">2) </w:t>
      </w:r>
      <w:r w:rsidRPr="00AC7F34">
        <w:rPr>
          <w:iCs/>
          <w:szCs w:val="22"/>
        </w:rPr>
        <w:t xml:space="preserve">Work and Learning </w:t>
      </w:r>
      <w:r>
        <w:rPr>
          <w:iCs/>
          <w:szCs w:val="22"/>
        </w:rPr>
        <w:t>p</w:t>
      </w:r>
      <w:r w:rsidRPr="00AC7F34">
        <w:rPr>
          <w:iCs/>
          <w:szCs w:val="22"/>
        </w:rPr>
        <w:t>rogram</w:t>
      </w:r>
      <w:r w:rsidRPr="00B520C9">
        <w:rPr>
          <w:iCs/>
          <w:szCs w:val="22"/>
        </w:rPr>
        <w:t xml:space="preserve">; </w:t>
      </w:r>
      <w:r>
        <w:rPr>
          <w:iCs/>
          <w:szCs w:val="22"/>
        </w:rPr>
        <w:t>(</w:t>
      </w:r>
      <w:r w:rsidRPr="00B520C9">
        <w:rPr>
          <w:iCs/>
          <w:szCs w:val="22"/>
        </w:rPr>
        <w:t xml:space="preserve">3) </w:t>
      </w:r>
      <w:r w:rsidRPr="00AC7F34">
        <w:rPr>
          <w:iCs/>
          <w:szCs w:val="22"/>
        </w:rPr>
        <w:t xml:space="preserve">Partnerships for Pathways to Success </w:t>
      </w:r>
      <w:r>
        <w:rPr>
          <w:iCs/>
          <w:szCs w:val="22"/>
        </w:rPr>
        <w:t>p</w:t>
      </w:r>
      <w:r w:rsidRPr="00AC7F34">
        <w:rPr>
          <w:iCs/>
          <w:szCs w:val="22"/>
        </w:rPr>
        <w:t>rogram</w:t>
      </w:r>
      <w:r>
        <w:rPr>
          <w:iCs/>
          <w:szCs w:val="22"/>
        </w:rPr>
        <w:t>;</w:t>
      </w:r>
      <w:r w:rsidRPr="00AC7F34">
        <w:rPr>
          <w:iCs/>
          <w:szCs w:val="22"/>
        </w:rPr>
        <w:t xml:space="preserve"> and</w:t>
      </w:r>
      <w:r w:rsidRPr="00B520C9">
        <w:rPr>
          <w:iCs/>
          <w:szCs w:val="22"/>
        </w:rPr>
        <w:t xml:space="preserve"> </w:t>
      </w:r>
      <w:r>
        <w:rPr>
          <w:iCs/>
          <w:szCs w:val="22"/>
        </w:rPr>
        <w:t>(</w:t>
      </w:r>
      <w:r w:rsidRPr="00B520C9">
        <w:rPr>
          <w:iCs/>
          <w:szCs w:val="22"/>
        </w:rPr>
        <w:t xml:space="preserve">4) </w:t>
      </w:r>
      <w:r w:rsidRPr="00AC7F34">
        <w:rPr>
          <w:iCs/>
          <w:szCs w:val="22"/>
        </w:rPr>
        <w:t xml:space="preserve">Collaborative Partnerships for Student Success </w:t>
      </w:r>
      <w:r>
        <w:rPr>
          <w:iCs/>
          <w:szCs w:val="22"/>
        </w:rPr>
        <w:t>(CPSS) p</w:t>
      </w:r>
      <w:r w:rsidRPr="00AC7F34">
        <w:rPr>
          <w:iCs/>
          <w:szCs w:val="22"/>
        </w:rPr>
        <w:t>rogram.</w:t>
      </w:r>
      <w:r w:rsidRPr="00AC7F34">
        <w:rPr>
          <w:rFonts w:eastAsia="Calibri"/>
          <w:szCs w:val="22"/>
        </w:rPr>
        <w:t xml:space="preserve"> The </w:t>
      </w:r>
      <w:r>
        <w:rPr>
          <w:rFonts w:eastAsia="Calibri"/>
          <w:szCs w:val="22"/>
        </w:rPr>
        <w:t xml:space="preserve">Allocation grant program </w:t>
      </w:r>
      <w:proofErr w:type="gramStart"/>
      <w:r>
        <w:rPr>
          <w:rFonts w:eastAsia="Calibri"/>
          <w:szCs w:val="22"/>
        </w:rPr>
        <w:t>was</w:t>
      </w:r>
      <w:r w:rsidRPr="00AC7F34">
        <w:rPr>
          <w:rFonts w:eastAsia="Calibri"/>
          <w:szCs w:val="22"/>
        </w:rPr>
        <w:t xml:space="preserve"> based</w:t>
      </w:r>
      <w:proofErr w:type="gramEnd"/>
      <w:r w:rsidRPr="00AC7F34">
        <w:rPr>
          <w:rFonts w:eastAsia="Calibri"/>
          <w:szCs w:val="22"/>
        </w:rPr>
        <w:t xml:space="preserve"> on a formula that includes the number of high school students who scored at the </w:t>
      </w:r>
      <w:r>
        <w:rPr>
          <w:rFonts w:eastAsia="Calibri"/>
          <w:szCs w:val="22"/>
        </w:rPr>
        <w:t>“f</w:t>
      </w:r>
      <w:r w:rsidRPr="00AC7F34">
        <w:rPr>
          <w:rFonts w:eastAsia="Calibri"/>
          <w:szCs w:val="22"/>
        </w:rPr>
        <w:t>ailing</w:t>
      </w:r>
      <w:r>
        <w:rPr>
          <w:rFonts w:eastAsia="Calibri"/>
          <w:szCs w:val="22"/>
        </w:rPr>
        <w:t>”</w:t>
      </w:r>
      <w:r w:rsidRPr="00AC7F34">
        <w:rPr>
          <w:rFonts w:eastAsia="Calibri"/>
          <w:szCs w:val="22"/>
        </w:rPr>
        <w:t> level on their most recently available high school MCAS exam in E</w:t>
      </w:r>
      <w:r>
        <w:rPr>
          <w:rFonts w:eastAsia="Calibri"/>
          <w:szCs w:val="22"/>
        </w:rPr>
        <w:t>nglish language arts (ELA)</w:t>
      </w:r>
      <w:r w:rsidRPr="00AC7F34">
        <w:rPr>
          <w:rFonts w:eastAsia="Calibri"/>
          <w:szCs w:val="22"/>
        </w:rPr>
        <w:t xml:space="preserve">, mathematics, and </w:t>
      </w:r>
      <w:r>
        <w:rPr>
          <w:rFonts w:eastAsia="Calibri"/>
          <w:szCs w:val="22"/>
        </w:rPr>
        <w:t>science and technology/engineering (</w:t>
      </w:r>
      <w:r w:rsidRPr="00AC7F34">
        <w:rPr>
          <w:rFonts w:eastAsia="Calibri"/>
          <w:szCs w:val="22"/>
        </w:rPr>
        <w:t>STE</w:t>
      </w:r>
      <w:r>
        <w:rPr>
          <w:rFonts w:eastAsia="Calibri"/>
          <w:szCs w:val="22"/>
        </w:rPr>
        <w:t>)</w:t>
      </w:r>
      <w:r w:rsidRPr="00AC7F34">
        <w:rPr>
          <w:rFonts w:eastAsia="Calibri"/>
          <w:szCs w:val="22"/>
        </w:rPr>
        <w:t xml:space="preserve">. The other three grants </w:t>
      </w:r>
      <w:proofErr w:type="gramStart"/>
      <w:r>
        <w:rPr>
          <w:rFonts w:eastAsia="Calibri"/>
          <w:szCs w:val="22"/>
        </w:rPr>
        <w:t>were</w:t>
      </w:r>
      <w:r w:rsidRPr="00AC7F34">
        <w:rPr>
          <w:rFonts w:eastAsia="Calibri"/>
          <w:szCs w:val="22"/>
        </w:rPr>
        <w:t xml:space="preserve"> awarded</w:t>
      </w:r>
      <w:proofErr w:type="gramEnd"/>
      <w:r w:rsidRPr="00AC7F34">
        <w:rPr>
          <w:rFonts w:eastAsia="Calibri"/>
          <w:szCs w:val="22"/>
        </w:rPr>
        <w:t xml:space="preserve"> through a competitive application process.</w:t>
      </w:r>
    </w:p>
    <w:p w14:paraId="26BD022A" w14:textId="77777777" w:rsidR="00920546" w:rsidRDefault="00920546" w:rsidP="00920546">
      <w:pPr>
        <w:contextualSpacing/>
        <w:rPr>
          <w:szCs w:val="22"/>
        </w:rPr>
      </w:pPr>
    </w:p>
    <w:p w14:paraId="3C08C147" w14:textId="77777777" w:rsidR="00920546" w:rsidRDefault="00920546" w:rsidP="00920546">
      <w:pPr>
        <w:contextualSpacing/>
        <w:rPr>
          <w:b/>
        </w:rPr>
      </w:pPr>
      <w:r w:rsidRPr="0028575A">
        <w:rPr>
          <w:szCs w:val="22"/>
        </w:rPr>
        <w:t>The Massachusetts Department of Elementary and Secondary Education (ESE) engaged the University of Massachusetts Donahue Institute (UMDI)</w:t>
      </w:r>
      <w:r>
        <w:rPr>
          <w:szCs w:val="22"/>
        </w:rPr>
        <w:t xml:space="preserve"> as a third party independent research organization</w:t>
      </w:r>
      <w:r w:rsidRPr="0028575A">
        <w:rPr>
          <w:szCs w:val="22"/>
        </w:rPr>
        <w:t xml:space="preserve"> to evaluate the programs funded by the Academic Support grants, with the objective of helping the state legislature and ESE to better understand program implementation, costs, </w:t>
      </w:r>
      <w:r>
        <w:rPr>
          <w:szCs w:val="22"/>
        </w:rPr>
        <w:t xml:space="preserve">benefits, and outcomes. This report describes findings from all research activities conducted for the project, from January 2016 through June 2017. </w:t>
      </w:r>
    </w:p>
    <w:p w14:paraId="36EB873A" w14:textId="77777777" w:rsidR="00920546" w:rsidRDefault="00920546" w:rsidP="00920546">
      <w:pPr>
        <w:contextualSpacing/>
      </w:pPr>
    </w:p>
    <w:p w14:paraId="04AF8C06" w14:textId="77777777" w:rsidR="00920546" w:rsidRDefault="00920546" w:rsidP="00920546">
      <w:pPr>
        <w:contextualSpacing/>
      </w:pPr>
      <w:proofErr w:type="gramStart"/>
      <w:r>
        <w:t>A total of 25,047</w:t>
      </w:r>
      <w:proofErr w:type="gramEnd"/>
      <w:r>
        <w:t xml:space="preserve"> students participated in Academic Support programs from SY13 to SY14. </w:t>
      </w:r>
    </w:p>
    <w:p w14:paraId="5D9B6E63" w14:textId="77777777" w:rsidR="00920546" w:rsidRDefault="00920546" w:rsidP="00920546"/>
    <w:p w14:paraId="2EE6AC40" w14:textId="77777777" w:rsidR="00920546" w:rsidRDefault="00920546" w:rsidP="00920546">
      <w:r>
        <w:t xml:space="preserve">Quantitative analyses revealed a complex picture regarding the outcomes associated with participation in Academic Support programs. Findings suggest that participating students were 1.4 times more likely to gain their Competency Determination than similar non-participating students. Additionally, results indicated that participants were 0.5 times less likely to drop out one year after participation than similar </w:t>
      </w:r>
      <w:proofErr w:type="gramStart"/>
      <w:r>
        <w:t>non-participants</w:t>
      </w:r>
      <w:proofErr w:type="gramEnd"/>
      <w:r>
        <w:t xml:space="preserve">. Participating students also saw slight increases in their rate of attendance (by 1–2 school days) the year after participation. Contrary to these positive findings, however, results suggested that participants were 0.8 times less likely than similar non-participants to graduate one year after </w:t>
      </w:r>
      <w:proofErr w:type="gramStart"/>
      <w:r>
        <w:t>participation</w:t>
      </w:r>
      <w:proofErr w:type="gramEnd"/>
      <w:r>
        <w:t>.</w:t>
      </w:r>
    </w:p>
    <w:p w14:paraId="626AD662" w14:textId="77777777" w:rsidR="00920546" w:rsidRDefault="00920546" w:rsidP="00920546"/>
    <w:p w14:paraId="37AF6437" w14:textId="77777777" w:rsidR="00920546" w:rsidRDefault="00920546" w:rsidP="00920546">
      <w:r>
        <w:t xml:space="preserve">After outcomes </w:t>
      </w:r>
      <w:proofErr w:type="gramStart"/>
      <w:r>
        <w:t>were assessed</w:t>
      </w:r>
      <w:proofErr w:type="gramEnd"/>
      <w:r>
        <w:t xml:space="preserve">, we estimated the economic cost/benefit of the program to the Commonwealth resulting from fewer students dropping out of high school after participating in the Academic Support programs. Conservative estimates suggest a total lifetime savings of $40.9 million </w:t>
      </w:r>
      <w:proofErr w:type="gramStart"/>
      <w:r>
        <w:t>as a result</w:t>
      </w:r>
      <w:proofErr w:type="gramEnd"/>
      <w:r>
        <w:t xml:space="preserve"> of student participation in the Academic Support programs in SY13 and SY14 </w:t>
      </w:r>
      <w:r>
        <w:lastRenderedPageBreak/>
        <w:t>after accounting for the cost of programming. Non-conservative estimates suggest a total savings of $131.3 million for SY13 and SY14 after accounting for the cost of programming.</w:t>
      </w:r>
    </w:p>
    <w:p w14:paraId="5EA45A0F" w14:textId="77777777" w:rsidR="00920546" w:rsidRDefault="00920546" w:rsidP="00920546"/>
    <w:p w14:paraId="621FE79C" w14:textId="77777777" w:rsidR="00920546" w:rsidRDefault="00920546" w:rsidP="00920546">
      <w:r>
        <w:t xml:space="preserve">Nearly all Academic Support program administrators reported—through survey and/or interview—that their program(s) met the goal of improving student performance on MCAS, which supported findings from the quantitative analysis. Most respondents also agreed that the program(s) had additional positive outcomes like increased connectedness to adults, increased confidence in academic ability, increased connections with school, increased college and career readiness skills, and earning course credits. Administrators reported that students were attracted to Academic Support programs because they provided small group or targeted instruction, the programs were free and convenient, and the program staff were engaging and supportive. </w:t>
      </w:r>
    </w:p>
    <w:p w14:paraId="7D0536AB" w14:textId="77777777" w:rsidR="00920546" w:rsidRDefault="00920546" w:rsidP="00920546"/>
    <w:p w14:paraId="4C0F26A5" w14:textId="77777777" w:rsidR="00920546" w:rsidRDefault="00920546" w:rsidP="00920546">
      <w:r>
        <w:t>Demographic analyses indicate that Academic Support programs served High Needs students —including English language learners, students with disabilities, and those eligible to receive free or reduced-price lunch— at a higher rate when compared to statewide percentages of the same groups.</w:t>
      </w:r>
    </w:p>
    <w:p w14:paraId="7C4A70C3" w14:textId="77777777" w:rsidR="00920546" w:rsidRDefault="00920546" w:rsidP="00920546"/>
    <w:p w14:paraId="4ED4ED76" w14:textId="77777777" w:rsidR="00920546" w:rsidRDefault="00920546" w:rsidP="00920546">
      <w:r w:rsidRPr="00CD1701">
        <w:t>Nearly all sites said that budget cuts were a significant challenge.</w:t>
      </w:r>
      <w:r>
        <w:t xml:space="preserve"> </w:t>
      </w:r>
      <w:r w:rsidRPr="00CD1701">
        <w:t xml:space="preserve">Budget cuts resulted in reductions in the number of students </w:t>
      </w:r>
      <w:proofErr w:type="gramStart"/>
      <w:r w:rsidRPr="00CD1701">
        <w:t>being served</w:t>
      </w:r>
      <w:proofErr w:type="gramEnd"/>
      <w:r w:rsidRPr="00CD1701">
        <w:t xml:space="preserve">, elimination of summer programming, and termination of program incentives. Other challenges included attendance issues, student retention, scheduling, </w:t>
      </w:r>
      <w:proofErr w:type="gramStart"/>
      <w:r w:rsidRPr="00CD1701">
        <w:t>student</w:t>
      </w:r>
      <w:proofErr w:type="gramEnd"/>
      <w:r w:rsidRPr="00CD1701">
        <w:t xml:space="preserve"> motivation, recruiting and maintaining contact with overaged students, and engaging parents/guardians.</w:t>
      </w:r>
      <w:r>
        <w:t xml:space="preserve"> Although the majority of respondents highlighted the importance of their Academic Support program(s) for increasing students' likelihood of gaining their Competency Determination, only 4 percent of respondents indicated that they would likely continue all of their current Academic Support activities without continued funding. More than half of respondents said their programs would cease entirely without continued support.</w:t>
      </w:r>
    </w:p>
    <w:p w14:paraId="59A6B530" w14:textId="77777777" w:rsidR="00920546" w:rsidRDefault="00920546" w:rsidP="00920546"/>
    <w:p w14:paraId="6B81CCCC" w14:textId="77777777" w:rsidR="00920546" w:rsidRDefault="00920546" w:rsidP="00920546"/>
    <w:p w14:paraId="6D9AB08F" w14:textId="77777777" w:rsidR="00920546" w:rsidRDefault="00920546">
      <w:pPr>
        <w:rPr>
          <w:b/>
        </w:rPr>
      </w:pPr>
      <w:r>
        <w:rPr>
          <w:b/>
        </w:rPr>
        <w:br w:type="page"/>
      </w:r>
    </w:p>
    <w:p w14:paraId="627440ED" w14:textId="23C4BBA7" w:rsidR="002E7C0B" w:rsidRDefault="002E7C0B" w:rsidP="00920546">
      <w:pPr>
        <w:rPr>
          <w:b/>
        </w:rPr>
      </w:pPr>
      <w:r>
        <w:rPr>
          <w:noProof/>
          <w:lang w:eastAsia="zh-CN"/>
        </w:rPr>
        <w:lastRenderedPageBreak/>
        <w:drawing>
          <wp:inline distT="0" distB="0" distL="0" distR="0" wp14:anchorId="7EB0F099" wp14:editId="4FA6433F">
            <wp:extent cx="1762125" cy="767592"/>
            <wp:effectExtent l="0" t="0" r="0" b="0"/>
            <wp:docPr id="7" name="Picture 7"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84752" cy="777449"/>
                    </a:xfrm>
                    <a:prstGeom prst="rect">
                      <a:avLst/>
                    </a:prstGeom>
                  </pic:spPr>
                </pic:pic>
              </a:graphicData>
            </a:graphic>
          </wp:inline>
        </w:drawing>
      </w:r>
    </w:p>
    <w:p w14:paraId="20EBC25B" w14:textId="77777777" w:rsidR="002E7C0B" w:rsidRDefault="002E7C0B" w:rsidP="00920546">
      <w:pPr>
        <w:rPr>
          <w:b/>
        </w:rPr>
      </w:pPr>
    </w:p>
    <w:p w14:paraId="0F8BD303" w14:textId="77777777" w:rsidR="00920546" w:rsidRDefault="001D129F" w:rsidP="00920546">
      <w:pPr>
        <w:rPr>
          <w:b/>
        </w:rPr>
      </w:pPr>
      <w:r w:rsidRPr="00920546">
        <w:rPr>
          <w:b/>
        </w:rPr>
        <w:t>Massachusetts Educator Preparation and Licensure: Year 1 Report</w:t>
      </w:r>
    </w:p>
    <w:p w14:paraId="022AC52D" w14:textId="77777777" w:rsidR="001D129F" w:rsidRPr="00920546" w:rsidRDefault="001D129F" w:rsidP="00920546">
      <w:pPr>
        <w:rPr>
          <w:b/>
        </w:rPr>
      </w:pPr>
      <w:r w:rsidRPr="00920546">
        <w:rPr>
          <w:b/>
        </w:rPr>
        <w:t>American Institutes for Research</w:t>
      </w:r>
    </w:p>
    <w:p w14:paraId="3DDB13D5" w14:textId="77777777" w:rsidR="00920546" w:rsidRDefault="00360679" w:rsidP="00920546">
      <w:hyperlink r:id="rId18" w:history="1">
        <w:r w:rsidR="00920546" w:rsidRPr="00097935">
          <w:rPr>
            <w:rStyle w:val="Hyperlink"/>
          </w:rPr>
          <w:t>http://www.doe.mass.edu/research/reports/2017/05EdPrep-Year1Report.pdf</w:t>
        </w:r>
      </w:hyperlink>
      <w:r w:rsidR="00920546">
        <w:t xml:space="preserve"> </w:t>
      </w:r>
    </w:p>
    <w:p w14:paraId="1894ACF9" w14:textId="77777777" w:rsidR="00920546" w:rsidRDefault="00920546" w:rsidP="00920546"/>
    <w:p w14:paraId="1ABC87BA" w14:textId="77777777" w:rsidR="00920546" w:rsidRPr="00920546" w:rsidRDefault="00920546" w:rsidP="00920546">
      <w:pPr>
        <w:rPr>
          <w:b/>
          <w:i/>
        </w:rPr>
      </w:pPr>
      <w:bookmarkStart w:id="1" w:name="_Toc479877956"/>
      <w:r w:rsidRPr="00920546">
        <w:rPr>
          <w:b/>
          <w:i/>
        </w:rPr>
        <w:t>Background</w:t>
      </w:r>
      <w:bookmarkEnd w:id="1"/>
    </w:p>
    <w:p w14:paraId="4DAFB80C" w14:textId="77777777" w:rsidR="00920546" w:rsidRDefault="00920546" w:rsidP="00920546">
      <w:pPr>
        <w:spacing w:before="240"/>
      </w:pPr>
      <w:r>
        <w:t xml:space="preserve">Preparing and licensing teachers is an important </w:t>
      </w:r>
      <w:proofErr w:type="gramStart"/>
      <w:r>
        <w:t>leverage</w:t>
      </w:r>
      <w:proofErr w:type="gramEnd"/>
      <w:r>
        <w:t xml:space="preserve"> point for state education agencies in influencing the quality of the teacher workforce. This is particularly so in Massachusetts, whose diverse teacher preparation landscape includes </w:t>
      </w:r>
      <w:r>
        <w:rPr>
          <w:rFonts w:eastAsiaTheme="majorEastAsia"/>
        </w:rPr>
        <w:t xml:space="preserve">about </w:t>
      </w:r>
      <w:r w:rsidRPr="000B0C6B">
        <w:rPr>
          <w:rFonts w:eastAsiaTheme="majorEastAsia"/>
        </w:rPr>
        <w:t xml:space="preserve">70 educator preparation providers </w:t>
      </w:r>
      <w:r>
        <w:rPr>
          <w:rFonts w:eastAsiaTheme="majorEastAsia"/>
        </w:rPr>
        <w:t xml:space="preserve">(EPPs) </w:t>
      </w:r>
      <w:r w:rsidRPr="000B0C6B">
        <w:rPr>
          <w:rFonts w:eastAsiaTheme="majorEastAsia"/>
        </w:rPr>
        <w:t>and 2,000</w:t>
      </w:r>
      <w:r>
        <w:rPr>
          <w:rFonts w:eastAsiaTheme="majorEastAsia"/>
        </w:rPr>
        <w:t xml:space="preserve"> distinct</w:t>
      </w:r>
      <w:r w:rsidRPr="000B0C6B">
        <w:rPr>
          <w:rFonts w:eastAsiaTheme="majorEastAsia"/>
        </w:rPr>
        <w:t xml:space="preserve"> programs</w:t>
      </w:r>
      <w:r>
        <w:rPr>
          <w:rFonts w:eastAsiaTheme="majorEastAsia"/>
        </w:rPr>
        <w:t xml:space="preserve"> within these EPPs at</w:t>
      </w:r>
      <w:r w:rsidRPr="000B0C6B">
        <w:rPr>
          <w:rFonts w:eastAsiaTheme="majorEastAsia"/>
        </w:rPr>
        <w:t xml:space="preserve"> both traditional programs housed in colleges and universities and </w:t>
      </w:r>
      <w:r>
        <w:rPr>
          <w:rFonts w:eastAsiaTheme="majorEastAsia"/>
        </w:rPr>
        <w:t xml:space="preserve">other </w:t>
      </w:r>
      <w:r w:rsidRPr="000B0C6B">
        <w:rPr>
          <w:rFonts w:eastAsiaTheme="majorEastAsia"/>
        </w:rPr>
        <w:t>providers that offer alternative routes into the profession.</w:t>
      </w:r>
      <w:r>
        <w:rPr>
          <w:rFonts w:eastAsiaTheme="majorEastAsia"/>
        </w:rPr>
        <w:t xml:space="preserve"> </w:t>
      </w:r>
      <w:r w:rsidRPr="003E436A">
        <w:t xml:space="preserve">This report describes results from the first year of research in a partnership between the National Center for the Analysis of Longitudinal Data in Education Research (CALDER) and the Department of Elementary and Secondary Education (ESE) to study </w:t>
      </w:r>
      <w:r>
        <w:t>teacher</w:t>
      </w:r>
      <w:r w:rsidRPr="003E436A">
        <w:t xml:space="preserve"> preparation</w:t>
      </w:r>
      <w:r>
        <w:t xml:space="preserve"> and licensure</w:t>
      </w:r>
      <w:r w:rsidRPr="003E436A">
        <w:t xml:space="preserve"> in Massachusetts. </w:t>
      </w:r>
    </w:p>
    <w:p w14:paraId="69347727" w14:textId="77777777" w:rsidR="00920546" w:rsidRDefault="00920546" w:rsidP="00920546">
      <w:pPr>
        <w:spacing w:before="240"/>
        <w:rPr>
          <w:rFonts w:eastAsiaTheme="majorEastAsia"/>
        </w:rPr>
      </w:pPr>
      <w:r>
        <w:t>Specifically, we examine</w:t>
      </w:r>
      <w:r w:rsidRPr="003E436A">
        <w:t xml:space="preserve"> how three outcomes—</w:t>
      </w:r>
      <w:r>
        <w:t>student achievement on state standardized tests, summative performance ratings from educator evaluation</w:t>
      </w:r>
      <w:r w:rsidRPr="003E436A">
        <w:t xml:space="preserve">, </w:t>
      </w:r>
      <w:r>
        <w:t>and</w:t>
      </w:r>
      <w:r w:rsidRPr="003E436A">
        <w:t xml:space="preserve"> </w:t>
      </w:r>
      <w:r>
        <w:t xml:space="preserve">teacher </w:t>
      </w:r>
      <w:r w:rsidRPr="003E436A">
        <w:t xml:space="preserve">attrition—vary </w:t>
      </w:r>
      <w:r>
        <w:t>among</w:t>
      </w:r>
      <w:r w:rsidRPr="003E436A">
        <w:t xml:space="preserve"> teacher candidates from different licensure pathways, preparation program types, and specific </w:t>
      </w:r>
      <w:r>
        <w:t>EPPs and programs</w:t>
      </w:r>
      <w:r w:rsidRPr="003E436A">
        <w:t>.</w:t>
      </w:r>
      <w:r>
        <w:rPr>
          <w:rStyle w:val="FootnoteReference"/>
        </w:rPr>
        <w:footnoteReference w:id="2"/>
      </w:r>
      <w:r w:rsidRPr="003E436A">
        <w:t xml:space="preserve"> </w:t>
      </w:r>
      <w:r>
        <w:rPr>
          <w:rFonts w:eastAsiaTheme="majorEastAsia"/>
        </w:rPr>
        <w:t xml:space="preserve">These findings </w:t>
      </w:r>
      <w:proofErr w:type="gramStart"/>
      <w:r>
        <w:rPr>
          <w:rFonts w:eastAsiaTheme="majorEastAsia"/>
        </w:rPr>
        <w:t>are based</w:t>
      </w:r>
      <w:proofErr w:type="gramEnd"/>
      <w:r>
        <w:rPr>
          <w:rFonts w:eastAsiaTheme="majorEastAsia"/>
        </w:rPr>
        <w:t xml:space="preserve"> on a statewide analysis of Massachusetts teachers who completed educator preparation programs or earned a first teaching license in Massachusetts between 2010 and 2014. </w:t>
      </w:r>
    </w:p>
    <w:p w14:paraId="5A696831" w14:textId="77777777" w:rsidR="00920546" w:rsidRPr="00207CBA" w:rsidRDefault="00920546" w:rsidP="00920546">
      <w:pPr>
        <w:spacing w:before="240"/>
      </w:pPr>
      <w:r>
        <w:rPr>
          <w:rFonts w:eastAsiaTheme="majorEastAsia"/>
        </w:rPr>
        <w:t xml:space="preserve">It is important to emphasize that there are limitations to this non-experimental research. </w:t>
      </w:r>
      <w:r>
        <w:t>Although t</w:t>
      </w:r>
      <w:r w:rsidRPr="000B0C6B">
        <w:t xml:space="preserve">he methods used in this report </w:t>
      </w:r>
      <w:proofErr w:type="gramStart"/>
      <w:r w:rsidRPr="000B0C6B">
        <w:t>are designed</w:t>
      </w:r>
      <w:proofErr w:type="gramEnd"/>
      <w:r w:rsidRPr="000B0C6B">
        <w:t xml:space="preserve"> to separate </w:t>
      </w:r>
      <w:r>
        <w:t>the effectiveness of teachers from the context in which they work</w:t>
      </w:r>
      <w:r w:rsidRPr="000B0C6B">
        <w:t xml:space="preserve">, the results are sensitive to </w:t>
      </w:r>
      <w:r>
        <w:t>different</w:t>
      </w:r>
      <w:r w:rsidRPr="000B0C6B">
        <w:t xml:space="preserve"> assumptions</w:t>
      </w:r>
      <w:r>
        <w:t xml:space="preserve"> (described more fully in the report)</w:t>
      </w:r>
      <w:r w:rsidRPr="000B0C6B">
        <w:t xml:space="preserve"> about the influence of school</w:t>
      </w:r>
      <w:r>
        <w:t>s</w:t>
      </w:r>
      <w:r w:rsidRPr="000B0C6B">
        <w:t xml:space="preserve"> </w:t>
      </w:r>
      <w:r>
        <w:t xml:space="preserve">on each of </w:t>
      </w:r>
      <w:r w:rsidRPr="000B0C6B">
        <w:t>t</w:t>
      </w:r>
      <w:r>
        <w:t xml:space="preserve">he performance measures. </w:t>
      </w:r>
      <w:r>
        <w:rPr>
          <w:rFonts w:eastAsiaTheme="majorEastAsia"/>
        </w:rPr>
        <w:t>In addition, estimates of program and pathway effects reflect more than just differences in the quality of teacher preparation, because programs and pathways may differ in the academic preparation, innate teaching skills, or prior teaching experiences of their candidates out of state</w:t>
      </w:r>
      <w:r>
        <w:t xml:space="preserve">. This </w:t>
      </w:r>
      <w:r w:rsidRPr="000B0C6B">
        <w:t xml:space="preserve">summary focuses </w:t>
      </w:r>
      <w:r>
        <w:t xml:space="preserve">primarily </w:t>
      </w:r>
      <w:r w:rsidRPr="000B0C6B">
        <w:t>on results that are consiste</w:t>
      </w:r>
      <w:r>
        <w:t xml:space="preserve">nt across different assumptions, and the limitations of this research </w:t>
      </w:r>
      <w:proofErr w:type="gramStart"/>
      <w:r>
        <w:t>are described</w:t>
      </w:r>
      <w:proofErr w:type="gramEnd"/>
      <w:r>
        <w:t xml:space="preserve"> in more detail in the last section of this summary and in the report.</w:t>
      </w:r>
    </w:p>
    <w:p w14:paraId="18CF178A" w14:textId="77777777" w:rsidR="00920546" w:rsidRDefault="00920546" w:rsidP="00920546">
      <w:pPr>
        <w:rPr>
          <w:i/>
        </w:rPr>
      </w:pPr>
      <w:bookmarkStart w:id="2" w:name="_Toc479877957"/>
    </w:p>
    <w:p w14:paraId="5BC6C6A6" w14:textId="77777777" w:rsidR="00920546" w:rsidRPr="00920546" w:rsidRDefault="00920546" w:rsidP="00920546">
      <w:pPr>
        <w:rPr>
          <w:b/>
          <w:i/>
        </w:rPr>
      </w:pPr>
      <w:r w:rsidRPr="00920546">
        <w:rPr>
          <w:b/>
          <w:i/>
        </w:rPr>
        <w:t>Key Findings</w:t>
      </w:r>
      <w:bookmarkEnd w:id="2"/>
    </w:p>
    <w:p w14:paraId="73BFAD03" w14:textId="77777777" w:rsidR="00920546" w:rsidRPr="00920546" w:rsidRDefault="00920546" w:rsidP="00920546">
      <w:pPr>
        <w:pStyle w:val="Heading4"/>
        <w:rPr>
          <w:i/>
        </w:rPr>
      </w:pPr>
      <w:r w:rsidRPr="00920546">
        <w:rPr>
          <w:i/>
        </w:rPr>
        <w:t xml:space="preserve">Key Finding #1: Relative to teachers who receive their teaching license from an undergraduate </w:t>
      </w:r>
      <w:proofErr w:type="gramStart"/>
      <w:r w:rsidRPr="00920546">
        <w:rPr>
          <w:i/>
        </w:rPr>
        <w:t>program,</w:t>
      </w:r>
      <w:proofErr w:type="gramEnd"/>
      <w:r w:rsidRPr="00920546">
        <w:rPr>
          <w:i/>
        </w:rPr>
        <w:t xml:space="preserve"> teachers who receive their teaching license from postgraduate </w:t>
      </w:r>
      <w:r w:rsidRPr="00920546">
        <w:rPr>
          <w:i/>
        </w:rPr>
        <w:lastRenderedPageBreak/>
        <w:t>or alternative programs tend to receive higher summative performance ratings. Evidence of a relationship between program type and value added is mixed.</w:t>
      </w:r>
    </w:p>
    <w:p w14:paraId="1B5D3CB6" w14:textId="77777777" w:rsidR="00920546" w:rsidRDefault="00920546" w:rsidP="00920546">
      <w:pPr>
        <w:spacing w:before="240"/>
      </w:pPr>
      <w:r>
        <w:t>T</w:t>
      </w:r>
      <w:r w:rsidRPr="003E436A">
        <w:t xml:space="preserve">eachers </w:t>
      </w:r>
      <w:r>
        <w:t xml:space="preserve">from postgraduate </w:t>
      </w:r>
      <w:r w:rsidRPr="003E436A">
        <w:t>program</w:t>
      </w:r>
      <w:r>
        <w:t xml:space="preserve">s are more effective at raising </w:t>
      </w:r>
      <w:r w:rsidRPr="003E436A">
        <w:t>ELA achievement</w:t>
      </w:r>
      <w:r>
        <w:t xml:space="preserve"> (but not math achievement)</w:t>
      </w:r>
      <w:r w:rsidRPr="003E436A">
        <w:t xml:space="preserve"> than teachers </w:t>
      </w:r>
      <w:r>
        <w:t xml:space="preserve">from undergraduate </w:t>
      </w:r>
      <w:r w:rsidRPr="003E436A">
        <w:t>program</w:t>
      </w:r>
      <w:r>
        <w:t xml:space="preserve">s. In Figure ES.1., we plot the expected outcomes on each performance measure for alternative, postgraduate, and undergraduate institutions from our baseline models. The first two panels illustrate findings from the value added models, but these results tend to be sensitive to methodological choices. Although the baseline results </w:t>
      </w:r>
      <w:proofErr w:type="gramStart"/>
      <w:r>
        <w:t>shown</w:t>
      </w:r>
      <w:proofErr w:type="gramEnd"/>
      <w:r>
        <w:t xml:space="preserve"> suggest that teachers from </w:t>
      </w:r>
      <w:r w:rsidRPr="003E436A">
        <w:t>alternative program</w:t>
      </w:r>
      <w:r>
        <w:t>s</w:t>
      </w:r>
      <w:r w:rsidRPr="003E436A">
        <w:t xml:space="preserve"> have </w:t>
      </w:r>
      <w:r>
        <w:t xml:space="preserve">students with </w:t>
      </w:r>
      <w:r w:rsidRPr="003E436A">
        <w:t>higher student achievement</w:t>
      </w:r>
      <w:r>
        <w:t xml:space="preserve"> gains, this result is not supported by models with more robust controls for student background than the one shown here</w:t>
      </w:r>
      <w:r w:rsidRPr="003E436A">
        <w:t xml:space="preserve">. </w:t>
      </w:r>
      <w:r>
        <w:t>Taken as a whole, the results do not provide consistent evidence of differences in value added across program pathways.</w:t>
      </w:r>
    </w:p>
    <w:p w14:paraId="62EEC5E4" w14:textId="77777777" w:rsidR="00920546" w:rsidRDefault="00920546" w:rsidP="00920546">
      <w:pPr>
        <w:spacing w:before="240"/>
      </w:pPr>
      <w:r>
        <w:t>The differences across pathways on the summative ratings are more consistent.</w:t>
      </w:r>
      <w:r w:rsidRPr="003E436A">
        <w:t xml:space="preserve"> </w:t>
      </w:r>
      <w:r>
        <w:t>Teachers who</w:t>
      </w:r>
      <w:r w:rsidRPr="003E436A">
        <w:t xml:space="preserve"> </w:t>
      </w:r>
      <w:r>
        <w:t>receive their first teaching license from</w:t>
      </w:r>
      <w:r w:rsidRPr="003E436A">
        <w:t xml:space="preserve"> a </w:t>
      </w:r>
      <w:r>
        <w:t>postgraduate or alternative</w:t>
      </w:r>
      <w:r w:rsidRPr="003E436A">
        <w:t xml:space="preserve"> program </w:t>
      </w:r>
      <w:r>
        <w:t>tend to receive higher</w:t>
      </w:r>
      <w:r w:rsidRPr="003E436A">
        <w:t xml:space="preserve"> summative performance rating</w:t>
      </w:r>
      <w:r>
        <w:t xml:space="preserve">s than teachers who receive their teaching credential through an undergraduate </w:t>
      </w:r>
      <w:r w:rsidRPr="003E436A">
        <w:t>program</w:t>
      </w:r>
      <w:r>
        <w:t xml:space="preserve">. We measure performance on each of the standards in the summative ratings by awarding a point for each rating category (unsatisfactory is coded as a </w:t>
      </w:r>
      <w:proofErr w:type="gramStart"/>
      <w:r>
        <w:t>1</w:t>
      </w:r>
      <w:proofErr w:type="gramEnd"/>
      <w:r>
        <w:t xml:space="preserve">; exemplary is coded as a 4) and then adjust for school characteristics and district rating standards. Teachers from postgraduate programs earn ratings about 0.03 points higher </w:t>
      </w:r>
      <w:proofErr w:type="gramStart"/>
      <w:r>
        <w:t>than those from undergraduate programs,</w:t>
      </w:r>
      <w:proofErr w:type="gramEnd"/>
      <w:r>
        <w:t xml:space="preserve"> while teachers from alternative programs earn ratings about 0.11 points higher. The difference in summative ratings between undergraduate and postgraduate programs is nearly as large as that between a novice and second year teacher; the difference between undergraduate and alternative programs is similar to that between a novice teacher and a teacher with five years of experience.</w:t>
      </w:r>
    </w:p>
    <w:p w14:paraId="7D2AA95F" w14:textId="77777777" w:rsidR="00920546" w:rsidRDefault="00920546" w:rsidP="00920546">
      <w:pPr>
        <w:rPr>
          <w:b/>
        </w:rPr>
      </w:pPr>
    </w:p>
    <w:p w14:paraId="68B090C7" w14:textId="77777777" w:rsidR="00920546" w:rsidRPr="003E436A" w:rsidRDefault="00920546" w:rsidP="00920546">
      <w:pPr>
        <w:pStyle w:val="FigureTitle"/>
      </w:pPr>
      <w:bookmarkStart w:id="3" w:name="_Toc479878008"/>
      <w:r>
        <w:t>Figure ES.1</w:t>
      </w:r>
      <w:r w:rsidRPr="003E436A">
        <w:t>. Program Pathways and Teacher Outcomes</w:t>
      </w:r>
      <w:bookmarkEnd w:id="3"/>
    </w:p>
    <w:p w14:paraId="58AF1874" w14:textId="77777777" w:rsidR="00920546" w:rsidRDefault="00920546" w:rsidP="00920546">
      <w:pPr>
        <w:rPr>
          <w:i/>
          <w:sz w:val="20"/>
          <w:szCs w:val="20"/>
        </w:rPr>
      </w:pPr>
      <w:r>
        <w:rPr>
          <w:i/>
          <w:noProof/>
          <w:sz w:val="20"/>
          <w:szCs w:val="20"/>
          <w:lang w:eastAsia="zh-CN"/>
        </w:rPr>
        <w:drawing>
          <wp:inline distT="0" distB="0" distL="0" distR="0" wp14:anchorId="33A80DB2" wp14:editId="79C1F696">
            <wp:extent cx="5943600" cy="1981200"/>
            <wp:effectExtent l="0" t="0" r="0" b="0"/>
            <wp:docPr id="108" name="Picture 108" descr="Program pathways and teacher outcomes, shows math value added, ELA value added, and summativ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gpathfx.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504A0523" w14:textId="77777777" w:rsidR="00920546" w:rsidRPr="000F312D" w:rsidRDefault="00920546" w:rsidP="00920546">
      <w:pPr>
        <w:rPr>
          <w:sz w:val="20"/>
          <w:szCs w:val="20"/>
        </w:rPr>
      </w:pPr>
      <w:r w:rsidRPr="005D2574">
        <w:rPr>
          <w:i/>
          <w:sz w:val="20"/>
          <w:szCs w:val="20"/>
        </w:rPr>
        <w:t>Notes</w:t>
      </w:r>
      <w:r w:rsidRPr="005D2574">
        <w:rPr>
          <w:sz w:val="20"/>
          <w:szCs w:val="20"/>
        </w:rPr>
        <w:t xml:space="preserve">: </w:t>
      </w:r>
      <w:r>
        <w:rPr>
          <w:sz w:val="20"/>
          <w:szCs w:val="20"/>
        </w:rPr>
        <w:t>We plot estimated teacher outcomes for each program pathway at the average values in the dataset</w:t>
      </w:r>
      <w:r w:rsidRPr="005D2574">
        <w:rPr>
          <w:sz w:val="20"/>
          <w:szCs w:val="20"/>
        </w:rPr>
        <w:t xml:space="preserve">. Effects </w:t>
      </w:r>
      <w:r>
        <w:rPr>
          <w:sz w:val="20"/>
          <w:szCs w:val="20"/>
        </w:rPr>
        <w:t xml:space="preserve">for alternative and postgraduate programs </w:t>
      </w:r>
      <w:r w:rsidRPr="005D2574">
        <w:rPr>
          <w:sz w:val="20"/>
          <w:szCs w:val="20"/>
        </w:rPr>
        <w:t xml:space="preserve">are estimated using baseline models presented in the text. </w:t>
      </w:r>
      <w:r>
        <w:rPr>
          <w:sz w:val="20"/>
          <w:szCs w:val="20"/>
        </w:rPr>
        <w:t xml:space="preserve">Value added </w:t>
      </w:r>
      <w:proofErr w:type="gramStart"/>
      <w:r>
        <w:rPr>
          <w:sz w:val="20"/>
          <w:szCs w:val="20"/>
        </w:rPr>
        <w:t>is</w:t>
      </w:r>
      <w:r w:rsidRPr="005D2574">
        <w:rPr>
          <w:sz w:val="20"/>
          <w:szCs w:val="20"/>
        </w:rPr>
        <w:t xml:space="preserve"> defined</w:t>
      </w:r>
      <w:proofErr w:type="gramEnd"/>
      <w:r w:rsidRPr="005D2574">
        <w:rPr>
          <w:sz w:val="20"/>
          <w:szCs w:val="20"/>
        </w:rPr>
        <w:t xml:space="preserve"> in standard deviations of student test performance; summative performance rating effects are in</w:t>
      </w:r>
      <w:r>
        <w:rPr>
          <w:sz w:val="20"/>
          <w:szCs w:val="20"/>
        </w:rPr>
        <w:t xml:space="preserve"> mean</w:t>
      </w:r>
      <w:r w:rsidRPr="005D2574">
        <w:rPr>
          <w:sz w:val="20"/>
          <w:szCs w:val="20"/>
        </w:rPr>
        <w:t xml:space="preserve"> points on the rating scale</w:t>
      </w:r>
      <w:r>
        <w:rPr>
          <w:sz w:val="20"/>
          <w:szCs w:val="20"/>
        </w:rPr>
        <w:t xml:space="preserve"> across the four standard scores</w:t>
      </w:r>
      <w:r w:rsidRPr="005D2574">
        <w:rPr>
          <w:sz w:val="20"/>
          <w:szCs w:val="20"/>
        </w:rPr>
        <w:t xml:space="preserve">; attrition effects are in probability units. </w:t>
      </w:r>
      <w:r>
        <w:rPr>
          <w:sz w:val="20"/>
          <w:szCs w:val="20"/>
        </w:rPr>
        <w:t>The vertical bars depict the 95% confidence interval for the estimated pathway effects relative to undergraduates</w:t>
      </w:r>
      <w:r w:rsidRPr="005D2574">
        <w:rPr>
          <w:sz w:val="20"/>
          <w:szCs w:val="20"/>
        </w:rPr>
        <w:t>.</w:t>
      </w:r>
    </w:p>
    <w:p w14:paraId="42B3F83D" w14:textId="77777777" w:rsidR="00920546" w:rsidRPr="00920546" w:rsidRDefault="00920546" w:rsidP="00920546">
      <w:pPr>
        <w:pStyle w:val="Heading4"/>
        <w:rPr>
          <w:i/>
        </w:rPr>
      </w:pPr>
      <w:r w:rsidRPr="00920546">
        <w:rPr>
          <w:i/>
        </w:rPr>
        <w:t xml:space="preserve">Key Finding #2: Relative to teachers with initial licenses, out-of-state teachers with temporary licenses tend to receive higher summative performance ratings, while those </w:t>
      </w:r>
      <w:r w:rsidRPr="00920546">
        <w:rPr>
          <w:i/>
        </w:rPr>
        <w:lastRenderedPageBreak/>
        <w:t>with preliminary licenses that do not require prior program completion tend to receive lower summative performance ratings. Evidence for value added is mixed, but there is some evidence that teachers with preliminary licenses are less effective in math instruction.</w:t>
      </w:r>
    </w:p>
    <w:p w14:paraId="0D4724EA" w14:textId="77777777" w:rsidR="00920546" w:rsidRDefault="00920546" w:rsidP="00920546">
      <w:pPr>
        <w:spacing w:before="240"/>
      </w:pPr>
      <w:proofErr w:type="gramStart"/>
      <w:r>
        <w:t>We consider three licensure pathways: teachers</w:t>
      </w:r>
      <w:r w:rsidRPr="003E436A">
        <w:t xml:space="preserve"> with a preliminary license (offered to teachers who have </w:t>
      </w:r>
      <w:r>
        <w:t xml:space="preserve">passed the state licensure testing requirements but </w:t>
      </w:r>
      <w:r w:rsidRPr="003E436A">
        <w:t>not</w:t>
      </w:r>
      <w:r>
        <w:t xml:space="preserve"> yet</w:t>
      </w:r>
      <w:r w:rsidRPr="003E436A">
        <w:t xml:space="preserve"> completed an approved </w:t>
      </w:r>
      <w:r>
        <w:t>EPP</w:t>
      </w:r>
      <w:r w:rsidRPr="003E436A">
        <w:t>), an initial license (offered to teachers who have completed a preparation program and</w:t>
      </w:r>
      <w:r>
        <w:t xml:space="preserve"> state testing requirements), and</w:t>
      </w:r>
      <w:r w:rsidRPr="003E436A">
        <w:t xml:space="preserve"> a temporary license (offered to teachers with at least 3 years of experience in another state who have not completed state licensure testing requirements).</w:t>
      </w:r>
      <w:proofErr w:type="gramEnd"/>
      <w:r w:rsidRPr="003E436A">
        <w:t xml:space="preserve"> </w:t>
      </w:r>
      <w:r>
        <w:t>We plot mean outcomes by pathway in Figure ES.2.</w:t>
      </w:r>
    </w:p>
    <w:p w14:paraId="7D5FD5EF" w14:textId="77777777" w:rsidR="00920546" w:rsidRPr="0026791E" w:rsidRDefault="00920546" w:rsidP="00920546">
      <w:pPr>
        <w:spacing w:before="240"/>
        <w:rPr>
          <w:b/>
          <w:i/>
        </w:rPr>
      </w:pPr>
      <w:r>
        <w:t>As is the case with program pathways, no clear differences in value-added emerge. Teachers</w:t>
      </w:r>
      <w:r w:rsidRPr="003E436A">
        <w:t xml:space="preserve"> who enter with a preliminary license </w:t>
      </w:r>
      <w:r>
        <w:t xml:space="preserve">have lower math value added </w:t>
      </w:r>
      <w:r w:rsidRPr="003E436A">
        <w:t>than teachers who enter with an initial license</w:t>
      </w:r>
      <w:r>
        <w:t xml:space="preserve">, although the difference is modest (less than one month of student learning in these grades). We do not observe differences in ELA value added. There is also </w:t>
      </w:r>
      <w:r w:rsidRPr="003E436A">
        <w:t>litt</w:t>
      </w:r>
      <w:r>
        <w:t>le evidence of any difference</w:t>
      </w:r>
      <w:r w:rsidRPr="003E436A">
        <w:t xml:space="preserve"> in </w:t>
      </w:r>
      <w:r>
        <w:t xml:space="preserve">value added </w:t>
      </w:r>
      <w:r w:rsidRPr="003E436A">
        <w:t xml:space="preserve">between teachers with an initial </w:t>
      </w:r>
      <w:r>
        <w:t>and</w:t>
      </w:r>
      <w:r w:rsidRPr="003E436A">
        <w:t xml:space="preserve"> temporary license.</w:t>
      </w:r>
      <w:r>
        <w:t xml:space="preserve"> Differences in effectiveness are again more apparent in the summative ratings data.</w:t>
      </w:r>
      <w:r>
        <w:rPr>
          <w:sz w:val="20"/>
          <w:szCs w:val="20"/>
        </w:rPr>
        <w:t xml:space="preserve"> </w:t>
      </w:r>
      <w:r>
        <w:t xml:space="preserve">Teachers with preliminary licenses tend to receive lower summative performance ratings, and teachers with temporary licenses receive higher ratings, </w:t>
      </w:r>
      <w:proofErr w:type="gramStart"/>
      <w:r>
        <w:t>than new teachers with initial licenses</w:t>
      </w:r>
      <w:proofErr w:type="gramEnd"/>
      <w:r>
        <w:t>. The difference in ratings between teachers with preliminary and temporary licenses corresponds to about 0.06 points or the difference between a novice and third-year teacher.</w:t>
      </w:r>
    </w:p>
    <w:p w14:paraId="609F231D" w14:textId="77777777" w:rsidR="00920546" w:rsidRPr="003E436A" w:rsidRDefault="00920546" w:rsidP="00920546"/>
    <w:p w14:paraId="541301F3" w14:textId="77777777" w:rsidR="00920546" w:rsidRPr="003E436A" w:rsidRDefault="00920546" w:rsidP="00920546">
      <w:pPr>
        <w:pStyle w:val="FigureTitle"/>
      </w:pPr>
      <w:bookmarkStart w:id="4" w:name="_Toc479878009"/>
      <w:r>
        <w:t>Figure ES.2</w:t>
      </w:r>
      <w:r w:rsidRPr="003E436A">
        <w:t>. Licensure Pathways and Teacher Outcomes</w:t>
      </w:r>
      <w:bookmarkEnd w:id="4"/>
    </w:p>
    <w:p w14:paraId="783EAF20" w14:textId="77777777" w:rsidR="00920546" w:rsidRDefault="00920546" w:rsidP="00920546">
      <w:pPr>
        <w:rPr>
          <w:i/>
          <w:sz w:val="20"/>
          <w:szCs w:val="20"/>
        </w:rPr>
      </w:pPr>
      <w:r>
        <w:rPr>
          <w:i/>
          <w:noProof/>
          <w:sz w:val="20"/>
          <w:szCs w:val="20"/>
          <w:lang w:eastAsia="zh-CN"/>
        </w:rPr>
        <w:drawing>
          <wp:inline distT="0" distB="0" distL="0" distR="0" wp14:anchorId="28BA573F" wp14:editId="2B6B112E">
            <wp:extent cx="5943600" cy="1981200"/>
            <wp:effectExtent l="0" t="0" r="0" b="0"/>
            <wp:docPr id="109" name="Picture 109" descr="Licensure pathways and teacher outcomes, shows math value added, ELA value added, and summativ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cpathfx.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17D15564" w14:textId="77777777" w:rsidR="00920546" w:rsidRDefault="00920546" w:rsidP="00920546">
      <w:pPr>
        <w:rPr>
          <w:sz w:val="20"/>
          <w:szCs w:val="20"/>
        </w:rPr>
      </w:pPr>
      <w:r w:rsidRPr="005D2574">
        <w:rPr>
          <w:i/>
          <w:sz w:val="20"/>
          <w:szCs w:val="20"/>
        </w:rPr>
        <w:t>Notes</w:t>
      </w:r>
      <w:r w:rsidRPr="005D2574">
        <w:rPr>
          <w:sz w:val="20"/>
          <w:szCs w:val="20"/>
        </w:rPr>
        <w:t xml:space="preserve">: </w:t>
      </w:r>
      <w:r>
        <w:rPr>
          <w:sz w:val="20"/>
          <w:szCs w:val="20"/>
        </w:rPr>
        <w:t>We plot estimated teacher outcomes for each program pathway at the average values in the dataset</w:t>
      </w:r>
      <w:r w:rsidRPr="005D2574">
        <w:rPr>
          <w:sz w:val="20"/>
          <w:szCs w:val="20"/>
        </w:rPr>
        <w:t xml:space="preserve">. Effects </w:t>
      </w:r>
      <w:r>
        <w:rPr>
          <w:sz w:val="20"/>
          <w:szCs w:val="20"/>
        </w:rPr>
        <w:t xml:space="preserve">for alternative and postgraduate programs </w:t>
      </w:r>
      <w:r w:rsidRPr="005D2574">
        <w:rPr>
          <w:sz w:val="20"/>
          <w:szCs w:val="20"/>
        </w:rPr>
        <w:t xml:space="preserve">are estimated using baseline models presented in the text. </w:t>
      </w:r>
      <w:r>
        <w:rPr>
          <w:sz w:val="20"/>
          <w:szCs w:val="20"/>
        </w:rPr>
        <w:t xml:space="preserve">Value added </w:t>
      </w:r>
      <w:proofErr w:type="gramStart"/>
      <w:r>
        <w:rPr>
          <w:sz w:val="20"/>
          <w:szCs w:val="20"/>
        </w:rPr>
        <w:t>is</w:t>
      </w:r>
      <w:r w:rsidRPr="005D2574">
        <w:rPr>
          <w:sz w:val="20"/>
          <w:szCs w:val="20"/>
        </w:rPr>
        <w:t xml:space="preserve"> defined</w:t>
      </w:r>
      <w:proofErr w:type="gramEnd"/>
      <w:r w:rsidRPr="005D2574">
        <w:rPr>
          <w:sz w:val="20"/>
          <w:szCs w:val="20"/>
        </w:rPr>
        <w:t xml:space="preserve"> in standard deviations of student test performance; summative performance rating effects are in</w:t>
      </w:r>
      <w:r>
        <w:rPr>
          <w:sz w:val="20"/>
          <w:szCs w:val="20"/>
        </w:rPr>
        <w:t xml:space="preserve"> mean</w:t>
      </w:r>
      <w:r w:rsidRPr="005D2574">
        <w:rPr>
          <w:sz w:val="20"/>
          <w:szCs w:val="20"/>
        </w:rPr>
        <w:t xml:space="preserve"> points on the rating scale</w:t>
      </w:r>
      <w:r>
        <w:rPr>
          <w:sz w:val="20"/>
          <w:szCs w:val="20"/>
        </w:rPr>
        <w:t xml:space="preserve"> across the four standard scores</w:t>
      </w:r>
      <w:r w:rsidRPr="005D2574">
        <w:rPr>
          <w:sz w:val="20"/>
          <w:szCs w:val="20"/>
        </w:rPr>
        <w:t xml:space="preserve">; attrition effects are in probability units. </w:t>
      </w:r>
      <w:r>
        <w:rPr>
          <w:sz w:val="20"/>
          <w:szCs w:val="20"/>
        </w:rPr>
        <w:t>The vertical bars depict the 95% confidence interval for the estimated pathway effects relative to initial licenses</w:t>
      </w:r>
      <w:r w:rsidRPr="005D2574">
        <w:rPr>
          <w:sz w:val="20"/>
          <w:szCs w:val="20"/>
        </w:rPr>
        <w:t>.</w:t>
      </w:r>
    </w:p>
    <w:p w14:paraId="54C58D0E" w14:textId="77777777" w:rsidR="00920546" w:rsidRPr="00920546" w:rsidRDefault="00920546" w:rsidP="00920546">
      <w:pPr>
        <w:pStyle w:val="Heading4"/>
        <w:rPr>
          <w:i/>
        </w:rPr>
      </w:pPr>
      <w:r w:rsidRPr="00920546">
        <w:rPr>
          <w:i/>
        </w:rPr>
        <w:lastRenderedPageBreak/>
        <w:t xml:space="preserve">Key Finding #3: Teachers who enter the profession through alternative programs or with non-standard licenses are more likely to leave teaching than </w:t>
      </w:r>
      <w:proofErr w:type="gramStart"/>
      <w:r w:rsidRPr="00920546">
        <w:rPr>
          <w:i/>
        </w:rPr>
        <w:t>teachers</w:t>
      </w:r>
      <w:proofErr w:type="gramEnd"/>
      <w:r w:rsidRPr="00920546">
        <w:rPr>
          <w:i/>
        </w:rPr>
        <w:t xml:space="preserve"> from traditional, in-state EPPs.</w:t>
      </w:r>
    </w:p>
    <w:p w14:paraId="39C146FA" w14:textId="77777777" w:rsidR="00920546" w:rsidRDefault="00920546" w:rsidP="00920546">
      <w:pPr>
        <w:spacing w:before="240"/>
      </w:pPr>
      <w:r>
        <w:t>A consistent finding is that teachers entering the profession with an initial license after completing an approved EPP have the lowest rates of attrition. We illustrate differences in attrition rates by program and license type in Figure ES.3. The average early-career attrition rate for teachers completing in-state programs is about 6% (a probability of 0.06). For example,</w:t>
      </w:r>
      <w:r w:rsidRPr="003E436A">
        <w:t xml:space="preserve"> </w:t>
      </w:r>
      <w:r>
        <w:t xml:space="preserve">teachers from alternative programs are about 2 percentage points – or about 33% – more likely to leave teaching in Massachusetts schools in a given year </w:t>
      </w:r>
      <w:proofErr w:type="gramStart"/>
      <w:r>
        <w:t>than teachers</w:t>
      </w:r>
      <w:proofErr w:type="gramEnd"/>
      <w:r>
        <w:t xml:space="preserve"> from undergraduate programs. Similarly, the second panel in Figure ES.3 shows that teachers with preliminary and temporary licenses are also more likely to exit teaching than those with initial licenses. In fact, teachers from outside of Massachusetts are nearly 60% more likely to exit than those with initial </w:t>
      </w:r>
      <w:proofErr w:type="gramStart"/>
      <w:r>
        <w:t>licenses</w:t>
      </w:r>
      <w:proofErr w:type="gramEnd"/>
      <w:r>
        <w:t xml:space="preserve"> from in-state EPPs.</w:t>
      </w:r>
    </w:p>
    <w:p w14:paraId="46CCA615" w14:textId="77777777" w:rsidR="00920546" w:rsidRPr="007C2D7E" w:rsidRDefault="00920546" w:rsidP="00920546">
      <w:pPr>
        <w:pStyle w:val="FigureTitle"/>
      </w:pPr>
      <w:bookmarkStart w:id="5" w:name="_Toc479878010"/>
      <w:r>
        <w:t>Figure ES.3</w:t>
      </w:r>
      <w:r w:rsidRPr="003E436A">
        <w:t xml:space="preserve">. Pathways and Teacher </w:t>
      </w:r>
      <w:r>
        <w:t>Attrition</w:t>
      </w:r>
      <w:bookmarkEnd w:id="5"/>
    </w:p>
    <w:p w14:paraId="340C557C" w14:textId="77777777" w:rsidR="00920546" w:rsidRDefault="00920546" w:rsidP="00920546">
      <w:pPr>
        <w:rPr>
          <w:i/>
          <w:sz w:val="20"/>
          <w:szCs w:val="20"/>
        </w:rPr>
      </w:pPr>
      <w:r>
        <w:rPr>
          <w:i/>
          <w:noProof/>
          <w:sz w:val="20"/>
          <w:szCs w:val="20"/>
          <w:lang w:eastAsia="zh-CN"/>
        </w:rPr>
        <w:drawing>
          <wp:inline distT="0" distB="0" distL="0" distR="0" wp14:anchorId="332F0BA1" wp14:editId="3FB2C780">
            <wp:extent cx="5943600" cy="1981200"/>
            <wp:effectExtent l="0" t="0" r="0" b="0"/>
            <wp:docPr id="110" name="Picture 110" descr="Pathways and teacher at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cpathfx.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5838586D" w14:textId="77777777" w:rsidR="00920546" w:rsidRPr="007C2D7E" w:rsidRDefault="00920546" w:rsidP="00920546">
      <w:pPr>
        <w:rPr>
          <w:sz w:val="20"/>
          <w:szCs w:val="20"/>
        </w:rPr>
      </w:pPr>
      <w:r w:rsidRPr="005D2574">
        <w:rPr>
          <w:i/>
          <w:sz w:val="20"/>
          <w:szCs w:val="20"/>
        </w:rPr>
        <w:t>Notes</w:t>
      </w:r>
      <w:r w:rsidRPr="005D2574">
        <w:rPr>
          <w:sz w:val="20"/>
          <w:szCs w:val="20"/>
        </w:rPr>
        <w:t xml:space="preserve">: </w:t>
      </w:r>
      <w:r>
        <w:rPr>
          <w:sz w:val="20"/>
          <w:szCs w:val="20"/>
        </w:rPr>
        <w:t>We plot estimated teacher attrition for each program and licensure pathway at the average values of teacher covariates in the dataset</w:t>
      </w:r>
      <w:r w:rsidRPr="005D2574">
        <w:rPr>
          <w:sz w:val="20"/>
          <w:szCs w:val="20"/>
        </w:rPr>
        <w:t xml:space="preserve">. Effects </w:t>
      </w:r>
      <w:r>
        <w:rPr>
          <w:sz w:val="20"/>
          <w:szCs w:val="20"/>
        </w:rPr>
        <w:t xml:space="preserve">for alternative, postgraduate, preliminary, and temporary pathways </w:t>
      </w:r>
      <w:r w:rsidRPr="005D2574">
        <w:rPr>
          <w:sz w:val="20"/>
          <w:szCs w:val="20"/>
        </w:rPr>
        <w:t xml:space="preserve">are estimated using baseline models presented in the text. </w:t>
      </w:r>
      <w:r>
        <w:rPr>
          <w:sz w:val="20"/>
          <w:szCs w:val="20"/>
        </w:rPr>
        <w:t>Attrition</w:t>
      </w:r>
      <w:r w:rsidRPr="005D2574">
        <w:rPr>
          <w:sz w:val="20"/>
          <w:szCs w:val="20"/>
        </w:rPr>
        <w:t xml:space="preserve"> effects are in probability units. </w:t>
      </w:r>
      <w:r>
        <w:rPr>
          <w:sz w:val="20"/>
          <w:szCs w:val="20"/>
        </w:rPr>
        <w:t>The vertical bars depict the 95% confidence interval for the estimated pathway effects relative to postgraduate programs or initial licenses</w:t>
      </w:r>
      <w:r w:rsidRPr="005D2574">
        <w:rPr>
          <w:sz w:val="20"/>
          <w:szCs w:val="20"/>
        </w:rPr>
        <w:t>.</w:t>
      </w:r>
    </w:p>
    <w:p w14:paraId="04A53A66" w14:textId="77777777" w:rsidR="00920546" w:rsidRPr="00920546" w:rsidRDefault="00920546" w:rsidP="00920546">
      <w:pPr>
        <w:pStyle w:val="Heading4"/>
        <w:rPr>
          <w:i/>
        </w:rPr>
      </w:pPr>
      <w:r w:rsidRPr="00920546">
        <w:rPr>
          <w:i/>
        </w:rPr>
        <w:t xml:space="preserve">Key Finding #4: Outcomes for most EPPs in Massachusetts are not statistically distinguishable from the average outcome across EPPs, but the variation explained by individual EPPs in Massachusetts is on the high end of what </w:t>
      </w:r>
      <w:proofErr w:type="gramStart"/>
      <w:r w:rsidRPr="00920546">
        <w:rPr>
          <w:i/>
        </w:rPr>
        <w:t>has been found</w:t>
      </w:r>
      <w:proofErr w:type="gramEnd"/>
      <w:r w:rsidRPr="00920546">
        <w:rPr>
          <w:i/>
        </w:rPr>
        <w:t xml:space="preserve"> in other states.</w:t>
      </w:r>
    </w:p>
    <w:p w14:paraId="51BE04A4" w14:textId="77777777" w:rsidR="00920546" w:rsidRPr="00D755BF" w:rsidRDefault="00920546" w:rsidP="00920546">
      <w:pPr>
        <w:spacing w:before="240"/>
        <w:rPr>
          <w:rFonts w:eastAsiaTheme="majorEastAsia"/>
        </w:rPr>
      </w:pPr>
      <w:r>
        <w:t>The teacher effectiveness measures</w:t>
      </w:r>
      <w:r w:rsidRPr="00E63448">
        <w:t xml:space="preserve"> for most EPPs in Massachusetts are not statistically distinguishable from the average across </w:t>
      </w:r>
      <w:r>
        <w:t xml:space="preserve">Massachusetts </w:t>
      </w:r>
      <w:r w:rsidRPr="00E63448">
        <w:t>EPPs</w:t>
      </w:r>
      <w:r>
        <w:t xml:space="preserve">, a finding that is consistent with research in several other states. Although a few EPPs stand out at each extreme, </w:t>
      </w:r>
      <w:r>
        <w:rPr>
          <w:rFonts w:eastAsiaTheme="majorEastAsia"/>
        </w:rPr>
        <w:t xml:space="preserve">differences in average value added among the EPPs in </w:t>
      </w:r>
      <w:r w:rsidRPr="003E436A">
        <w:rPr>
          <w:rFonts w:eastAsiaTheme="majorEastAsia"/>
        </w:rPr>
        <w:t>the middle of the distribution</w:t>
      </w:r>
      <w:r>
        <w:rPr>
          <w:rFonts w:eastAsiaTheme="majorEastAsia"/>
        </w:rPr>
        <w:t xml:space="preserve"> </w:t>
      </w:r>
      <w:proofErr w:type="gramStart"/>
      <w:r>
        <w:rPr>
          <w:rFonts w:eastAsiaTheme="majorEastAsia"/>
        </w:rPr>
        <w:t>may be driven</w:t>
      </w:r>
      <w:proofErr w:type="gramEnd"/>
      <w:r>
        <w:rPr>
          <w:rFonts w:eastAsiaTheme="majorEastAsia"/>
        </w:rPr>
        <w:t xml:space="preserve"> by random year-to-year fluctuations in the performance of individual teachers or students. </w:t>
      </w:r>
      <w:r>
        <w:t>In the full report, we discuss alternative methods of estimating differences in EPP outcomes; some program estimates vary significantly across modeling choices. In particular, estimates for EPPs with low enrollment or geographically concentrated placements are especially sensitive to modeling choices.</w:t>
      </w:r>
    </w:p>
    <w:p w14:paraId="01C4DA27" w14:textId="77777777" w:rsidR="00920546" w:rsidRDefault="00920546" w:rsidP="00920546">
      <w:pPr>
        <w:spacing w:before="240" w:after="240"/>
      </w:pPr>
      <w:r>
        <w:rPr>
          <w:rFonts w:eastAsiaTheme="majorEastAsia"/>
        </w:rPr>
        <w:lastRenderedPageBreak/>
        <w:t xml:space="preserve">Despite the fact that most estimated EPP performance measures are statistically insignificant, there are educationally significant differences among programs. Researchers have estimated that typical annual learning gains in the grades we consider are about 0.40 standard deviations per year in math and about 0.30 standard deviations per year in ELA. Given those figures, the estimated achievement differences between the most effective EPPs and the state average correspond to about 5 to 20 weeks of student learning in math and about 9 to 36 weeks of learning in ELA. Overall, </w:t>
      </w:r>
      <w:r>
        <w:t>the variation</w:t>
      </w:r>
      <w:r w:rsidRPr="003E436A">
        <w:t xml:space="preserve"> in </w:t>
      </w:r>
      <w:r>
        <w:t xml:space="preserve">student achievement gains explained by individual EPPs </w:t>
      </w:r>
      <w:r w:rsidRPr="003E436A">
        <w:t xml:space="preserve">is on the higher end of what </w:t>
      </w:r>
      <w:proofErr w:type="gramStart"/>
      <w:r w:rsidRPr="003E436A">
        <w:t>has been observed</w:t>
      </w:r>
      <w:proofErr w:type="gramEnd"/>
      <w:r w:rsidRPr="003E436A">
        <w:t xml:space="preserve"> in other states.</w:t>
      </w:r>
      <w:r>
        <w:t xml:space="preserve"> The</w:t>
      </w:r>
      <w:r w:rsidRPr="003E436A">
        <w:t xml:space="preserve"> </w:t>
      </w:r>
      <w:r>
        <w:t xml:space="preserve">EPPs and individual programs jointly explain about 10 to 25% of the variation in teacher value added and about 2% of the variation in summative performance ratings. The institution and program a candidate attended predict future effectiveness about as well as other measures that </w:t>
      </w:r>
      <w:proofErr w:type="gramStart"/>
      <w:r>
        <w:t>can be collected</w:t>
      </w:r>
      <w:proofErr w:type="gramEnd"/>
      <w:r>
        <w:t xml:space="preserve"> during the teacher recruitment process (e.g., endorsements, educational attainment, test scores, and teacher screening tools).</w:t>
      </w:r>
    </w:p>
    <w:p w14:paraId="77F1C416" w14:textId="77777777" w:rsidR="00920546" w:rsidRPr="00920546" w:rsidRDefault="00920546" w:rsidP="00920546">
      <w:pPr>
        <w:pStyle w:val="Heading4"/>
        <w:rPr>
          <w:i/>
        </w:rPr>
      </w:pPr>
      <w:r w:rsidRPr="00920546">
        <w:rPr>
          <w:i/>
        </w:rPr>
        <w:t>Key Finding #5: Different programs within the same EPP vary substantially in teacher value added.</w:t>
      </w:r>
    </w:p>
    <w:p w14:paraId="10FC697F" w14:textId="77777777" w:rsidR="00920546" w:rsidRDefault="00920546" w:rsidP="00920546">
      <w:pPr>
        <w:spacing w:before="240" w:after="240"/>
      </w:pPr>
      <w:r>
        <w:t>The individual EPP estimates mask considerable diversity within institutions. In the prior section, we characterize the variation in teacher effectiveness across institutions in Massachusetts. We also conduct a similar analysis to compare average effectiveness for different programs in the same institution. For example, if an EPP prepares candidates in five different licensure areas or prepares candidates at both the graduate and undergraduate levels, we can estimate the average effectiveness measures for each of these groups separately. When we do so, we find that teacher outcomes vary as much from program to program as they do across institutions.</w:t>
      </w:r>
    </w:p>
    <w:p w14:paraId="3E67EE1A" w14:textId="77777777" w:rsidR="00920546" w:rsidRDefault="00920546" w:rsidP="00920546">
      <w:pPr>
        <w:spacing w:before="240" w:after="240"/>
      </w:pPr>
      <w:r>
        <w:t xml:space="preserve">This means that average teacher effectiveness is more variable among programs within an institution than across EPPs. </w:t>
      </w:r>
    </w:p>
    <w:p w14:paraId="3426216E" w14:textId="77777777" w:rsidR="00920546" w:rsidRPr="00FC628E" w:rsidRDefault="00920546" w:rsidP="00920546">
      <w:pPr>
        <w:spacing w:before="240" w:after="240"/>
      </w:pPr>
      <w:r>
        <w:t xml:space="preserve">When the program portion of the variance is large, as it is in Massachusetts, teachers tend to look more like other teachers from their program and less like teachers from other programs in their institution. The empirical importance of individual programs implies that recruitment, preparation, or placement factors that differ among programs within an institution are more consequential than those that </w:t>
      </w:r>
      <w:proofErr w:type="gramStart"/>
      <w:r>
        <w:t>are fixed</w:t>
      </w:r>
      <w:proofErr w:type="gramEnd"/>
      <w:r>
        <w:t xml:space="preserve"> for all programs. Program-specific policies may therefore be an important focal point for improving teacher preparation.</w:t>
      </w:r>
    </w:p>
    <w:p w14:paraId="35DD4577" w14:textId="77777777" w:rsidR="00920546" w:rsidRPr="00920546" w:rsidRDefault="00920546" w:rsidP="00920546">
      <w:pPr>
        <w:rPr>
          <w:b/>
          <w:i/>
        </w:rPr>
      </w:pPr>
      <w:bookmarkStart w:id="6" w:name="_Toc479877958"/>
      <w:r w:rsidRPr="00920546">
        <w:rPr>
          <w:b/>
          <w:i/>
        </w:rPr>
        <w:t>Implications</w:t>
      </w:r>
      <w:bookmarkEnd w:id="6"/>
    </w:p>
    <w:p w14:paraId="04BEAB2B" w14:textId="77777777" w:rsidR="00920546" w:rsidRDefault="00920546" w:rsidP="00920546">
      <w:pPr>
        <w:spacing w:before="240"/>
        <w:rPr>
          <w:rFonts w:eastAsiaTheme="majorEastAsia"/>
        </w:rPr>
      </w:pPr>
      <w:r>
        <w:rPr>
          <w:rFonts w:eastAsiaTheme="majorEastAsia"/>
        </w:rPr>
        <w:t xml:space="preserve">As noted above, these estimates </w:t>
      </w:r>
      <w:proofErr w:type="gramStart"/>
      <w:r>
        <w:rPr>
          <w:rFonts w:eastAsiaTheme="majorEastAsia"/>
        </w:rPr>
        <w:t>should be interpreted</w:t>
      </w:r>
      <w:proofErr w:type="gramEnd"/>
      <w:r>
        <w:rPr>
          <w:rFonts w:eastAsiaTheme="majorEastAsia"/>
        </w:rPr>
        <w:t xml:space="preserve"> as reflecting both the effects of teacher training and pre-existing teacher candidate characteristics, rather than </w:t>
      </w:r>
      <w:r w:rsidRPr="009B13B9">
        <w:rPr>
          <w:rFonts w:eastAsiaTheme="majorEastAsia"/>
        </w:rPr>
        <w:t>causal</w:t>
      </w:r>
      <w:r>
        <w:rPr>
          <w:rFonts w:eastAsiaTheme="majorEastAsia"/>
        </w:rPr>
        <w:t xml:space="preserve"> effects of teacher preparation. Nonetheless, t</w:t>
      </w:r>
      <w:r w:rsidRPr="003E436A">
        <w:rPr>
          <w:rFonts w:eastAsiaTheme="majorEastAsia"/>
        </w:rPr>
        <w:t xml:space="preserve">he </w:t>
      </w:r>
      <w:r>
        <w:rPr>
          <w:rFonts w:eastAsiaTheme="majorEastAsia"/>
        </w:rPr>
        <w:t>key findings</w:t>
      </w:r>
      <w:r w:rsidRPr="003E436A">
        <w:rPr>
          <w:rFonts w:eastAsiaTheme="majorEastAsia"/>
        </w:rPr>
        <w:t xml:space="preserve"> discussed above have a nu</w:t>
      </w:r>
      <w:r>
        <w:rPr>
          <w:rFonts w:eastAsiaTheme="majorEastAsia"/>
        </w:rPr>
        <w:t>mber of potential implications for policymaking in Massachusetts:</w:t>
      </w:r>
    </w:p>
    <w:p w14:paraId="21B9484C" w14:textId="77777777" w:rsidR="00920546" w:rsidRPr="00920546" w:rsidRDefault="00920546" w:rsidP="00920546">
      <w:pPr>
        <w:pStyle w:val="ListParagraph"/>
        <w:numPr>
          <w:ilvl w:val="0"/>
          <w:numId w:val="8"/>
        </w:numPr>
        <w:spacing w:before="240" w:after="0"/>
        <w:ind w:left="360"/>
        <w:rPr>
          <w:rFonts w:ascii="Times New Roman" w:hAnsi="Times New Roman" w:cs="Times New Roman"/>
        </w:rPr>
      </w:pPr>
      <w:r w:rsidRPr="00920546">
        <w:rPr>
          <w:rFonts w:ascii="Times New Roman" w:eastAsiaTheme="majorEastAsia" w:hAnsi="Times New Roman" w:cs="Times New Roman"/>
        </w:rPr>
        <w:t xml:space="preserve">The variability in teacher outcomes among providers in this study is toward the higher end of comparable analyses in other states, so provider accreditation and support may be a more promising policy lever in Massachusetts than elsewhere. </w:t>
      </w:r>
    </w:p>
    <w:p w14:paraId="5C173D83" w14:textId="77777777" w:rsidR="00920546" w:rsidRPr="00920546" w:rsidRDefault="00920546" w:rsidP="00920546">
      <w:pPr>
        <w:pStyle w:val="ListParagraph"/>
        <w:numPr>
          <w:ilvl w:val="0"/>
          <w:numId w:val="8"/>
        </w:numPr>
        <w:spacing w:before="240" w:after="0"/>
        <w:ind w:left="360"/>
        <w:rPr>
          <w:rFonts w:ascii="Times New Roman" w:hAnsi="Times New Roman" w:cs="Times New Roman"/>
        </w:rPr>
      </w:pPr>
      <w:r w:rsidRPr="00920546">
        <w:rPr>
          <w:rFonts w:ascii="Times New Roman" w:eastAsiaTheme="majorEastAsia" w:hAnsi="Times New Roman" w:cs="Times New Roman"/>
        </w:rPr>
        <w:lastRenderedPageBreak/>
        <w:t xml:space="preserve">Individual programs within EPPs vary substantially in the effectiveness of their graduates. Policymakers may therefore wish to consider the strength of both programs and EPPs when evaluating teacher preparation. Furthermore, to the extent that teacher effectiveness varies across programs within an institution, EPPs may benefit from careful study of the features that distinguish their more effective programs. </w:t>
      </w:r>
    </w:p>
    <w:p w14:paraId="029FA362" w14:textId="77777777" w:rsidR="00920546" w:rsidRPr="00920546" w:rsidRDefault="00920546" w:rsidP="00920546">
      <w:pPr>
        <w:pStyle w:val="ListParagraph"/>
        <w:numPr>
          <w:ilvl w:val="0"/>
          <w:numId w:val="8"/>
        </w:numPr>
        <w:spacing w:before="240" w:after="0"/>
        <w:ind w:left="360"/>
        <w:rPr>
          <w:rFonts w:ascii="Times New Roman" w:hAnsi="Times New Roman" w:cs="Times New Roman"/>
        </w:rPr>
      </w:pPr>
      <w:r w:rsidRPr="00920546">
        <w:rPr>
          <w:rFonts w:ascii="Times New Roman" w:eastAsiaTheme="majorEastAsia" w:hAnsi="Times New Roman" w:cs="Times New Roman"/>
        </w:rPr>
        <w:t xml:space="preserve">The providers and pathways that produce </w:t>
      </w:r>
      <w:proofErr w:type="gramStart"/>
      <w:r w:rsidRPr="00920546">
        <w:rPr>
          <w:rFonts w:ascii="Times New Roman" w:eastAsiaTheme="majorEastAsia" w:hAnsi="Times New Roman" w:cs="Times New Roman"/>
        </w:rPr>
        <w:t>more effective teachers</w:t>
      </w:r>
      <w:proofErr w:type="gramEnd"/>
      <w:r w:rsidRPr="00920546">
        <w:rPr>
          <w:rFonts w:ascii="Times New Roman" w:eastAsiaTheme="majorEastAsia" w:hAnsi="Times New Roman" w:cs="Times New Roman"/>
        </w:rPr>
        <w:t xml:space="preserve"> are not always those whose teachers remain in the profession the longest. In fact, the EPP teacher effectiveness measures are positively correlated with teacher attrition; in other words, the EPPs that graduate </w:t>
      </w:r>
      <w:proofErr w:type="gramStart"/>
      <w:r w:rsidRPr="00920546">
        <w:rPr>
          <w:rFonts w:ascii="Times New Roman" w:eastAsiaTheme="majorEastAsia" w:hAnsi="Times New Roman" w:cs="Times New Roman"/>
        </w:rPr>
        <w:t>more effective teachers</w:t>
      </w:r>
      <w:proofErr w:type="gramEnd"/>
      <w:r w:rsidRPr="00920546">
        <w:rPr>
          <w:rFonts w:ascii="Times New Roman" w:eastAsiaTheme="majorEastAsia" w:hAnsi="Times New Roman" w:cs="Times New Roman"/>
        </w:rPr>
        <w:t xml:space="preserve"> also tend to graduate teachers who are more likely to leave the workforce. Nonetheless, the available empirical evidence suggests that the impact of attrition on student outcomes is likely small relative to the direct effects on placing students with more effective teachers. Differences between programs and pathways in terms of teacher attrition are therefore likely less important to student outcomes than differences in their direct effects on student achievement.</w:t>
      </w:r>
    </w:p>
    <w:p w14:paraId="414BA372" w14:textId="77777777" w:rsidR="00920546" w:rsidRDefault="00920546" w:rsidP="00920546">
      <w:pPr>
        <w:spacing w:before="240"/>
        <w:rPr>
          <w:rFonts w:eastAsiaTheme="majorEastAsia"/>
        </w:rPr>
      </w:pPr>
      <w:r>
        <w:rPr>
          <w:rFonts w:eastAsiaTheme="majorEastAsia"/>
        </w:rPr>
        <w:t>The findings in this report provide a framework for considering the relationship between pre-service preparation experiences and teacher effectiveness. However, we only consider a narrow range of outcomes. When reviewing individual EPPs, i</w:t>
      </w:r>
      <w:r w:rsidRPr="000145D2">
        <w:rPr>
          <w:rFonts w:eastAsiaTheme="majorEastAsia"/>
        </w:rPr>
        <w:t xml:space="preserve">ncluding multiple indicators </w:t>
      </w:r>
      <w:r>
        <w:rPr>
          <w:rFonts w:eastAsiaTheme="majorEastAsia"/>
        </w:rPr>
        <w:t xml:space="preserve">of effectiveness </w:t>
      </w:r>
      <w:r w:rsidRPr="000145D2">
        <w:rPr>
          <w:rFonts w:eastAsiaTheme="majorEastAsia"/>
        </w:rPr>
        <w:t xml:space="preserve">may provide policymakers with more reliable </w:t>
      </w:r>
      <w:r>
        <w:rPr>
          <w:rFonts w:eastAsiaTheme="majorEastAsia"/>
        </w:rPr>
        <w:t xml:space="preserve">judgments about </w:t>
      </w:r>
      <w:r w:rsidRPr="000145D2">
        <w:rPr>
          <w:rFonts w:eastAsiaTheme="majorEastAsia"/>
        </w:rPr>
        <w:t>program effectiveness.</w:t>
      </w:r>
      <w:r w:rsidRPr="000145D2">
        <w:rPr>
          <w:rStyle w:val="FootnoteReference"/>
          <w:rFonts w:eastAsiaTheme="majorEastAsia"/>
        </w:rPr>
        <w:t xml:space="preserve"> </w:t>
      </w:r>
      <w:r>
        <w:rPr>
          <w:rFonts w:eastAsiaTheme="majorEastAsia"/>
        </w:rPr>
        <w:t>U</w:t>
      </w:r>
      <w:r w:rsidRPr="000145D2">
        <w:rPr>
          <w:rFonts w:eastAsiaTheme="majorEastAsia"/>
        </w:rPr>
        <w:t xml:space="preserve">sing a variety of </w:t>
      </w:r>
      <w:r>
        <w:rPr>
          <w:rFonts w:eastAsiaTheme="majorEastAsia"/>
        </w:rPr>
        <w:t>measures</w:t>
      </w:r>
      <w:r w:rsidRPr="000145D2">
        <w:rPr>
          <w:rFonts w:eastAsiaTheme="majorEastAsia"/>
        </w:rPr>
        <w:t xml:space="preserve"> also broadens the range of skills an evaluation system might consider. Emerging research on teacher effectiveness suggests that teaching is multidimensional and that important teaching skills </w:t>
      </w:r>
      <w:proofErr w:type="gramStart"/>
      <w:r w:rsidRPr="000145D2">
        <w:rPr>
          <w:rFonts w:eastAsiaTheme="majorEastAsia"/>
        </w:rPr>
        <w:t>are not fully captured</w:t>
      </w:r>
      <w:proofErr w:type="gramEnd"/>
      <w:r w:rsidRPr="000145D2">
        <w:rPr>
          <w:rFonts w:eastAsiaTheme="majorEastAsia"/>
        </w:rPr>
        <w:t xml:space="preserve"> either by test-based measures or by classroom observational tools.</w:t>
      </w:r>
    </w:p>
    <w:p w14:paraId="0DCA12C7" w14:textId="77777777" w:rsidR="00920546" w:rsidRDefault="00920546" w:rsidP="00920546">
      <w:pPr>
        <w:spacing w:before="240"/>
      </w:pPr>
    </w:p>
    <w:p w14:paraId="1C3F15EA" w14:textId="77777777" w:rsidR="00920546" w:rsidRDefault="00920546">
      <w:r>
        <w:br w:type="page"/>
      </w:r>
    </w:p>
    <w:p w14:paraId="3B387FA2" w14:textId="77777777" w:rsidR="002E7C0B" w:rsidRDefault="002E7C0B" w:rsidP="00920546">
      <w:pPr>
        <w:rPr>
          <w:b/>
        </w:rPr>
      </w:pPr>
      <w:r>
        <w:rPr>
          <w:noProof/>
          <w:lang w:eastAsia="zh-CN"/>
        </w:rPr>
        <w:lastRenderedPageBreak/>
        <w:drawing>
          <wp:inline distT="0" distB="0" distL="0" distR="0" wp14:anchorId="37430246" wp14:editId="2C9D6E9A">
            <wp:extent cx="1762125" cy="767592"/>
            <wp:effectExtent l="0" t="0" r="0" b="0"/>
            <wp:docPr id="8" name="Picture 8"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84752" cy="777449"/>
                    </a:xfrm>
                    <a:prstGeom prst="rect">
                      <a:avLst/>
                    </a:prstGeom>
                  </pic:spPr>
                </pic:pic>
              </a:graphicData>
            </a:graphic>
          </wp:inline>
        </w:drawing>
      </w:r>
    </w:p>
    <w:p w14:paraId="01854A97" w14:textId="77777777" w:rsidR="002E7C0B" w:rsidRDefault="002E7C0B" w:rsidP="00920546">
      <w:pPr>
        <w:rPr>
          <w:b/>
        </w:rPr>
      </w:pPr>
    </w:p>
    <w:p w14:paraId="718B2312" w14:textId="77777777" w:rsidR="00920546" w:rsidRPr="00920546" w:rsidRDefault="001D129F" w:rsidP="00920546">
      <w:pPr>
        <w:rPr>
          <w:b/>
        </w:rPr>
      </w:pPr>
      <w:r w:rsidRPr="00920546">
        <w:rPr>
          <w:b/>
        </w:rPr>
        <w:t>Massachusetts Teacher Preparation and Licensure: Performance Review Program for Initial Licensure Study</w:t>
      </w:r>
    </w:p>
    <w:p w14:paraId="01CD6DCB" w14:textId="77777777" w:rsidR="001D129F" w:rsidRPr="00920546" w:rsidRDefault="001D129F" w:rsidP="00297976">
      <w:pPr>
        <w:rPr>
          <w:b/>
        </w:rPr>
      </w:pPr>
      <w:r w:rsidRPr="00920546">
        <w:rPr>
          <w:b/>
        </w:rPr>
        <w:t>American Institutes for Research</w:t>
      </w:r>
    </w:p>
    <w:p w14:paraId="40F9B453" w14:textId="77777777" w:rsidR="00297976" w:rsidRDefault="00360679" w:rsidP="00297976">
      <w:pPr>
        <w:pStyle w:val="BodyText"/>
        <w:spacing w:before="0" w:after="0"/>
        <w:rPr>
          <w:rFonts w:ascii="Times New Roman" w:hAnsi="Times New Roman"/>
        </w:rPr>
      </w:pPr>
      <w:hyperlink r:id="rId22" w:history="1">
        <w:r w:rsidR="00297976" w:rsidRPr="00C959FD">
          <w:rPr>
            <w:rStyle w:val="Hyperlink"/>
            <w:rFonts w:ascii="Times New Roman" w:hAnsi="Times New Roman"/>
          </w:rPr>
          <w:t>http://www.doe.mass.edu/research/reports/2018/01prpil-analysis.docx</w:t>
        </w:r>
      </w:hyperlink>
    </w:p>
    <w:p w14:paraId="4687BB1B"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 xml:space="preserve">The </w:t>
      </w:r>
      <w:hyperlink r:id="rId23" w:history="1">
        <w:r w:rsidRPr="003E25BF">
          <w:rPr>
            <w:rStyle w:val="Hyperlink"/>
            <w:rFonts w:ascii="Times New Roman" w:eastAsiaTheme="majorEastAsia" w:hAnsi="Times New Roman"/>
          </w:rPr>
          <w:t>Performance Review Program for Initial Licensure (PRPIL)</w:t>
        </w:r>
      </w:hyperlink>
      <w:r w:rsidRPr="003E25BF">
        <w:rPr>
          <w:rFonts w:ascii="Times New Roman" w:eastAsiaTheme="majorEastAsia" w:hAnsi="Times New Roman"/>
        </w:rPr>
        <w:t xml:space="preserve"> is a pathway to initial licensure for Massachusetts teachers who did not complete an educator preparation program before entering the classroom. Created in 2003, PRPIL </w:t>
      </w:r>
      <w:proofErr w:type="gramStart"/>
      <w:r w:rsidRPr="003E25BF">
        <w:rPr>
          <w:rFonts w:ascii="Times New Roman" w:eastAsiaTheme="majorEastAsia" w:hAnsi="Times New Roman"/>
        </w:rPr>
        <w:t>was intended</w:t>
      </w:r>
      <w:proofErr w:type="gramEnd"/>
      <w:r w:rsidRPr="003E25BF">
        <w:rPr>
          <w:rFonts w:ascii="Times New Roman" w:eastAsiaTheme="majorEastAsia" w:hAnsi="Times New Roman"/>
        </w:rPr>
        <w:t xml:space="preserve"> to open teacher licensure opportunities for mid-career individuals with prior work experience or content expertise by allowing them to demonstrate that they offer the same teaching competencies as other pre-professional license teachers without completing a preparation program. </w:t>
      </w:r>
    </w:p>
    <w:p w14:paraId="6021DB51"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Most teachers in Massachusetts begin their teaching careers with an initial license: the license offered to candidates who complete a teacher preparation program at an approved institution of higher education (IHE) or alternative program and which is valid for five years. However, about 22 percent of teachers in Massachusetts began teaching on a preliminary</w:t>
      </w:r>
      <w:r w:rsidRPr="003E25BF">
        <w:rPr>
          <w:rStyle w:val="FootnoteReference"/>
          <w:rFonts w:ascii="Times New Roman" w:eastAsiaTheme="majorEastAsia" w:hAnsi="Times New Roman"/>
        </w:rPr>
        <w:footnoteReference w:id="3"/>
      </w:r>
      <w:r w:rsidRPr="003E25BF">
        <w:rPr>
          <w:rFonts w:ascii="Times New Roman" w:eastAsiaTheme="majorEastAsia" w:hAnsi="Times New Roman"/>
        </w:rPr>
        <w:t xml:space="preserve"> license, offered to candidates who pass the state’s Massachusetts Tests for Educator Licensure (MTEL) and meet other eligibility criteria, but have not completed a preparation program. The preliminary license is only valid for five years, so in order to continue teaching in Massachusetts public schools, teachers on preliminary licenses must have their license “advanced” to an initial license. Most do so by completing an educator preparation program through an IHE, but teachers can also earn their initial teaching license through PRPIL or by completing an approved educator preparation program through an alternative provider outside an IHE. </w:t>
      </w:r>
    </w:p>
    <w:p w14:paraId="06B7E17C"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At the time of the data on which this report is based, PRPIL was only available as a route to licensure for educators teaching in districts that did not offer their own approved preparation programs, and only for teachers in certain subjects and grades.</w:t>
      </w:r>
      <w:r w:rsidRPr="003E25BF">
        <w:rPr>
          <w:rStyle w:val="FootnoteReference"/>
          <w:rFonts w:ascii="Times New Roman" w:eastAsiaTheme="majorEastAsia" w:hAnsi="Times New Roman"/>
        </w:rPr>
        <w:footnoteReference w:id="4"/>
      </w:r>
      <w:r w:rsidRPr="003E25BF">
        <w:rPr>
          <w:rFonts w:ascii="Times New Roman" w:eastAsiaTheme="majorEastAsia" w:hAnsi="Times New Roman"/>
        </w:rPr>
        <w:t xml:space="preserve"> PRPIL requires teachers to document courses and experiences relevant to the Professional Standards for Teachers and complete the Massachusetts Candidate Assessment for Performance (CAP). Unlike other routes to initial licensure, teachers must have worked for three years in their licensure area under a preliminary license before they advance their license through PRPIL. As part of this route, teachers work with a mentor and instructional consultant to demonstrate their qualifications for an initial license. Following satisfactory completion of these requirements, a teacher candidate </w:t>
      </w:r>
      <w:proofErr w:type="gramStart"/>
      <w:r w:rsidRPr="003E25BF">
        <w:rPr>
          <w:rFonts w:ascii="Times New Roman" w:eastAsiaTheme="majorEastAsia" w:hAnsi="Times New Roman"/>
        </w:rPr>
        <w:t>is recommended</w:t>
      </w:r>
      <w:proofErr w:type="gramEnd"/>
      <w:r w:rsidRPr="003E25BF">
        <w:rPr>
          <w:rFonts w:ascii="Times New Roman" w:eastAsiaTheme="majorEastAsia" w:hAnsi="Times New Roman"/>
        </w:rPr>
        <w:t xml:space="preserve"> for initial licensure. PRPIL costs less than most other initial licensure programs, at $2,500 plus any expenses for additional coursework, as needed. </w:t>
      </w:r>
    </w:p>
    <w:p w14:paraId="7E2C940F"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lastRenderedPageBreak/>
        <w:t>In this study, we examine the credentials of teachers that receive their initial licenses through PRPIL and the characteristics of the districts and schools in which they serve. We also study their effectiveness using student achievement data and teacher evaluation ratings and estimate the costs to teachers of employing this route to initial licensure versus other alternative options. In each case, we compare outcomes and experiences of teachers who have advanced to an initial license through PRPIL to other teachers who have earned an initial license through one of Massachusetts’ other pathways.</w:t>
      </w:r>
    </w:p>
    <w:p w14:paraId="0F38FD5C" w14:textId="77777777" w:rsidR="003E25BF" w:rsidRPr="003E25BF" w:rsidRDefault="003E25BF" w:rsidP="003E25BF">
      <w:pPr>
        <w:pStyle w:val="Heading3NoTOC"/>
        <w:rPr>
          <w:rFonts w:ascii="Times New Roman" w:eastAsiaTheme="majorEastAsia" w:hAnsi="Times New Roman"/>
          <w:sz w:val="24"/>
          <w:szCs w:val="24"/>
        </w:rPr>
      </w:pPr>
      <w:r w:rsidRPr="003E25BF">
        <w:rPr>
          <w:rFonts w:ascii="Times New Roman" w:eastAsiaTheme="majorEastAsia" w:hAnsi="Times New Roman"/>
          <w:sz w:val="24"/>
          <w:szCs w:val="24"/>
        </w:rPr>
        <w:t>Key Finding 1: PRPIL is the most commonly used non-traditional route to initial licensure in Massachusetts.</w:t>
      </w:r>
    </w:p>
    <w:p w14:paraId="185C7A48"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Teachers on preliminary licenses have three options for advancing to an initial license: a traditional educator preparation program based at an institute of higher education, an alternative educator preparation program (usually based in a district or consortium of districts), or PRPIL. In any given year, PRPIL accounts for 5 to 8% of the program completions leading to an initial license.</w:t>
      </w:r>
    </w:p>
    <w:p w14:paraId="2ECBD70D"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We refer to alternative programs and PRPIL together as “non-traditional routes to initial licensure.” Figure ES.1 shows the number of individuals using the PRPIL and other alternative routes between 2010 and 2015. The number of teachers who advance their license from preliminary to initial through PRPIL is about equal to the total number of teachers who complete all alternative programs combined. However, in each year, the number of completers from traditional programs (which include some teachers who have preliminary licenses) is several times larger than the number from alternative pathways.</w:t>
      </w:r>
    </w:p>
    <w:p w14:paraId="5D05DEB8" w14:textId="77777777" w:rsidR="003E25BF" w:rsidRPr="003E25BF" w:rsidRDefault="003E25BF" w:rsidP="003E25BF">
      <w:pPr>
        <w:pStyle w:val="FigureTitle"/>
        <w:rPr>
          <w:rFonts w:ascii="Times New Roman" w:eastAsiaTheme="majorEastAsia" w:hAnsi="Times New Roman"/>
          <w:sz w:val="24"/>
        </w:rPr>
      </w:pPr>
      <w:r w:rsidRPr="003E25BF">
        <w:rPr>
          <w:rFonts w:ascii="Times New Roman" w:eastAsiaTheme="majorEastAsia" w:hAnsi="Times New Roman"/>
          <w:sz w:val="24"/>
        </w:rPr>
        <w:t>Figure ES.1. PRPIL and Alternative Program Completers by Year</w:t>
      </w:r>
    </w:p>
    <w:p w14:paraId="453E203F" w14:textId="77777777" w:rsidR="003E25BF" w:rsidRPr="003E25BF" w:rsidRDefault="003E25BF" w:rsidP="003E25BF">
      <w:pPr>
        <w:pStyle w:val="BodyText"/>
        <w:jc w:val="center"/>
        <w:rPr>
          <w:rFonts w:ascii="Times New Roman" w:eastAsiaTheme="majorEastAsia" w:hAnsi="Times New Roman"/>
        </w:rPr>
      </w:pPr>
      <w:r w:rsidRPr="003E25BF">
        <w:rPr>
          <w:rFonts w:ascii="Times New Roman" w:eastAsiaTheme="majorEastAsia" w:hAnsi="Times New Roman"/>
          <w:noProof/>
          <w:lang w:eastAsia="zh-CN"/>
        </w:rPr>
        <w:drawing>
          <wp:inline distT="0" distB="0" distL="0" distR="0" wp14:anchorId="4B7E04BB" wp14:editId="27D4E810">
            <wp:extent cx="4636007" cy="3371642"/>
            <wp:effectExtent l="0" t="0" r="0" b="635"/>
            <wp:docPr id="15" name="Picture 15" descr="PRPIL and alternative program completers by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leters.png"/>
                    <pic:cNvPicPr/>
                  </pic:nvPicPr>
                  <pic:blipFill>
                    <a:blip r:embed="rId24">
                      <a:extLst>
                        <a:ext uri="{28A0092B-C50C-407E-A947-70E740481C1C}">
                          <a14:useLocalDpi xmlns:a14="http://schemas.microsoft.com/office/drawing/2010/main" val="0"/>
                        </a:ext>
                      </a:extLst>
                    </a:blip>
                    <a:stretch>
                      <a:fillRect/>
                    </a:stretch>
                  </pic:blipFill>
                  <pic:spPr>
                    <a:xfrm>
                      <a:off x="0" y="0"/>
                      <a:ext cx="4636007" cy="3371642"/>
                    </a:xfrm>
                    <a:prstGeom prst="rect">
                      <a:avLst/>
                    </a:prstGeom>
                  </pic:spPr>
                </pic:pic>
              </a:graphicData>
            </a:graphic>
          </wp:inline>
        </w:drawing>
      </w:r>
    </w:p>
    <w:p w14:paraId="7B67DDD6" w14:textId="77777777" w:rsidR="003E25BF" w:rsidRPr="003E25BF" w:rsidRDefault="003E25BF" w:rsidP="003E25BF">
      <w:pPr>
        <w:pStyle w:val="Heading3NoTOC"/>
        <w:rPr>
          <w:rFonts w:ascii="Times New Roman" w:eastAsiaTheme="majorEastAsia" w:hAnsi="Times New Roman"/>
          <w:sz w:val="24"/>
          <w:szCs w:val="24"/>
        </w:rPr>
      </w:pPr>
      <w:r w:rsidRPr="003E25BF">
        <w:rPr>
          <w:rFonts w:ascii="Times New Roman" w:eastAsiaTheme="majorEastAsia" w:hAnsi="Times New Roman"/>
          <w:sz w:val="24"/>
          <w:szCs w:val="24"/>
        </w:rPr>
        <w:lastRenderedPageBreak/>
        <w:t>Key Finding 2: PRPIL teachers lead about 5 percent of high school classes in foreign languages, mathematics, and science.</w:t>
      </w:r>
    </w:p>
    <w:p w14:paraId="5AB6497C"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Despite the fact that PRPIL teachers comprise only 2 percent of the teacher workforce, they are disproportionately likely to teach high school courses in high demand areas such as foreign languages, mathematics, and science. These fields are consistently on Massachusetts’ annual lists of shortage areas (</w:t>
      </w:r>
      <w:proofErr w:type="gramStart"/>
      <w:r w:rsidRPr="003E25BF">
        <w:rPr>
          <w:rFonts w:ascii="Times New Roman" w:eastAsiaTheme="majorEastAsia" w:hAnsi="Times New Roman"/>
        </w:rPr>
        <w:t>Cross</w:t>
      </w:r>
      <w:proofErr w:type="gramEnd"/>
      <w:r w:rsidRPr="003E25BF">
        <w:rPr>
          <w:rFonts w:ascii="Times New Roman" w:eastAsiaTheme="majorEastAsia" w:hAnsi="Times New Roman"/>
        </w:rPr>
        <w:t xml:space="preserve">, 2016). As shown in Figure ES.2, PRPIL teachers are responsible for 5.5 percent of all high school foreign language classes, 4.8 percent of all high school math classes, and 5.0 percent of high school science classes. </w:t>
      </w:r>
    </w:p>
    <w:p w14:paraId="1E2E05DF" w14:textId="77777777" w:rsidR="003E25BF" w:rsidRPr="003E25BF" w:rsidRDefault="003E25BF" w:rsidP="003E25BF">
      <w:pPr>
        <w:pStyle w:val="FigureTitle"/>
        <w:rPr>
          <w:rFonts w:ascii="Times New Roman" w:eastAsiaTheme="majorEastAsia" w:hAnsi="Times New Roman"/>
          <w:sz w:val="24"/>
        </w:rPr>
      </w:pPr>
      <w:r w:rsidRPr="003E25BF">
        <w:rPr>
          <w:rFonts w:ascii="Times New Roman" w:eastAsiaTheme="majorEastAsia" w:hAnsi="Times New Roman"/>
          <w:sz w:val="24"/>
        </w:rPr>
        <w:t>Figure ES.2. Percentage of High School Classes Taught by PRPIL and Other Preliminary Teachers</w:t>
      </w:r>
    </w:p>
    <w:p w14:paraId="66A3FE19" w14:textId="77777777" w:rsidR="003E25BF" w:rsidRPr="003E25BF" w:rsidRDefault="003E25BF" w:rsidP="003E25BF">
      <w:pPr>
        <w:pStyle w:val="FigurePlacement"/>
        <w:rPr>
          <w:rFonts w:ascii="Times New Roman" w:eastAsiaTheme="majorEastAsia" w:hAnsi="Times New Roman"/>
          <w:sz w:val="24"/>
        </w:rPr>
      </w:pPr>
      <w:r w:rsidRPr="003E25BF">
        <w:rPr>
          <w:rFonts w:ascii="Times New Roman" w:eastAsiaTheme="majorEastAsia" w:hAnsi="Times New Roman"/>
          <w:noProof/>
          <w:sz w:val="24"/>
          <w:lang w:eastAsia="zh-CN"/>
        </w:rPr>
        <w:drawing>
          <wp:inline distT="0" distB="0" distL="0" distR="0" wp14:anchorId="5502A49A" wp14:editId="2CE006C3">
            <wp:extent cx="5943361" cy="4322444"/>
            <wp:effectExtent l="0" t="0" r="635" b="2540"/>
            <wp:docPr id="6" name="Picture 6" descr="percentage of high school classes taught by PRPIL and other preliminary teachers. Shows all classes, foreign language, math,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censes.png"/>
                    <pic:cNvPicPr/>
                  </pic:nvPicPr>
                  <pic:blipFill>
                    <a:blip r:embed="rId25">
                      <a:extLst>
                        <a:ext uri="{28A0092B-C50C-407E-A947-70E740481C1C}">
                          <a14:useLocalDpi xmlns:a14="http://schemas.microsoft.com/office/drawing/2010/main" val="0"/>
                        </a:ext>
                      </a:extLst>
                    </a:blip>
                    <a:stretch>
                      <a:fillRect/>
                    </a:stretch>
                  </pic:blipFill>
                  <pic:spPr>
                    <a:xfrm>
                      <a:off x="0" y="0"/>
                      <a:ext cx="5943361" cy="4322444"/>
                    </a:xfrm>
                    <a:prstGeom prst="rect">
                      <a:avLst/>
                    </a:prstGeom>
                  </pic:spPr>
                </pic:pic>
              </a:graphicData>
            </a:graphic>
          </wp:inline>
        </w:drawing>
      </w:r>
    </w:p>
    <w:p w14:paraId="3C57E6DD" w14:textId="77777777" w:rsidR="003E25BF" w:rsidRPr="003E25BF" w:rsidRDefault="003E25BF" w:rsidP="003E25BF">
      <w:pPr>
        <w:pStyle w:val="TableNote"/>
        <w:rPr>
          <w:rFonts w:ascii="Times New Roman" w:eastAsiaTheme="majorEastAsia" w:hAnsi="Times New Roman"/>
          <w:sz w:val="24"/>
          <w:szCs w:val="24"/>
        </w:rPr>
      </w:pPr>
      <w:r w:rsidRPr="003E25BF">
        <w:rPr>
          <w:rFonts w:ascii="Times New Roman" w:eastAsiaTheme="majorEastAsia" w:hAnsi="Times New Roman"/>
          <w:i/>
          <w:sz w:val="24"/>
          <w:szCs w:val="24"/>
        </w:rPr>
        <w:t>Notes:</w:t>
      </w:r>
      <w:r w:rsidRPr="003E25BF">
        <w:rPr>
          <w:rFonts w:ascii="Times New Roman" w:eastAsiaTheme="majorEastAsia" w:hAnsi="Times New Roman"/>
          <w:sz w:val="24"/>
          <w:szCs w:val="24"/>
        </w:rPr>
        <w:t xml:space="preserve"> Percentage of high school level classrooms in each subject taught by teachers who have advanced their license through PRPIL and all teachers who have advanced from preliminary to initial licenses. </w:t>
      </w:r>
    </w:p>
    <w:p w14:paraId="134087B3"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 xml:space="preserve">The disproportionate representation of PRPIL teachers in these courses partially reflects the fact that teachers that begin teaching with preliminary licenses are more likely to advance shortage </w:t>
      </w:r>
      <w:r w:rsidRPr="003E25BF">
        <w:rPr>
          <w:rFonts w:ascii="Times New Roman" w:eastAsiaTheme="majorEastAsia" w:hAnsi="Times New Roman"/>
        </w:rPr>
        <w:lastRenderedPageBreak/>
        <w:t>area licenses in general.</w:t>
      </w:r>
      <w:r w:rsidRPr="003E25BF">
        <w:rPr>
          <w:rStyle w:val="FootnoteReference"/>
          <w:rFonts w:ascii="Times New Roman" w:eastAsiaTheme="majorEastAsia" w:hAnsi="Times New Roman"/>
        </w:rPr>
        <w:footnoteReference w:id="5"/>
      </w:r>
      <w:r w:rsidRPr="003E25BF">
        <w:rPr>
          <w:rFonts w:ascii="Times New Roman" w:eastAsiaTheme="majorEastAsia" w:hAnsi="Times New Roman"/>
        </w:rPr>
        <w:t xml:space="preserve"> Figure ES.2 also shows that teachers who have advanced from preliminary to initial licenses (through any route) teach about 20 percent of these classes at the high school level. Relative to their overall representation in the profession, the assignment patterns of PRPIL teachers are more similar to other teachers with preliminary licenses than to teachers who enter the profession with an initial license. As we show in the full report, PRPIL teachers are somewhat more likely to advance foreign language licenses and about equally </w:t>
      </w:r>
      <w:proofErr w:type="gramStart"/>
      <w:r w:rsidRPr="003E25BF">
        <w:rPr>
          <w:rFonts w:ascii="Times New Roman" w:eastAsiaTheme="majorEastAsia" w:hAnsi="Times New Roman"/>
        </w:rPr>
        <w:t>likely</w:t>
      </w:r>
      <w:proofErr w:type="gramEnd"/>
      <w:r w:rsidRPr="003E25BF">
        <w:rPr>
          <w:rFonts w:ascii="Times New Roman" w:eastAsiaTheme="majorEastAsia" w:hAnsi="Times New Roman"/>
        </w:rPr>
        <w:t xml:space="preserve"> to advance math and science licenses as teachers who advance preliminary licenses and work in the same schools.  </w:t>
      </w:r>
    </w:p>
    <w:p w14:paraId="542A2BB4" w14:textId="77777777" w:rsidR="003E25BF" w:rsidRPr="003E25BF" w:rsidRDefault="003E25BF" w:rsidP="003E25BF">
      <w:pPr>
        <w:pStyle w:val="Heading3NoTOC"/>
        <w:rPr>
          <w:rFonts w:ascii="Times New Roman" w:eastAsiaTheme="majorEastAsia" w:hAnsi="Times New Roman"/>
          <w:sz w:val="24"/>
          <w:szCs w:val="24"/>
        </w:rPr>
      </w:pPr>
      <w:r w:rsidRPr="003E25BF">
        <w:rPr>
          <w:rFonts w:ascii="Times New Roman" w:eastAsiaTheme="majorEastAsia" w:hAnsi="Times New Roman"/>
          <w:sz w:val="24"/>
          <w:szCs w:val="24"/>
        </w:rPr>
        <w:t xml:space="preserve">Key Finding 3: PRPIL teachers serve higher achieving, higher income students and work in higher performing districts and schools. </w:t>
      </w:r>
    </w:p>
    <w:p w14:paraId="70DB6E7B"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 xml:space="preserve">PRPIL teachers work in significantly different classroom settings than other teachers in Massachusetts. In classrooms taught by teachers who have advanced their license through PRPIL, about 30 percent of students are economically disadvantaged (Figure ES.3). For other teachers who have advanced their preliminary licenses to an initial licensure, about 40 percent of students – or about </w:t>
      </w:r>
      <w:proofErr w:type="gramStart"/>
      <w:r w:rsidRPr="003E25BF">
        <w:rPr>
          <w:rFonts w:ascii="Times New Roman" w:eastAsiaTheme="majorEastAsia" w:hAnsi="Times New Roman"/>
        </w:rPr>
        <w:t>one third</w:t>
      </w:r>
      <w:proofErr w:type="gramEnd"/>
      <w:r w:rsidRPr="003E25BF">
        <w:rPr>
          <w:rFonts w:ascii="Times New Roman" w:eastAsiaTheme="majorEastAsia" w:hAnsi="Times New Roman"/>
        </w:rPr>
        <w:t xml:space="preserve"> more – are economically disadvantaged. However, much of this difference is explained by the sorting of PRPIL teachers across school districts. Comparing PRPIL teachers to non-PRPIL teachers who work in the same school district, the gap in economic disadvantage is only about one quarter as large. </w:t>
      </w:r>
    </w:p>
    <w:p w14:paraId="2D2A5993" w14:textId="77777777" w:rsidR="003E25BF" w:rsidRPr="003E25BF" w:rsidRDefault="003E25BF" w:rsidP="003E25BF">
      <w:pPr>
        <w:pStyle w:val="FigureTitle"/>
        <w:rPr>
          <w:rFonts w:ascii="Times New Roman" w:eastAsiaTheme="majorEastAsia" w:hAnsi="Times New Roman"/>
          <w:sz w:val="24"/>
        </w:rPr>
      </w:pPr>
      <w:r w:rsidRPr="003E25BF">
        <w:rPr>
          <w:rFonts w:ascii="Times New Roman" w:eastAsiaTheme="majorEastAsia" w:hAnsi="Times New Roman"/>
          <w:sz w:val="24"/>
        </w:rPr>
        <w:t>Figure ES.3. Average Classroom Economic Disadvantage by PRPIL Status</w:t>
      </w:r>
    </w:p>
    <w:p w14:paraId="4CBB1DAA" w14:textId="77777777" w:rsidR="003E25BF" w:rsidRPr="003E25BF" w:rsidRDefault="003E25BF" w:rsidP="003E25BF">
      <w:pPr>
        <w:pStyle w:val="FigurePlacement"/>
        <w:jc w:val="center"/>
        <w:rPr>
          <w:rFonts w:ascii="Times New Roman" w:eastAsiaTheme="majorEastAsia" w:hAnsi="Times New Roman"/>
          <w:sz w:val="24"/>
        </w:rPr>
      </w:pPr>
      <w:r w:rsidRPr="003E25BF">
        <w:rPr>
          <w:rFonts w:ascii="Times New Roman" w:eastAsiaTheme="majorEastAsia" w:hAnsi="Times New Roman"/>
          <w:noProof/>
          <w:sz w:val="24"/>
          <w:lang w:eastAsia="zh-CN"/>
        </w:rPr>
        <w:drawing>
          <wp:inline distT="0" distB="0" distL="0" distR="0" wp14:anchorId="5A7B8E77" wp14:editId="4E25A03A">
            <wp:extent cx="4462272" cy="3245288"/>
            <wp:effectExtent l="0" t="0" r="0" b="0"/>
            <wp:docPr id="16" name="Picture 16" descr="Average classroom economic disadvantage by PRPIL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_dis.png"/>
                    <pic:cNvPicPr/>
                  </pic:nvPicPr>
                  <pic:blipFill>
                    <a:blip r:embed="rId26">
                      <a:extLst>
                        <a:ext uri="{28A0092B-C50C-407E-A947-70E740481C1C}">
                          <a14:useLocalDpi xmlns:a14="http://schemas.microsoft.com/office/drawing/2010/main" val="0"/>
                        </a:ext>
                      </a:extLst>
                    </a:blip>
                    <a:stretch>
                      <a:fillRect/>
                    </a:stretch>
                  </pic:blipFill>
                  <pic:spPr>
                    <a:xfrm>
                      <a:off x="0" y="0"/>
                      <a:ext cx="4462272" cy="3245288"/>
                    </a:xfrm>
                    <a:prstGeom prst="rect">
                      <a:avLst/>
                    </a:prstGeom>
                  </pic:spPr>
                </pic:pic>
              </a:graphicData>
            </a:graphic>
          </wp:inline>
        </w:drawing>
      </w:r>
    </w:p>
    <w:p w14:paraId="416DE49D" w14:textId="77777777" w:rsidR="003E25BF" w:rsidRPr="003E25BF" w:rsidRDefault="003E25BF" w:rsidP="003E25BF">
      <w:pPr>
        <w:pStyle w:val="TableNote"/>
        <w:rPr>
          <w:rFonts w:ascii="Times New Roman" w:eastAsiaTheme="majorEastAsia" w:hAnsi="Times New Roman"/>
          <w:sz w:val="24"/>
          <w:szCs w:val="24"/>
        </w:rPr>
      </w:pPr>
      <w:r w:rsidRPr="003E25BF">
        <w:rPr>
          <w:rFonts w:ascii="Times New Roman" w:eastAsiaTheme="majorEastAsia" w:hAnsi="Times New Roman"/>
          <w:i/>
          <w:sz w:val="24"/>
          <w:szCs w:val="24"/>
        </w:rPr>
        <w:lastRenderedPageBreak/>
        <w:t>Notes:</w:t>
      </w:r>
      <w:r w:rsidRPr="003E25BF">
        <w:rPr>
          <w:rFonts w:ascii="Times New Roman" w:eastAsiaTheme="majorEastAsia" w:hAnsi="Times New Roman"/>
          <w:sz w:val="24"/>
          <w:szCs w:val="24"/>
        </w:rPr>
        <w:t xml:space="preserve"> Student economic disadvantage by PRPIL status. PRPIL teachers are those who have advanced their license via the PRPIL pathway. Non-PRPIL teachers include all those who have advanced a preliminary license to an initial licensure through some other pathway.</w:t>
      </w:r>
    </w:p>
    <w:p w14:paraId="2FE83D6B"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Students of PRPIL teachers also have higher prior scores on standardized tests. Again, most of the variation in the classroom composition between PRPIL and non-PRPIL teachers can be explained by the districts in which they teach, although they are also more likely to teach subjects, such as foreign languages, where average student achievement is higher.</w:t>
      </w:r>
    </w:p>
    <w:p w14:paraId="7B88F84D" w14:textId="77777777" w:rsidR="003E25BF" w:rsidRPr="003E25BF" w:rsidRDefault="003E25BF" w:rsidP="003E25BF">
      <w:pPr>
        <w:pStyle w:val="Heading3NoTOC"/>
        <w:rPr>
          <w:rFonts w:ascii="Times New Roman" w:eastAsiaTheme="majorEastAsia" w:hAnsi="Times New Roman"/>
          <w:sz w:val="24"/>
          <w:szCs w:val="24"/>
        </w:rPr>
      </w:pPr>
      <w:r w:rsidRPr="003E25BF">
        <w:rPr>
          <w:rFonts w:ascii="Times New Roman" w:eastAsiaTheme="majorEastAsia" w:hAnsi="Times New Roman"/>
          <w:sz w:val="24"/>
          <w:szCs w:val="24"/>
        </w:rPr>
        <w:t>Key Finding 4: PRPIL teachers earn similar performance ratings as other teachers with initial or professional licenses.</w:t>
      </w:r>
    </w:p>
    <w:p w14:paraId="50AA9849"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 xml:space="preserve">We use teacher performance on the Massachusetts educator evaluation framework to compare the effectiveness of PRPIL teachers to other teachers. Because all teachers in Massachusetts </w:t>
      </w:r>
      <w:proofErr w:type="gramStart"/>
      <w:r w:rsidRPr="003E25BF">
        <w:rPr>
          <w:rFonts w:ascii="Times New Roman" w:eastAsiaTheme="majorEastAsia" w:hAnsi="Times New Roman"/>
        </w:rPr>
        <w:t>are evaluated</w:t>
      </w:r>
      <w:proofErr w:type="gramEnd"/>
      <w:r w:rsidRPr="003E25BF">
        <w:rPr>
          <w:rFonts w:ascii="Times New Roman" w:eastAsiaTheme="majorEastAsia" w:hAnsi="Times New Roman"/>
        </w:rPr>
        <w:t>, these performance measures are available for a much wider set of teachers than achievement based measures (such as teacher value-added) that are commonly used in studies of teacher credentials.</w:t>
      </w:r>
      <w:r w:rsidRPr="003E25BF">
        <w:rPr>
          <w:rStyle w:val="FootnoteReference"/>
          <w:rFonts w:ascii="Times New Roman" w:eastAsiaTheme="majorEastAsia" w:hAnsi="Times New Roman"/>
        </w:rPr>
        <w:footnoteReference w:id="6"/>
      </w:r>
      <w:r w:rsidRPr="003E25BF">
        <w:rPr>
          <w:rFonts w:ascii="Times New Roman" w:eastAsiaTheme="majorEastAsia" w:hAnsi="Times New Roman"/>
        </w:rPr>
        <w:t xml:space="preserve"> Teachers who </w:t>
      </w:r>
      <w:proofErr w:type="gramStart"/>
      <w:r w:rsidRPr="003E25BF">
        <w:rPr>
          <w:rFonts w:ascii="Times New Roman" w:eastAsiaTheme="majorEastAsia" w:hAnsi="Times New Roman"/>
        </w:rPr>
        <w:t>were advanced</w:t>
      </w:r>
      <w:proofErr w:type="gramEnd"/>
      <w:r w:rsidRPr="003E25BF">
        <w:rPr>
          <w:rFonts w:ascii="Times New Roman" w:eastAsiaTheme="majorEastAsia" w:hAnsi="Times New Roman"/>
        </w:rPr>
        <w:t xml:space="preserve"> to initial by PRPIL perform similarly on their performance evaluations as teachers who have earned an initial license either by completing a traditional educator preparation program or through some other alternative pathway. Their performance is also quite close to other teachers who have advanced a preliminary license.</w:t>
      </w:r>
    </w:p>
    <w:p w14:paraId="29D06183" w14:textId="77777777" w:rsidR="003E25BF" w:rsidRPr="003E25BF" w:rsidRDefault="003E25BF" w:rsidP="003E25BF">
      <w:pPr>
        <w:pStyle w:val="Heading3NoTOC"/>
        <w:rPr>
          <w:rFonts w:ascii="Times New Roman" w:eastAsiaTheme="majorEastAsia" w:hAnsi="Times New Roman"/>
          <w:sz w:val="24"/>
          <w:szCs w:val="24"/>
        </w:rPr>
      </w:pPr>
      <w:r w:rsidRPr="003E25BF">
        <w:rPr>
          <w:rFonts w:ascii="Times New Roman" w:eastAsiaTheme="majorEastAsia" w:hAnsi="Times New Roman"/>
          <w:sz w:val="24"/>
          <w:szCs w:val="24"/>
        </w:rPr>
        <w:t>Key Finding 5: In the short run, the PRPIL pathway is significantly less expensive than other methods of obtaining initial licensure.</w:t>
      </w:r>
    </w:p>
    <w:p w14:paraId="3A399D9B"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 xml:space="preserve">Because it is not a formal educator preparation program, the PRPIL pathway has the lowest tuition of any method of advancing to initial licensure in Massachusetts. This makes it less costly to teachers than other alternative programs where teachers also work in public schools while meeting the requirements for initial licensure. The costs of traditional programs – where candidates may study fulltime – may be substantially higher if candidates do not work while they prepare for licensure. Because teachers progressing through the PRPIL pathway work fulltime while completing their licensure requirements, they do not forego earnings while they study. This makes PRPIL less costly in the short run than fulltime post-baccalaureate programs, although completing these programs leads </w:t>
      </w:r>
      <w:proofErr w:type="gramStart"/>
      <w:r w:rsidRPr="003E25BF">
        <w:rPr>
          <w:rFonts w:ascii="Times New Roman" w:eastAsiaTheme="majorEastAsia" w:hAnsi="Times New Roman"/>
        </w:rPr>
        <w:t>to higher pay</w:t>
      </w:r>
      <w:proofErr w:type="gramEnd"/>
      <w:r w:rsidRPr="003E25BF">
        <w:rPr>
          <w:rFonts w:ascii="Times New Roman" w:eastAsiaTheme="majorEastAsia" w:hAnsi="Times New Roman"/>
        </w:rPr>
        <w:t xml:space="preserve"> over time because districts pay higher salaries to teachers with advanced degrees. However, if teachers work fulltime while they complete post-baccalaureate programs, the additional pay may make their costs comparable to earning licensure through PRPIL within 6 years of graduation.</w:t>
      </w:r>
    </w:p>
    <w:p w14:paraId="4F6013EE" w14:textId="77777777" w:rsidR="003E25BF" w:rsidRPr="003E25BF" w:rsidRDefault="003E25BF" w:rsidP="003E25BF">
      <w:pPr>
        <w:pStyle w:val="Heading3NoTOC"/>
        <w:rPr>
          <w:rFonts w:ascii="Times New Roman" w:eastAsiaTheme="majorEastAsia" w:hAnsi="Times New Roman"/>
          <w:sz w:val="24"/>
          <w:szCs w:val="24"/>
        </w:rPr>
      </w:pPr>
      <w:r w:rsidRPr="003E25BF">
        <w:rPr>
          <w:rFonts w:ascii="Times New Roman" w:eastAsiaTheme="majorEastAsia" w:hAnsi="Times New Roman"/>
          <w:sz w:val="24"/>
          <w:szCs w:val="24"/>
        </w:rPr>
        <w:t>Implications</w:t>
      </w:r>
    </w:p>
    <w:p w14:paraId="33E97C62"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 xml:space="preserve">This study provides a descriptive overview </w:t>
      </w:r>
      <w:proofErr w:type="gramStart"/>
      <w:r w:rsidRPr="003E25BF">
        <w:rPr>
          <w:rFonts w:ascii="Times New Roman" w:eastAsiaTheme="majorEastAsia" w:hAnsi="Times New Roman"/>
        </w:rPr>
        <w:t>of where PRPIL teachers work, the students they serve, and the skills they bring to the workforce</w:t>
      </w:r>
      <w:proofErr w:type="gramEnd"/>
      <w:r w:rsidRPr="003E25BF">
        <w:rPr>
          <w:rFonts w:ascii="Times New Roman" w:eastAsiaTheme="majorEastAsia" w:hAnsi="Times New Roman"/>
        </w:rPr>
        <w:t xml:space="preserve">. </w:t>
      </w:r>
      <w:proofErr w:type="gramStart"/>
      <w:r w:rsidRPr="003E25BF">
        <w:rPr>
          <w:rFonts w:ascii="Times New Roman" w:eastAsiaTheme="majorEastAsia" w:hAnsi="Times New Roman"/>
        </w:rPr>
        <w:t>But</w:t>
      </w:r>
      <w:proofErr w:type="gramEnd"/>
      <w:r w:rsidRPr="003E25BF">
        <w:rPr>
          <w:rFonts w:ascii="Times New Roman" w:eastAsiaTheme="majorEastAsia" w:hAnsi="Times New Roman"/>
        </w:rPr>
        <w:t xml:space="preserve"> it does not directly assess how authorizing the PRPIL pathway affects the educator workforce in Massachusetts or the distribution of full licensed, effective teachers across the state. These comparisons are important for assessing whether teachers advanced through this pathway perform similarly as other teachers in Massachusetts. However, merely offering the PRPIL pathway may change the career decisions </w:t>
      </w:r>
      <w:r w:rsidRPr="003E25BF">
        <w:rPr>
          <w:rFonts w:ascii="Times New Roman" w:eastAsiaTheme="majorEastAsia" w:hAnsi="Times New Roman"/>
        </w:rPr>
        <w:lastRenderedPageBreak/>
        <w:t xml:space="preserve">of current or prospective teachers. There is very little evidence on how state licensure requirements shape the career choices of prospective teachers, but researchers have found suggestive evidence that testing and other requirements affect the composition of the teacher workforce (Angrist &amp; </w:t>
      </w:r>
      <w:proofErr w:type="spellStart"/>
      <w:r w:rsidRPr="003E25BF">
        <w:rPr>
          <w:rFonts w:ascii="Times New Roman" w:eastAsiaTheme="majorEastAsia" w:hAnsi="Times New Roman"/>
        </w:rPr>
        <w:t>Guryan</w:t>
      </w:r>
      <w:proofErr w:type="spellEnd"/>
      <w:r w:rsidRPr="003E25BF">
        <w:rPr>
          <w:rFonts w:ascii="Times New Roman" w:eastAsiaTheme="majorEastAsia" w:hAnsi="Times New Roman"/>
        </w:rPr>
        <w:t xml:space="preserve">, 2008; Larsen, 2015). Thus, an examination of the experiences of only those who complete PRPIL may miss some of the broader effects of the pathway on the teaching profession. </w:t>
      </w:r>
    </w:p>
    <w:p w14:paraId="1F559D29"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Although PRPIL teachers are more likely than other new entrants to the profession to specialize in and teach in high needs subjects, this descriptive study leaves a number of important questions about how the pathway affects the teacher workforce in Massachusetts:</w:t>
      </w:r>
    </w:p>
    <w:p w14:paraId="327AF467" w14:textId="77777777" w:rsidR="003E25BF" w:rsidRPr="003E25BF" w:rsidRDefault="003E25BF" w:rsidP="003E25BF">
      <w:pPr>
        <w:pStyle w:val="BodyText"/>
        <w:numPr>
          <w:ilvl w:val="0"/>
          <w:numId w:val="9"/>
        </w:numPr>
        <w:rPr>
          <w:rFonts w:ascii="Times New Roman" w:eastAsiaTheme="majorEastAsia" w:hAnsi="Times New Roman"/>
        </w:rPr>
      </w:pPr>
      <w:r w:rsidRPr="003E25BF">
        <w:rPr>
          <w:rFonts w:ascii="Times New Roman" w:eastAsiaTheme="majorEastAsia" w:hAnsi="Times New Roman"/>
          <w:b/>
        </w:rPr>
        <w:t xml:space="preserve">PRPIL teachers are more likely </w:t>
      </w:r>
      <w:proofErr w:type="gramStart"/>
      <w:r w:rsidRPr="003E25BF">
        <w:rPr>
          <w:rFonts w:ascii="Times New Roman" w:eastAsiaTheme="majorEastAsia" w:hAnsi="Times New Roman"/>
          <w:b/>
        </w:rPr>
        <w:t>than other teachers</w:t>
      </w:r>
      <w:proofErr w:type="gramEnd"/>
      <w:r w:rsidRPr="003E25BF">
        <w:rPr>
          <w:rFonts w:ascii="Times New Roman" w:eastAsiaTheme="majorEastAsia" w:hAnsi="Times New Roman"/>
          <w:b/>
        </w:rPr>
        <w:t xml:space="preserve"> on initial or professional licenses to teach in high-need subjects, but this study does not address whether the existence of the PRPIL pathway increases the overall supply of these teachers.</w:t>
      </w:r>
      <w:r w:rsidRPr="003E25BF">
        <w:rPr>
          <w:rFonts w:ascii="Times New Roman" w:eastAsiaTheme="majorEastAsia" w:hAnsi="Times New Roman"/>
        </w:rPr>
        <w:t xml:space="preserve"> Some may have chosen to enter the profession through other routes, potentially at higher cost, although some may not have. Two key factors to consider are the sensitivity of prospective teachers in high need subject areas to the cost of obtaining licensure and the capacity of other programs to train the teachers currently enrolled in PRPIL. If prospective teachers are not sensitive to cost, or if other programs can expand to enroll PRPIL teachers, then the pathway may not significantly influence the supply of teachers. Otherwise, it is likely that PRPIL has some effect on the supply of teachers.</w:t>
      </w:r>
    </w:p>
    <w:p w14:paraId="31FEEA56" w14:textId="77777777" w:rsidR="003E25BF" w:rsidRPr="003E25BF" w:rsidRDefault="003E25BF" w:rsidP="003E25BF">
      <w:pPr>
        <w:pStyle w:val="BodyText"/>
        <w:numPr>
          <w:ilvl w:val="0"/>
          <w:numId w:val="9"/>
        </w:numPr>
        <w:rPr>
          <w:rFonts w:ascii="Times New Roman" w:eastAsiaTheme="majorEastAsia" w:hAnsi="Times New Roman"/>
        </w:rPr>
      </w:pPr>
      <w:r w:rsidRPr="003E25BF">
        <w:rPr>
          <w:rFonts w:ascii="Times New Roman" w:eastAsiaTheme="majorEastAsia" w:hAnsi="Times New Roman"/>
          <w:b/>
        </w:rPr>
        <w:t>PRPIL teachers work with higher income and higher achieving students, but we do not know whether this reflects a preference of teachers or the resources of schools.</w:t>
      </w:r>
      <w:r w:rsidRPr="003E25BF">
        <w:rPr>
          <w:rFonts w:ascii="Times New Roman" w:eastAsiaTheme="majorEastAsia" w:hAnsi="Times New Roman"/>
        </w:rPr>
        <w:t xml:space="preserve"> Although it is plausible that the differences in the characteristics of students taught by PRPIL teachers reflect the preferences of individual teachers, it may also be that </w:t>
      </w:r>
      <w:proofErr w:type="gramStart"/>
      <w:r w:rsidRPr="003E25BF">
        <w:rPr>
          <w:rFonts w:ascii="Times New Roman" w:eastAsiaTheme="majorEastAsia" w:hAnsi="Times New Roman"/>
        </w:rPr>
        <w:t>high income</w:t>
      </w:r>
      <w:proofErr w:type="gramEnd"/>
      <w:r w:rsidRPr="003E25BF">
        <w:rPr>
          <w:rFonts w:ascii="Times New Roman" w:eastAsiaTheme="majorEastAsia" w:hAnsi="Times New Roman"/>
        </w:rPr>
        <w:t xml:space="preserve"> school districts have the resources to offer more advanced coursework and thus hire PRPIL teachers because they are disproportionately licensed in these subject areas. The current distribution of PRPIL teachers may also reflect eligibility restrictions or recruitment choices by the current vendor, and these are likely to change under new regulations. </w:t>
      </w:r>
    </w:p>
    <w:p w14:paraId="1B70B3B2" w14:textId="77777777" w:rsidR="003E25BF" w:rsidRPr="003E25BF" w:rsidRDefault="003E25BF" w:rsidP="003E25BF">
      <w:pPr>
        <w:pStyle w:val="BodyText"/>
        <w:numPr>
          <w:ilvl w:val="0"/>
          <w:numId w:val="9"/>
        </w:numPr>
        <w:rPr>
          <w:rFonts w:ascii="Times New Roman" w:eastAsiaTheme="majorEastAsia" w:hAnsi="Times New Roman"/>
        </w:rPr>
      </w:pPr>
      <w:r w:rsidRPr="003E25BF">
        <w:rPr>
          <w:rFonts w:ascii="Times New Roman" w:eastAsiaTheme="majorEastAsia" w:hAnsi="Times New Roman"/>
          <w:b/>
        </w:rPr>
        <w:t xml:space="preserve">This study focuses on teachers credentialed through PRPIL, but does not consider teachers who may have considered the pathway and dropped out before completing it. </w:t>
      </w:r>
      <w:r w:rsidRPr="003E25BF">
        <w:rPr>
          <w:rFonts w:ascii="Times New Roman" w:eastAsiaTheme="majorEastAsia" w:hAnsi="Times New Roman"/>
        </w:rPr>
        <w:t>The PRPIL pathway may encourage more teachers to enter the profession. However, teacher attrition from the profession is highest during the first few years in the classroom, and in prior work, we found that it is disproportionately high for teachers who enter with preliminary licenses. It is possible that the PRPIL pathway increases the number of inexperienced teachers in the workforce by encouraging more teachers to enter the profession through the preliminary route. Similarly, PRPIL may encourage some teachers who would have completed an educator preparation program to forego this training and earn initial licensure by PRPIL instead. Either of these possibilities may lower the effectiveness of the teacher workforce in ways that we do not consider in this study. However, given that PRPIL teachers are a relatively small subset of the total teaching profession, it is unlikely that reduced teaching experience has a significant effect on average teacher effectiveness.</w:t>
      </w:r>
    </w:p>
    <w:p w14:paraId="4DAA6DF5" w14:textId="77777777" w:rsidR="003E25BF" w:rsidRPr="003E25BF" w:rsidRDefault="003E25BF" w:rsidP="003E25BF">
      <w:pPr>
        <w:pStyle w:val="BodyText"/>
        <w:numPr>
          <w:ilvl w:val="0"/>
          <w:numId w:val="9"/>
        </w:numPr>
        <w:rPr>
          <w:rFonts w:ascii="Times New Roman" w:eastAsiaTheme="majorEastAsia" w:hAnsi="Times New Roman"/>
        </w:rPr>
      </w:pPr>
      <w:r w:rsidRPr="003E25BF">
        <w:rPr>
          <w:rFonts w:ascii="Times New Roman" w:eastAsiaTheme="majorEastAsia" w:hAnsi="Times New Roman"/>
          <w:b/>
        </w:rPr>
        <w:lastRenderedPageBreak/>
        <w:t xml:space="preserve">The current study finds little evidence of differences in the effectiveness of PRPIL teachers and teachers who advance to initial licensure through other routes, but this finding may depend on program features specific to the current vendor. </w:t>
      </w:r>
      <w:r w:rsidRPr="003E25BF">
        <w:rPr>
          <w:rFonts w:ascii="Times New Roman" w:eastAsiaTheme="majorEastAsia" w:hAnsi="Times New Roman"/>
        </w:rPr>
        <w:t>Currently, there is only one vendor, Class Measures, executing the PRPIL option for candidates. The regulations provide for relative flexibility in terms of how Class Measures operationalizes PRPIL and the results of this study may be sensitive to some of those decisions. In particular, recent research has linked the quality of mentorship during the student teaching internship to future effectiveness in the workforce (</w:t>
      </w:r>
      <w:proofErr w:type="spellStart"/>
      <w:r w:rsidRPr="003E25BF">
        <w:rPr>
          <w:rFonts w:ascii="Times New Roman" w:eastAsiaTheme="majorEastAsia" w:hAnsi="Times New Roman"/>
        </w:rPr>
        <w:t>Goldhaber</w:t>
      </w:r>
      <w:proofErr w:type="spellEnd"/>
      <w:r w:rsidRPr="003E25BF">
        <w:rPr>
          <w:rFonts w:ascii="Times New Roman" w:eastAsiaTheme="majorEastAsia" w:hAnsi="Times New Roman"/>
        </w:rPr>
        <w:t xml:space="preserve"> et al., 2016; </w:t>
      </w:r>
      <w:proofErr w:type="spellStart"/>
      <w:r w:rsidRPr="003E25BF">
        <w:rPr>
          <w:rFonts w:ascii="Times New Roman" w:eastAsiaTheme="majorEastAsia" w:hAnsi="Times New Roman"/>
        </w:rPr>
        <w:t>Ronfeldt</w:t>
      </w:r>
      <w:proofErr w:type="spellEnd"/>
      <w:r w:rsidRPr="003E25BF">
        <w:rPr>
          <w:rFonts w:ascii="Times New Roman" w:eastAsiaTheme="majorEastAsia" w:hAnsi="Times New Roman"/>
        </w:rPr>
        <w:t xml:space="preserve"> 2012, 2015). If teachers accrue some benefit by participating in the PRPIL process, it may be difficult to predict how teachers prepared through other similar pathways sponsored by other providers would fare in the workplace.</w:t>
      </w:r>
    </w:p>
    <w:p w14:paraId="1E4935FC" w14:textId="77777777" w:rsidR="003E25BF" w:rsidRPr="003E25BF" w:rsidRDefault="003E25BF" w:rsidP="003E25BF">
      <w:pPr>
        <w:pStyle w:val="BodyText"/>
        <w:rPr>
          <w:rFonts w:ascii="Times New Roman" w:eastAsiaTheme="majorEastAsia" w:hAnsi="Times New Roman"/>
        </w:rPr>
      </w:pPr>
      <w:r w:rsidRPr="003E25BF">
        <w:rPr>
          <w:rFonts w:ascii="Times New Roman" w:eastAsiaTheme="majorEastAsia" w:hAnsi="Times New Roman"/>
        </w:rPr>
        <w:t>Understanding these issues, particularly how the PRPIL pathway affects the overall supply and distribution of teachers, will be important for assessing the effects of potential changes to the licensure regulations. The recent regulatory changes in Massachusetts may provide opportunities to answer some of these questions and assess how the pathway operates in other settings.</w:t>
      </w:r>
    </w:p>
    <w:p w14:paraId="62B089B0" w14:textId="0F9D8719" w:rsidR="00AA2AF8" w:rsidRPr="002C2113" w:rsidRDefault="00AA2AF8" w:rsidP="002C2113"/>
    <w:sectPr w:rsidR="00AA2AF8" w:rsidRPr="002C2113" w:rsidSect="007102D5">
      <w:footerReference w:type="default" r:id="rId2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7E93" w14:textId="77777777" w:rsidR="00360679" w:rsidRDefault="00360679" w:rsidP="00FD2C86">
      <w:r>
        <w:separator/>
      </w:r>
    </w:p>
  </w:endnote>
  <w:endnote w:type="continuationSeparator" w:id="0">
    <w:p w14:paraId="431F934C" w14:textId="77777777" w:rsidR="00360679" w:rsidRDefault="00360679"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8790" w14:textId="7FD2C90E" w:rsidR="007012FA" w:rsidRDefault="007012FA" w:rsidP="00D674EF">
    <w:pPr>
      <w:pStyle w:val="Footer"/>
    </w:pPr>
    <w:r>
      <w:tab/>
    </w:r>
    <w:r w:rsidR="00DC7415">
      <w:fldChar w:fldCharType="begin"/>
    </w:r>
    <w:r w:rsidR="00DC7415">
      <w:instrText xml:space="preserve"> PAGE   \* MERGEFORMAT </w:instrText>
    </w:r>
    <w:r w:rsidR="00DC7415">
      <w:fldChar w:fldCharType="separate"/>
    </w:r>
    <w:r w:rsidR="00B439B1">
      <w:rPr>
        <w:noProof/>
      </w:rPr>
      <w:t>3</w:t>
    </w:r>
    <w:r w:rsidR="00DC7415">
      <w:rPr>
        <w:noProof/>
      </w:rPr>
      <w:fldChar w:fldCharType="end"/>
    </w:r>
  </w:p>
  <w:p w14:paraId="74668909" w14:textId="77777777" w:rsidR="00B41309" w:rsidRDefault="00B413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70724" w14:textId="77777777" w:rsidR="00360679" w:rsidRDefault="00360679" w:rsidP="00FD2C86">
      <w:r>
        <w:separator/>
      </w:r>
    </w:p>
  </w:footnote>
  <w:footnote w:type="continuationSeparator" w:id="0">
    <w:p w14:paraId="236279B3" w14:textId="77777777" w:rsidR="00360679" w:rsidRDefault="00360679" w:rsidP="00FD2C86">
      <w:r>
        <w:continuationSeparator/>
      </w:r>
    </w:p>
  </w:footnote>
  <w:footnote w:id="1">
    <w:p w14:paraId="15313C18" w14:textId="77777777" w:rsidR="00920546" w:rsidRPr="00E95FB8" w:rsidRDefault="00920546" w:rsidP="00920546">
      <w:pPr>
        <w:pStyle w:val="FootnoteText"/>
        <w:spacing w:line="240" w:lineRule="exact"/>
        <w:rPr>
          <w:sz w:val="20"/>
        </w:rPr>
      </w:pPr>
      <w:r w:rsidRPr="00E95FB8">
        <w:rPr>
          <w:rStyle w:val="FootnoteReference"/>
          <w:sz w:val="20"/>
        </w:rPr>
        <w:footnoteRef/>
      </w:r>
      <w:r w:rsidRPr="00E95FB8">
        <w:rPr>
          <w:sz w:val="20"/>
        </w:rPr>
        <w:t xml:space="preserve"> Competency Determination </w:t>
      </w:r>
      <w:proofErr w:type="gramStart"/>
      <w:r w:rsidRPr="00E95FB8">
        <w:rPr>
          <w:sz w:val="20"/>
        </w:rPr>
        <w:t>is based</w:t>
      </w:r>
      <w:proofErr w:type="gramEnd"/>
      <w:r w:rsidRPr="00E95FB8">
        <w:rPr>
          <w:sz w:val="20"/>
        </w:rPr>
        <w:t xml:space="preserve"> on performance on the state’s high school MCAS tests in English language arts, mathematics, and science and technology/engineering.</w:t>
      </w:r>
    </w:p>
  </w:footnote>
  <w:footnote w:id="2">
    <w:p w14:paraId="1CDB168C" w14:textId="77777777" w:rsidR="00920546" w:rsidRDefault="00920546" w:rsidP="00920546">
      <w:pPr>
        <w:pStyle w:val="FootnoteText"/>
      </w:pPr>
      <w:r>
        <w:rPr>
          <w:rStyle w:val="FootnoteReference"/>
        </w:rPr>
        <w:footnoteRef/>
      </w:r>
      <w:r>
        <w:t xml:space="preserve"> Throughout the report, we follow the conventional terminology and refer to estimated effects on student achievement as “value added.” These estimates </w:t>
      </w:r>
      <w:proofErr w:type="gramStart"/>
      <w:r>
        <w:t>are derived</w:t>
      </w:r>
      <w:proofErr w:type="gramEnd"/>
      <w:r>
        <w:t xml:space="preserve"> from statistical models run for this research project and not from the state-calculated student growth percentiles.</w:t>
      </w:r>
    </w:p>
  </w:footnote>
  <w:footnote w:id="3">
    <w:p w14:paraId="1BFCCAAF" w14:textId="77777777" w:rsidR="003E25BF" w:rsidRDefault="003E25BF" w:rsidP="003E25BF">
      <w:pPr>
        <w:pStyle w:val="FootnoteText"/>
      </w:pPr>
      <w:r>
        <w:rPr>
          <w:rStyle w:val="FootnoteReference"/>
        </w:rPr>
        <w:footnoteRef/>
      </w:r>
      <w:r>
        <w:t xml:space="preserve"> In July 2017, the Massachusetts Board of Elementary and Secondary Education approved numerous changes to the teacher licensure regulations, one of which was changing the name of this type of license from preliminary to provisional. Our data precede this regulatory change, so we refer to preliminary licenses throughout this report.</w:t>
      </w:r>
    </w:p>
  </w:footnote>
  <w:footnote w:id="4">
    <w:p w14:paraId="4BF85C89" w14:textId="77777777" w:rsidR="003E25BF" w:rsidRDefault="003E25BF" w:rsidP="003E25BF">
      <w:pPr>
        <w:pStyle w:val="FootnoteText"/>
      </w:pPr>
      <w:r>
        <w:rPr>
          <w:rStyle w:val="FootnoteReference"/>
        </w:rPr>
        <w:footnoteRef/>
      </w:r>
      <w:r>
        <w:t xml:space="preserve"> The aforementioned regulatory changes also expanded the eligibility for advancing a license through PRPIL. During the </w:t>
      </w:r>
      <w:proofErr w:type="gramStart"/>
      <w:r>
        <w:t>time period</w:t>
      </w:r>
      <w:proofErr w:type="gramEnd"/>
      <w:r>
        <w:t xml:space="preserve"> covered in this study, PRPIL did not advance elementary licenses and was it only available to teachers working in locations without access to other alternative programs for mid-career teachers. These restrictions </w:t>
      </w:r>
      <w:proofErr w:type="gramStart"/>
      <w:r>
        <w:t>were removed</w:t>
      </w:r>
      <w:proofErr w:type="gramEnd"/>
      <w:r>
        <w:t xml:space="preserve"> in July 2017. We list the subject areas covered by PRPIL in the data considered in this study in Appendix A.</w:t>
      </w:r>
    </w:p>
  </w:footnote>
  <w:footnote w:id="5">
    <w:p w14:paraId="1202E01E" w14:textId="77777777" w:rsidR="003E25BF" w:rsidRDefault="003E25BF" w:rsidP="003E25BF">
      <w:pPr>
        <w:pStyle w:val="FootnoteText"/>
      </w:pPr>
      <w:r>
        <w:rPr>
          <w:rStyle w:val="FootnoteReference"/>
        </w:rPr>
        <w:footnoteRef/>
      </w:r>
      <w:r>
        <w:t xml:space="preserve"> We use the shortage areas reported to the U.S. Department of Education Office of Postsecondary Education for student financial aid programs (</w:t>
      </w:r>
      <w:proofErr w:type="gramStart"/>
      <w:r>
        <w:t>Cross</w:t>
      </w:r>
      <w:proofErr w:type="gramEnd"/>
      <w:r>
        <w:t xml:space="preserve">, 2016). The list varies by year, but generally includes English as a Second Language, English/Language Arts, Mathematics, Foreign Languages, Science, and Special Education. </w:t>
      </w:r>
    </w:p>
  </w:footnote>
  <w:footnote w:id="6">
    <w:p w14:paraId="135CAB67" w14:textId="77777777" w:rsidR="003E25BF" w:rsidRDefault="003E25BF" w:rsidP="003E25BF">
      <w:pPr>
        <w:pStyle w:val="FootnoteText"/>
      </w:pPr>
      <w:r>
        <w:rPr>
          <w:rStyle w:val="FootnoteReference"/>
        </w:rPr>
        <w:footnoteRef/>
      </w:r>
      <w:r>
        <w:t xml:space="preserve"> We also evaluate PRPIL teachers by their value added, although small samples of PRPIL teachers in tested grades and subjects limits the precision and generalizability of the results. We discuss these findings in the main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2DCA6958"/>
    <w:multiLevelType w:val="hybridMultilevel"/>
    <w:tmpl w:val="C5D04F5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D125F0"/>
    <w:multiLevelType w:val="hybridMultilevel"/>
    <w:tmpl w:val="5EB2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FA26E36"/>
    <w:multiLevelType w:val="hybridMultilevel"/>
    <w:tmpl w:val="BEF0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46C47"/>
    <w:multiLevelType w:val="hybridMultilevel"/>
    <w:tmpl w:val="6CF8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2"/>
  </w:num>
  <w:num w:numId="6">
    <w:abstractNumId w:val="5"/>
  </w:num>
  <w:num w:numId="7">
    <w:abstractNumId w:val="9"/>
  </w:num>
  <w:num w:numId="8">
    <w:abstractNumId w:val="8"/>
  </w:num>
  <w:num w:numId="9">
    <w:abstractNumId w:val="6"/>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59"/>
    <w:rsid w:val="000506EE"/>
    <w:rsid w:val="0005131B"/>
    <w:rsid w:val="00064FA4"/>
    <w:rsid w:val="000711BA"/>
    <w:rsid w:val="00076BD2"/>
    <w:rsid w:val="00091A5F"/>
    <w:rsid w:val="00092A27"/>
    <w:rsid w:val="000A7F57"/>
    <w:rsid w:val="000C3B85"/>
    <w:rsid w:val="000C5AF1"/>
    <w:rsid w:val="000D0E81"/>
    <w:rsid w:val="000D1FA5"/>
    <w:rsid w:val="00100600"/>
    <w:rsid w:val="001042D1"/>
    <w:rsid w:val="00112CE2"/>
    <w:rsid w:val="00114A93"/>
    <w:rsid w:val="0014102A"/>
    <w:rsid w:val="00144CB4"/>
    <w:rsid w:val="00147F76"/>
    <w:rsid w:val="00152CC8"/>
    <w:rsid w:val="00161A3F"/>
    <w:rsid w:val="0017022D"/>
    <w:rsid w:val="00171E70"/>
    <w:rsid w:val="00184ACF"/>
    <w:rsid w:val="001A028D"/>
    <w:rsid w:val="001B0849"/>
    <w:rsid w:val="001B1C24"/>
    <w:rsid w:val="001B25AC"/>
    <w:rsid w:val="001C1CF3"/>
    <w:rsid w:val="001C1E0E"/>
    <w:rsid w:val="001D129F"/>
    <w:rsid w:val="001D5318"/>
    <w:rsid w:val="002034A0"/>
    <w:rsid w:val="0020780F"/>
    <w:rsid w:val="00247105"/>
    <w:rsid w:val="002625B1"/>
    <w:rsid w:val="00271731"/>
    <w:rsid w:val="00272C35"/>
    <w:rsid w:val="00274356"/>
    <w:rsid w:val="00294DFB"/>
    <w:rsid w:val="00297976"/>
    <w:rsid w:val="002C120B"/>
    <w:rsid w:val="002C2113"/>
    <w:rsid w:val="002D1F95"/>
    <w:rsid w:val="002D411F"/>
    <w:rsid w:val="002D750F"/>
    <w:rsid w:val="002E7C0B"/>
    <w:rsid w:val="00313DEF"/>
    <w:rsid w:val="003151B0"/>
    <w:rsid w:val="00324E05"/>
    <w:rsid w:val="00345DE2"/>
    <w:rsid w:val="00360679"/>
    <w:rsid w:val="003B1D70"/>
    <w:rsid w:val="003D0635"/>
    <w:rsid w:val="003D40D2"/>
    <w:rsid w:val="003E01D3"/>
    <w:rsid w:val="003E25BF"/>
    <w:rsid w:val="003F3636"/>
    <w:rsid w:val="00426D86"/>
    <w:rsid w:val="00440BAB"/>
    <w:rsid w:val="00441F51"/>
    <w:rsid w:val="0044758D"/>
    <w:rsid w:val="00464491"/>
    <w:rsid w:val="00484A33"/>
    <w:rsid w:val="004C1FFA"/>
    <w:rsid w:val="004D3CD6"/>
    <w:rsid w:val="004D45D4"/>
    <w:rsid w:val="004E0CA6"/>
    <w:rsid w:val="004E5242"/>
    <w:rsid w:val="004F1C4B"/>
    <w:rsid w:val="005152E7"/>
    <w:rsid w:val="00522BFB"/>
    <w:rsid w:val="005350D7"/>
    <w:rsid w:val="00543117"/>
    <w:rsid w:val="00543C6D"/>
    <w:rsid w:val="00595540"/>
    <w:rsid w:val="005A0983"/>
    <w:rsid w:val="005A367D"/>
    <w:rsid w:val="005B0DAE"/>
    <w:rsid w:val="005E6ACA"/>
    <w:rsid w:val="005E7464"/>
    <w:rsid w:val="005F037D"/>
    <w:rsid w:val="005F152D"/>
    <w:rsid w:val="005F1897"/>
    <w:rsid w:val="00603BD5"/>
    <w:rsid w:val="0065736C"/>
    <w:rsid w:val="0066221E"/>
    <w:rsid w:val="00675B1B"/>
    <w:rsid w:val="0069558B"/>
    <w:rsid w:val="006B5927"/>
    <w:rsid w:val="006C5ACA"/>
    <w:rsid w:val="006C6F88"/>
    <w:rsid w:val="006D1B5E"/>
    <w:rsid w:val="006E7C88"/>
    <w:rsid w:val="006F4CF2"/>
    <w:rsid w:val="006F7E53"/>
    <w:rsid w:val="007012FA"/>
    <w:rsid w:val="007102D5"/>
    <w:rsid w:val="00712E66"/>
    <w:rsid w:val="007204A2"/>
    <w:rsid w:val="00740C0D"/>
    <w:rsid w:val="00741DF2"/>
    <w:rsid w:val="00755977"/>
    <w:rsid w:val="00763DDA"/>
    <w:rsid w:val="00765318"/>
    <w:rsid w:val="0077336E"/>
    <w:rsid w:val="007771D5"/>
    <w:rsid w:val="0077761F"/>
    <w:rsid w:val="007A3CEC"/>
    <w:rsid w:val="007C3083"/>
    <w:rsid w:val="00826061"/>
    <w:rsid w:val="00832115"/>
    <w:rsid w:val="00871349"/>
    <w:rsid w:val="008734A6"/>
    <w:rsid w:val="0088258A"/>
    <w:rsid w:val="00884567"/>
    <w:rsid w:val="008C575C"/>
    <w:rsid w:val="008C65E5"/>
    <w:rsid w:val="008E260F"/>
    <w:rsid w:val="00900BF3"/>
    <w:rsid w:val="00901891"/>
    <w:rsid w:val="00907BC7"/>
    <w:rsid w:val="009168FD"/>
    <w:rsid w:val="00917329"/>
    <w:rsid w:val="00920546"/>
    <w:rsid w:val="00964B19"/>
    <w:rsid w:val="00975F4D"/>
    <w:rsid w:val="00976882"/>
    <w:rsid w:val="00992913"/>
    <w:rsid w:val="0099682E"/>
    <w:rsid w:val="009A3016"/>
    <w:rsid w:val="009A5EBB"/>
    <w:rsid w:val="009B1662"/>
    <w:rsid w:val="009C4322"/>
    <w:rsid w:val="009C550C"/>
    <w:rsid w:val="009D1266"/>
    <w:rsid w:val="009D7BA2"/>
    <w:rsid w:val="009E45FA"/>
    <w:rsid w:val="009E52E7"/>
    <w:rsid w:val="00A03535"/>
    <w:rsid w:val="00A11174"/>
    <w:rsid w:val="00A476CE"/>
    <w:rsid w:val="00A5157F"/>
    <w:rsid w:val="00A60B29"/>
    <w:rsid w:val="00A72209"/>
    <w:rsid w:val="00A72DB3"/>
    <w:rsid w:val="00A73051"/>
    <w:rsid w:val="00AA2AF8"/>
    <w:rsid w:val="00AB0D8E"/>
    <w:rsid w:val="00AD0A1F"/>
    <w:rsid w:val="00AD298F"/>
    <w:rsid w:val="00AD72FC"/>
    <w:rsid w:val="00AE53BE"/>
    <w:rsid w:val="00AF1841"/>
    <w:rsid w:val="00B129CE"/>
    <w:rsid w:val="00B205B5"/>
    <w:rsid w:val="00B316B3"/>
    <w:rsid w:val="00B41309"/>
    <w:rsid w:val="00B42CA2"/>
    <w:rsid w:val="00B439B1"/>
    <w:rsid w:val="00B55562"/>
    <w:rsid w:val="00B601E6"/>
    <w:rsid w:val="00B616AF"/>
    <w:rsid w:val="00B61B2F"/>
    <w:rsid w:val="00B81EF9"/>
    <w:rsid w:val="00B87F39"/>
    <w:rsid w:val="00B9061D"/>
    <w:rsid w:val="00B97EA1"/>
    <w:rsid w:val="00BA12E2"/>
    <w:rsid w:val="00BC227D"/>
    <w:rsid w:val="00BE39EF"/>
    <w:rsid w:val="00C052D1"/>
    <w:rsid w:val="00C0573F"/>
    <w:rsid w:val="00C118B2"/>
    <w:rsid w:val="00C444A9"/>
    <w:rsid w:val="00C6738A"/>
    <w:rsid w:val="00C87B1B"/>
    <w:rsid w:val="00CA455D"/>
    <w:rsid w:val="00CB5EE8"/>
    <w:rsid w:val="00CC22F1"/>
    <w:rsid w:val="00CD5012"/>
    <w:rsid w:val="00CE1085"/>
    <w:rsid w:val="00CF6B07"/>
    <w:rsid w:val="00D16C52"/>
    <w:rsid w:val="00D3078C"/>
    <w:rsid w:val="00D40A4A"/>
    <w:rsid w:val="00D42AD8"/>
    <w:rsid w:val="00D53B5E"/>
    <w:rsid w:val="00D674EF"/>
    <w:rsid w:val="00D72BD5"/>
    <w:rsid w:val="00D75E94"/>
    <w:rsid w:val="00D97241"/>
    <w:rsid w:val="00DC2200"/>
    <w:rsid w:val="00DC7415"/>
    <w:rsid w:val="00DD07C4"/>
    <w:rsid w:val="00DD4A21"/>
    <w:rsid w:val="00DE0201"/>
    <w:rsid w:val="00DE1217"/>
    <w:rsid w:val="00E04B8E"/>
    <w:rsid w:val="00E068D5"/>
    <w:rsid w:val="00E253B2"/>
    <w:rsid w:val="00E309C2"/>
    <w:rsid w:val="00E34296"/>
    <w:rsid w:val="00E3460D"/>
    <w:rsid w:val="00E53ECD"/>
    <w:rsid w:val="00E72815"/>
    <w:rsid w:val="00E94E92"/>
    <w:rsid w:val="00EB1F6F"/>
    <w:rsid w:val="00EB21ED"/>
    <w:rsid w:val="00EB7F04"/>
    <w:rsid w:val="00ED25CF"/>
    <w:rsid w:val="00ED55E0"/>
    <w:rsid w:val="00F03CB1"/>
    <w:rsid w:val="00F13965"/>
    <w:rsid w:val="00F17E59"/>
    <w:rsid w:val="00F36062"/>
    <w:rsid w:val="00F37C71"/>
    <w:rsid w:val="00F44C7B"/>
    <w:rsid w:val="00F47C49"/>
    <w:rsid w:val="00F66EB7"/>
    <w:rsid w:val="00F7310B"/>
    <w:rsid w:val="00F7387F"/>
    <w:rsid w:val="00F80753"/>
    <w:rsid w:val="00FA0025"/>
    <w:rsid w:val="00FA37DE"/>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08194"/>
  <w15:docId w15:val="{F546B067-2DB1-4FBB-BEE1-B41BACEE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13"/>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paragraph" w:styleId="Heading7">
    <w:name w:val="heading 7"/>
    <w:basedOn w:val="Normal"/>
    <w:next w:val="Normal"/>
    <w:link w:val="Heading7Char"/>
    <w:semiHidden/>
    <w:unhideWhenUsed/>
    <w:qFormat/>
    <w:rsid w:val="006E7C8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semiHidden/>
    <w:rsid w:val="00147F76"/>
    <w:pPr>
      <w:tabs>
        <w:tab w:val="right" w:leader="dot" w:pos="9360"/>
      </w:tabs>
      <w:spacing w:before="240" w:after="120"/>
    </w:pPr>
    <w:rPr>
      <w:rFonts w:ascii="Arial" w:hAnsi="Arial"/>
      <w:b/>
    </w:rPr>
  </w:style>
  <w:style w:type="character" w:styleId="Hyperlink">
    <w:name w:val="Hyperlink"/>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Heading1Char">
    <w:name w:val="Heading 1 Char"/>
    <w:basedOn w:val="DefaultParagraphFont"/>
    <w:link w:val="Heading1"/>
    <w:uiPriority w:val="9"/>
    <w:rsid w:val="001D129F"/>
    <w:rPr>
      <w:rFonts w:ascii="Arial" w:hAnsi="Arial" w:cs="Arial"/>
      <w:b/>
      <w:bCs/>
      <w:kern w:val="32"/>
      <w:sz w:val="32"/>
      <w:szCs w:val="32"/>
    </w:rPr>
  </w:style>
  <w:style w:type="paragraph" w:styleId="ListParagraph">
    <w:name w:val="List Paragraph"/>
    <w:basedOn w:val="Normal"/>
    <w:uiPriority w:val="34"/>
    <w:qFormat/>
    <w:rsid w:val="001D129F"/>
    <w:pPr>
      <w:spacing w:after="200"/>
      <w:ind w:left="720"/>
      <w:contextualSpacing/>
    </w:pPr>
    <w:rPr>
      <w:rFonts w:asciiTheme="minorHAnsi" w:eastAsiaTheme="minorHAnsi" w:hAnsiTheme="minorHAnsi" w:cstheme="minorBidi"/>
    </w:rPr>
  </w:style>
  <w:style w:type="character" w:styleId="CommentReference">
    <w:name w:val="annotation reference"/>
    <w:basedOn w:val="DefaultParagraphFont"/>
    <w:semiHidden/>
    <w:unhideWhenUsed/>
    <w:rsid w:val="001D129F"/>
    <w:rPr>
      <w:sz w:val="16"/>
      <w:szCs w:val="16"/>
    </w:rPr>
  </w:style>
  <w:style w:type="paragraph" w:styleId="CommentText">
    <w:name w:val="annotation text"/>
    <w:basedOn w:val="Normal"/>
    <w:link w:val="CommentTextChar"/>
    <w:semiHidden/>
    <w:unhideWhenUsed/>
    <w:rsid w:val="001D129F"/>
    <w:rPr>
      <w:sz w:val="20"/>
      <w:szCs w:val="20"/>
    </w:rPr>
  </w:style>
  <w:style w:type="character" w:customStyle="1" w:styleId="CommentTextChar">
    <w:name w:val="Comment Text Char"/>
    <w:basedOn w:val="DefaultParagraphFont"/>
    <w:link w:val="CommentText"/>
    <w:semiHidden/>
    <w:rsid w:val="001D129F"/>
  </w:style>
  <w:style w:type="paragraph" w:styleId="CommentSubject">
    <w:name w:val="annotation subject"/>
    <w:basedOn w:val="CommentText"/>
    <w:next w:val="CommentText"/>
    <w:link w:val="CommentSubjectChar"/>
    <w:semiHidden/>
    <w:unhideWhenUsed/>
    <w:rsid w:val="001D129F"/>
    <w:rPr>
      <w:b/>
      <w:bCs/>
    </w:rPr>
  </w:style>
  <w:style w:type="character" w:customStyle="1" w:styleId="CommentSubjectChar">
    <w:name w:val="Comment Subject Char"/>
    <w:basedOn w:val="CommentTextChar"/>
    <w:link w:val="CommentSubject"/>
    <w:semiHidden/>
    <w:rsid w:val="001D129F"/>
    <w:rPr>
      <w:b/>
      <w:bCs/>
    </w:rPr>
  </w:style>
  <w:style w:type="character" w:customStyle="1" w:styleId="Heading7Char">
    <w:name w:val="Heading 7 Char"/>
    <w:basedOn w:val="DefaultParagraphFont"/>
    <w:link w:val="Heading7"/>
    <w:semiHidden/>
    <w:rsid w:val="006E7C88"/>
    <w:rPr>
      <w:rFonts w:asciiTheme="majorHAnsi" w:eastAsiaTheme="majorEastAsia" w:hAnsiTheme="majorHAnsi" w:cstheme="majorBidi"/>
      <w:i/>
      <w:iCs/>
      <w:color w:val="243F60" w:themeColor="accent1" w:themeShade="7F"/>
      <w:sz w:val="24"/>
      <w:szCs w:val="24"/>
    </w:rPr>
  </w:style>
  <w:style w:type="paragraph" w:styleId="FootnoteText">
    <w:name w:val="footnote text"/>
    <w:basedOn w:val="Normal"/>
    <w:link w:val="FootnoteTextChar"/>
    <w:qFormat/>
    <w:rsid w:val="00920546"/>
    <w:pPr>
      <w:spacing w:line="200" w:lineRule="exact"/>
    </w:pPr>
    <w:rPr>
      <w:sz w:val="18"/>
      <w:szCs w:val="20"/>
    </w:rPr>
  </w:style>
  <w:style w:type="character" w:customStyle="1" w:styleId="FootnoteTextChar">
    <w:name w:val="Footnote Text Char"/>
    <w:basedOn w:val="DefaultParagraphFont"/>
    <w:link w:val="FootnoteText"/>
    <w:rsid w:val="00920546"/>
    <w:rPr>
      <w:sz w:val="18"/>
    </w:rPr>
  </w:style>
  <w:style w:type="character" w:styleId="FootnoteReference">
    <w:name w:val="footnote reference"/>
    <w:qFormat/>
    <w:rsid w:val="00920546"/>
    <w:rPr>
      <w:vertAlign w:val="superscript"/>
    </w:rPr>
  </w:style>
  <w:style w:type="paragraph" w:customStyle="1" w:styleId="FigureTitle">
    <w:name w:val="Figure Title"/>
    <w:basedOn w:val="Caption"/>
    <w:next w:val="Normal"/>
    <w:uiPriority w:val="13"/>
    <w:qFormat/>
    <w:rsid w:val="00920546"/>
    <w:pPr>
      <w:keepNext/>
      <w:keepLines/>
      <w:spacing w:before="240" w:after="120"/>
    </w:pPr>
    <w:rPr>
      <w:rFonts w:asciiTheme="majorHAnsi" w:hAnsiTheme="majorHAnsi"/>
      <w:b/>
      <w:i w:val="0"/>
      <w:iCs w:val="0"/>
      <w:color w:val="auto"/>
      <w:sz w:val="20"/>
      <w:szCs w:val="24"/>
    </w:rPr>
  </w:style>
  <w:style w:type="paragraph" w:styleId="Caption">
    <w:name w:val="caption"/>
    <w:basedOn w:val="Normal"/>
    <w:next w:val="Normal"/>
    <w:semiHidden/>
    <w:unhideWhenUsed/>
    <w:qFormat/>
    <w:rsid w:val="00920546"/>
    <w:pPr>
      <w:spacing w:after="200"/>
    </w:pPr>
    <w:rPr>
      <w:i/>
      <w:iCs/>
      <w:color w:val="1F497D" w:themeColor="text2"/>
      <w:sz w:val="18"/>
      <w:szCs w:val="18"/>
    </w:rPr>
  </w:style>
  <w:style w:type="paragraph" w:styleId="BodyText">
    <w:name w:val="Body Text"/>
    <w:link w:val="BodyTextChar"/>
    <w:uiPriority w:val="99"/>
    <w:qFormat/>
    <w:rsid w:val="003E25BF"/>
    <w:pPr>
      <w:spacing w:before="240" w:after="120"/>
    </w:pPr>
    <w:rPr>
      <w:rFonts w:asciiTheme="minorHAnsi" w:hAnsiTheme="minorHAnsi"/>
      <w:sz w:val="24"/>
      <w:szCs w:val="24"/>
    </w:rPr>
  </w:style>
  <w:style w:type="character" w:customStyle="1" w:styleId="BodyTextChar">
    <w:name w:val="Body Text Char"/>
    <w:basedOn w:val="DefaultParagraphFont"/>
    <w:link w:val="BodyText"/>
    <w:uiPriority w:val="99"/>
    <w:rsid w:val="003E25BF"/>
    <w:rPr>
      <w:rFonts w:asciiTheme="minorHAnsi" w:hAnsiTheme="minorHAnsi"/>
      <w:sz w:val="24"/>
      <w:szCs w:val="24"/>
    </w:rPr>
  </w:style>
  <w:style w:type="paragraph" w:customStyle="1" w:styleId="FigurePlacement">
    <w:name w:val="Figure Placement"/>
    <w:uiPriority w:val="14"/>
    <w:qFormat/>
    <w:rsid w:val="003E25BF"/>
    <w:pPr>
      <w:spacing w:before="120" w:after="120"/>
    </w:pPr>
    <w:rPr>
      <w:rFonts w:asciiTheme="majorHAnsi" w:hAnsiTheme="majorHAnsi"/>
      <w:szCs w:val="24"/>
    </w:rPr>
  </w:style>
  <w:style w:type="paragraph" w:customStyle="1" w:styleId="Heading3NoTOC">
    <w:name w:val="Heading 3 No TOC"/>
    <w:link w:val="Heading3NoTOCChar"/>
    <w:uiPriority w:val="9"/>
    <w:qFormat/>
    <w:rsid w:val="003E25BF"/>
    <w:pPr>
      <w:keepNext/>
      <w:keepLines/>
      <w:spacing w:before="240" w:after="120"/>
    </w:pPr>
    <w:rPr>
      <w:rFonts w:asciiTheme="majorHAnsi" w:hAnsiTheme="majorHAnsi"/>
      <w:b/>
      <w:bCs/>
      <w:sz w:val="28"/>
      <w:szCs w:val="26"/>
    </w:rPr>
  </w:style>
  <w:style w:type="character" w:customStyle="1" w:styleId="Heading3NoTOCChar">
    <w:name w:val="Heading 3 No TOC Char"/>
    <w:basedOn w:val="DefaultParagraphFont"/>
    <w:link w:val="Heading3NoTOC"/>
    <w:uiPriority w:val="9"/>
    <w:rsid w:val="003E25BF"/>
    <w:rPr>
      <w:rFonts w:asciiTheme="majorHAnsi" w:hAnsiTheme="majorHAnsi"/>
      <w:b/>
      <w:bCs/>
      <w:sz w:val="28"/>
      <w:szCs w:val="26"/>
    </w:rPr>
  </w:style>
  <w:style w:type="paragraph" w:customStyle="1" w:styleId="TableNote">
    <w:name w:val="Table Note"/>
    <w:aliases w:val="Figure Note,Exhibit Note"/>
    <w:basedOn w:val="Normal"/>
    <w:next w:val="BodyText"/>
    <w:uiPriority w:val="18"/>
    <w:qFormat/>
    <w:rsid w:val="003E25BF"/>
    <w:pPr>
      <w:spacing w:before="120" w:after="120"/>
      <w:contextualSpacing/>
    </w:pPr>
    <w:rPr>
      <w:rFonts w:asciiTheme="majorHAnsi" w:hAnsiTheme="majorHAnsi"/>
      <w:sz w:val="18"/>
      <w:szCs w:val="20"/>
    </w:rPr>
  </w:style>
  <w:style w:type="character" w:styleId="FollowedHyperlink">
    <w:name w:val="FollowedHyperlink"/>
    <w:basedOn w:val="DefaultParagraphFont"/>
    <w:semiHidden/>
    <w:unhideWhenUsed/>
    <w:rsid w:val="002E7C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research/reports/2017/05EdPrep-Year1Report.pdf" TargetMode="Externa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doe.mass.edu/research/reports/2017/06aspeval.docx"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doe.mass.edu/lawsregs/603cmr7.html?section=05"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research/reports/2018/01prpil-analysis.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s\Desktop\FY18%20Education%20Evaluation%20Legislative%20Report_7010-0050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DESE-231-43246</_dlc_DocId>
    <_dlc_DocIdUrl xmlns="733efe1c-5bbe-4968-87dc-d400e65c879f">
      <Url>https://sharepoint.doemass.org/ese/webteam/cps/_layouts/DocIdRedir.aspx?ID=DESE-231-43246</Url>
      <Description>DESE-231-43246</Description>
    </_dlc_DocIdUrl>
    <_vti_RoutingExistingProperties xmlns="0a4e05da-b9bc-4326-ad73-01ef31b955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7253-8BFB-49FD-B140-5B0B3E9F65A8}">
  <ds:schemaRefs>
    <ds:schemaRef ds:uri="http://schemas.microsoft.com/sharepoint/v3/contenttype/forms"/>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4.xml><?xml version="1.0" encoding="utf-8"?>
<ds:datastoreItem xmlns:ds="http://schemas.openxmlformats.org/officeDocument/2006/customXml" ds:itemID="{2AE421C7-2771-40CF-B332-6C9F3D54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63B44-7AC5-4C69-B7AB-850B328E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FY18 Education Evaluation Legislative Report_7010-0050_FINAL.DOTX</Template>
  <TotalTime>0</TotalTime>
  <Pages>19</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Education Evaluation Grant Program</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Evaluation Grant Program</dc:title>
  <dc:creator>DESE</dc:creator>
  <cp:lastModifiedBy>Zou, Dong (EOE)</cp:lastModifiedBy>
  <cp:revision>3</cp:revision>
  <cp:lastPrinted>2016-09-08T19:44:00Z</cp:lastPrinted>
  <dcterms:created xsi:type="dcterms:W3CDTF">2018-07-11T16:51:00Z</dcterms:created>
  <dcterms:modified xsi:type="dcterms:W3CDTF">2018-07-11T21:29:00Z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2018</vt:lpwstr>
  </property>
</Properties>
</file>