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6089FD07" w14:textId="77777777" w:rsidTr="00E309C2">
        <w:trPr>
          <w:gridAfter w:val="1"/>
          <w:wAfter w:w="1530" w:type="dxa"/>
          <w:trHeight w:val="5040"/>
        </w:trPr>
        <w:tc>
          <w:tcPr>
            <w:tcW w:w="8010" w:type="dxa"/>
            <w:gridSpan w:val="2"/>
          </w:tcPr>
          <w:p w14:paraId="59D3EBFE" w14:textId="77777777" w:rsidR="005F037D" w:rsidRDefault="005F037D">
            <w:pPr>
              <w:keepNext/>
            </w:pPr>
          </w:p>
          <w:p w14:paraId="32116630" w14:textId="77777777" w:rsidR="005F037D" w:rsidRDefault="00741DF2" w:rsidP="00CE1085">
            <w:r>
              <w:rPr>
                <w:noProof/>
              </w:rPr>
              <w:drawing>
                <wp:inline distT="0" distB="0" distL="0" distR="0" wp14:anchorId="558B115A" wp14:editId="53257AEB">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6AC2158B" w14:textId="77777777" w:rsidTr="00E309C2">
        <w:trPr>
          <w:gridAfter w:val="1"/>
          <w:wAfter w:w="1530" w:type="dxa"/>
          <w:cantSplit/>
          <w:trHeight w:val="200"/>
        </w:trPr>
        <w:tc>
          <w:tcPr>
            <w:tcW w:w="990" w:type="dxa"/>
            <w:vMerge w:val="restart"/>
            <w:vAlign w:val="bottom"/>
          </w:tcPr>
          <w:p w14:paraId="28BCDB39" w14:textId="77777777" w:rsidR="005F037D" w:rsidRPr="00DA3E30" w:rsidRDefault="005F037D" w:rsidP="00274356">
            <w:pPr>
              <w:rPr>
                <w:b/>
              </w:rPr>
            </w:pPr>
          </w:p>
        </w:tc>
        <w:tc>
          <w:tcPr>
            <w:tcW w:w="7020" w:type="dxa"/>
            <w:vAlign w:val="bottom"/>
          </w:tcPr>
          <w:p w14:paraId="7032DFD6" w14:textId="77777777" w:rsidR="005F037D" w:rsidRPr="00DA3E30" w:rsidRDefault="00D15AE4" w:rsidP="00F66EB7">
            <w:pPr>
              <w:pStyle w:val="ESEReportName"/>
              <w:rPr>
                <w:rFonts w:ascii="Times New Roman" w:hAnsi="Times New Roman"/>
                <w:sz w:val="40"/>
                <w:szCs w:val="40"/>
              </w:rPr>
            </w:pPr>
            <w:r w:rsidRPr="00DA3E30">
              <w:rPr>
                <w:rFonts w:ascii="Times New Roman" w:hAnsi="Times New Roman"/>
                <w:sz w:val="40"/>
                <w:szCs w:val="40"/>
              </w:rPr>
              <w:t xml:space="preserve">Recovery High Schools </w:t>
            </w:r>
            <w:r w:rsidR="004E0F75" w:rsidRPr="00DA3E30">
              <w:rPr>
                <w:rFonts w:ascii="Times New Roman" w:hAnsi="Times New Roman"/>
                <w:sz w:val="40"/>
                <w:szCs w:val="40"/>
              </w:rPr>
              <w:t>Legislative Report</w:t>
            </w:r>
          </w:p>
        </w:tc>
      </w:tr>
      <w:tr w:rsidR="005F037D" w14:paraId="30739FD7" w14:textId="77777777" w:rsidTr="00E309C2">
        <w:trPr>
          <w:gridAfter w:val="1"/>
          <w:wAfter w:w="1530" w:type="dxa"/>
          <w:cantSplit/>
          <w:trHeight w:val="240"/>
        </w:trPr>
        <w:tc>
          <w:tcPr>
            <w:tcW w:w="990" w:type="dxa"/>
            <w:vMerge/>
            <w:vAlign w:val="bottom"/>
          </w:tcPr>
          <w:p w14:paraId="32C158A1" w14:textId="77777777" w:rsidR="005F037D" w:rsidRPr="00DA3E30" w:rsidRDefault="005F037D">
            <w:pPr>
              <w:spacing w:line="400" w:lineRule="exact"/>
              <w:rPr>
                <w:rFonts w:ascii="Arial" w:hAnsi="Arial"/>
                <w:b/>
                <w:color w:val="000000"/>
              </w:rPr>
            </w:pPr>
          </w:p>
        </w:tc>
        <w:tc>
          <w:tcPr>
            <w:tcW w:w="7020" w:type="dxa"/>
          </w:tcPr>
          <w:p w14:paraId="3E71D7E1" w14:textId="77777777" w:rsidR="005F037D" w:rsidRPr="00DA3E30" w:rsidRDefault="00855FAC">
            <w:pPr>
              <w:rPr>
                <w:b/>
              </w:rPr>
            </w:pPr>
            <w:r>
              <w:rPr>
                <w:b/>
              </w:rPr>
              <w:pict w14:anchorId="5FE95F50">
                <v:rect id="_x0000_i1026" style="width:0;height:1.5pt" o:hrstd="t" o:hr="t" fillcolor="#aaa" stroked="f"/>
              </w:pict>
            </w:r>
          </w:p>
        </w:tc>
      </w:tr>
      <w:tr w:rsidR="005F037D" w14:paraId="77DEFBEC" w14:textId="77777777" w:rsidTr="00E309C2">
        <w:trPr>
          <w:gridAfter w:val="1"/>
          <w:wAfter w:w="1530" w:type="dxa"/>
          <w:cantSplit/>
          <w:trHeight w:val="760"/>
        </w:trPr>
        <w:tc>
          <w:tcPr>
            <w:tcW w:w="990" w:type="dxa"/>
            <w:vMerge/>
            <w:vAlign w:val="bottom"/>
          </w:tcPr>
          <w:p w14:paraId="5EC7D16C" w14:textId="77777777" w:rsidR="005F037D" w:rsidRPr="00DA3E30" w:rsidRDefault="005F037D">
            <w:pPr>
              <w:spacing w:line="400" w:lineRule="exact"/>
              <w:rPr>
                <w:rFonts w:ascii="Arial" w:hAnsi="Arial"/>
                <w:b/>
                <w:color w:val="000000"/>
              </w:rPr>
            </w:pPr>
          </w:p>
        </w:tc>
        <w:tc>
          <w:tcPr>
            <w:tcW w:w="7020" w:type="dxa"/>
          </w:tcPr>
          <w:p w14:paraId="32B9FFAA" w14:textId="77777777" w:rsidR="005F037D" w:rsidRDefault="00DA3E30" w:rsidP="00EB1F6F">
            <w:pPr>
              <w:pStyle w:val="arial9"/>
              <w:rPr>
                <w:rFonts w:ascii="Times New Roman" w:hAnsi="Times New Roman"/>
                <w:b/>
                <w:sz w:val="20"/>
                <w:szCs w:val="20"/>
              </w:rPr>
            </w:pPr>
            <w:r w:rsidRPr="00DA3E30">
              <w:rPr>
                <w:rFonts w:ascii="Times New Roman" w:hAnsi="Times New Roman"/>
                <w:b/>
                <w:sz w:val="20"/>
                <w:szCs w:val="20"/>
              </w:rPr>
              <w:t>This report is submitted pursuant to Chapter 71 of the Acts of 2009 which amended G.L. c.71, § 91</w:t>
            </w:r>
            <w:r>
              <w:rPr>
                <w:rFonts w:ascii="Times New Roman" w:hAnsi="Times New Roman"/>
                <w:b/>
                <w:sz w:val="20"/>
                <w:szCs w:val="20"/>
              </w:rPr>
              <w:t>.</w:t>
            </w:r>
          </w:p>
          <w:p w14:paraId="2491F806" w14:textId="77777777" w:rsidR="00DA3E30" w:rsidRPr="00DA3E30" w:rsidRDefault="00DA3E30" w:rsidP="00EB1F6F">
            <w:pPr>
              <w:pStyle w:val="arial9"/>
              <w:rPr>
                <w:rFonts w:ascii="Times New Roman" w:hAnsi="Times New Roman"/>
                <w:b/>
                <w:sz w:val="20"/>
                <w:szCs w:val="20"/>
              </w:rPr>
            </w:pPr>
          </w:p>
          <w:p w14:paraId="0EE4BACD" w14:textId="77777777" w:rsidR="00D15AE4" w:rsidRPr="00DA3E30" w:rsidRDefault="00C61D3B" w:rsidP="00EB1F6F">
            <w:pPr>
              <w:pStyle w:val="arial9"/>
              <w:rPr>
                <w:rFonts w:ascii="Times New Roman" w:hAnsi="Times New Roman"/>
                <w:b/>
                <w:sz w:val="20"/>
                <w:szCs w:val="20"/>
              </w:rPr>
            </w:pPr>
            <w:r>
              <w:rPr>
                <w:rFonts w:ascii="Times New Roman" w:hAnsi="Times New Roman"/>
                <w:b/>
                <w:sz w:val="20"/>
                <w:szCs w:val="20"/>
              </w:rPr>
              <w:t>May</w:t>
            </w:r>
            <w:r w:rsidRPr="00DA3E30">
              <w:rPr>
                <w:rFonts w:ascii="Times New Roman" w:hAnsi="Times New Roman"/>
                <w:b/>
                <w:sz w:val="20"/>
                <w:szCs w:val="20"/>
              </w:rPr>
              <w:t xml:space="preserve"> </w:t>
            </w:r>
            <w:r w:rsidR="00D15AE4" w:rsidRPr="00DA3E30">
              <w:rPr>
                <w:rFonts w:ascii="Times New Roman" w:hAnsi="Times New Roman"/>
                <w:b/>
                <w:sz w:val="20"/>
                <w:szCs w:val="20"/>
              </w:rPr>
              <w:t>2019</w:t>
            </w:r>
          </w:p>
        </w:tc>
      </w:tr>
      <w:tr w:rsidR="005F037D" w14:paraId="25619F23" w14:textId="77777777" w:rsidTr="00EF76E3">
        <w:trPr>
          <w:gridAfter w:val="1"/>
          <w:wAfter w:w="1530" w:type="dxa"/>
          <w:cantSplit/>
          <w:trHeight w:val="5004"/>
        </w:trPr>
        <w:tc>
          <w:tcPr>
            <w:tcW w:w="990" w:type="dxa"/>
            <w:vMerge/>
            <w:vAlign w:val="bottom"/>
          </w:tcPr>
          <w:p w14:paraId="40738871" w14:textId="77777777" w:rsidR="005F037D" w:rsidRDefault="005F037D">
            <w:pPr>
              <w:spacing w:line="400" w:lineRule="exact"/>
              <w:rPr>
                <w:rFonts w:ascii="Arial" w:hAnsi="Arial"/>
                <w:color w:val="000000"/>
              </w:rPr>
            </w:pPr>
          </w:p>
        </w:tc>
        <w:tc>
          <w:tcPr>
            <w:tcW w:w="7020" w:type="dxa"/>
            <w:vAlign w:val="bottom"/>
          </w:tcPr>
          <w:p w14:paraId="2B462CB2" w14:textId="77777777" w:rsidR="00F056A5" w:rsidRDefault="00F056A5" w:rsidP="004E0CA6">
            <w:pPr>
              <w:pStyle w:val="AgencyTitle"/>
              <w:rPr>
                <w:rFonts w:ascii="Times New Roman" w:hAnsi="Times New Roman"/>
                <w:sz w:val="20"/>
                <w:szCs w:val="20"/>
              </w:rPr>
            </w:pPr>
          </w:p>
          <w:p w14:paraId="3E2D73BE" w14:textId="77777777" w:rsidR="00F056A5" w:rsidRDefault="00F056A5" w:rsidP="004E0CA6">
            <w:pPr>
              <w:pStyle w:val="AgencyTitle"/>
              <w:rPr>
                <w:rFonts w:ascii="Times New Roman" w:hAnsi="Times New Roman"/>
                <w:sz w:val="20"/>
                <w:szCs w:val="20"/>
              </w:rPr>
            </w:pPr>
          </w:p>
          <w:p w14:paraId="70BE1A02" w14:textId="77777777" w:rsidR="00F056A5" w:rsidRDefault="00F056A5" w:rsidP="004E0CA6">
            <w:pPr>
              <w:pStyle w:val="AgencyTitle"/>
              <w:rPr>
                <w:rFonts w:ascii="Times New Roman" w:hAnsi="Times New Roman"/>
                <w:sz w:val="20"/>
                <w:szCs w:val="20"/>
              </w:rPr>
            </w:pPr>
          </w:p>
          <w:p w14:paraId="47F8C4B3" w14:textId="77777777" w:rsidR="00F056A5" w:rsidRDefault="00F056A5" w:rsidP="004E0CA6">
            <w:pPr>
              <w:pStyle w:val="AgencyTitle"/>
              <w:rPr>
                <w:rFonts w:ascii="Times New Roman" w:hAnsi="Times New Roman"/>
                <w:sz w:val="20"/>
                <w:szCs w:val="20"/>
              </w:rPr>
            </w:pPr>
          </w:p>
          <w:p w14:paraId="2D9ED82D"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41D80553"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175105DD"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1A5AB86B"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5F09484C" w14:textId="77777777" w:rsidTr="00EF76E3">
        <w:tblPrEx>
          <w:tblCellMar>
            <w:left w:w="108" w:type="dxa"/>
            <w:right w:w="108" w:type="dxa"/>
          </w:tblCellMar>
        </w:tblPrEx>
        <w:trPr>
          <w:trHeight w:val="11034"/>
        </w:trPr>
        <w:tc>
          <w:tcPr>
            <w:tcW w:w="9540" w:type="dxa"/>
            <w:gridSpan w:val="3"/>
          </w:tcPr>
          <w:p w14:paraId="2D22D962" w14:textId="77777777" w:rsidR="00C118B2" w:rsidRPr="00345DE2" w:rsidRDefault="00741DF2" w:rsidP="00E309C2">
            <w:pPr>
              <w:jc w:val="center"/>
            </w:pPr>
            <w:r>
              <w:rPr>
                <w:noProof/>
              </w:rPr>
              <w:lastRenderedPageBreak/>
              <w:drawing>
                <wp:inline distT="0" distB="0" distL="0" distR="0" wp14:anchorId="16FA6704" wp14:editId="1F4ECDF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2CFA4C02" w14:textId="77777777" w:rsidR="00C118B2" w:rsidRPr="00345DE2" w:rsidRDefault="00C118B2" w:rsidP="00E309C2"/>
          <w:p w14:paraId="1942C68A"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31C75F7F"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48A749ED"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54CBEB2E" w14:textId="6950BE57" w:rsidR="007012FA" w:rsidRDefault="007012FA" w:rsidP="00E309C2">
            <w:pPr>
              <w:autoSpaceDE w:val="0"/>
              <w:autoSpaceDN w:val="0"/>
              <w:adjustRightInd w:val="0"/>
              <w:jc w:val="center"/>
              <w:rPr>
                <w:bCs/>
                <w:sz w:val="22"/>
                <w:szCs w:val="22"/>
              </w:rPr>
            </w:pPr>
          </w:p>
          <w:p w14:paraId="2E0A14A3" w14:textId="77777777" w:rsidR="00522BFB" w:rsidRDefault="00522BFB" w:rsidP="00E309C2">
            <w:pPr>
              <w:autoSpaceDE w:val="0"/>
              <w:autoSpaceDN w:val="0"/>
              <w:adjustRightInd w:val="0"/>
              <w:jc w:val="center"/>
              <w:rPr>
                <w:bCs/>
                <w:sz w:val="22"/>
                <w:szCs w:val="22"/>
              </w:rPr>
            </w:pPr>
          </w:p>
          <w:p w14:paraId="53C66B49"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1233AF3A" w14:textId="7E6B7868" w:rsidR="00D16C52" w:rsidRPr="00522BFB" w:rsidRDefault="00D16C52" w:rsidP="00E309C2">
            <w:pPr>
              <w:jc w:val="center"/>
              <w:rPr>
                <w:sz w:val="20"/>
                <w:szCs w:val="20"/>
              </w:rPr>
            </w:pPr>
            <w:r w:rsidRPr="00522BFB">
              <w:rPr>
                <w:sz w:val="20"/>
                <w:szCs w:val="20"/>
              </w:rPr>
              <w:t xml:space="preserve">Ms. Katherine Craven, </w:t>
            </w:r>
            <w:r w:rsidR="00387FE5">
              <w:rPr>
                <w:sz w:val="20"/>
                <w:szCs w:val="20"/>
              </w:rPr>
              <w:t xml:space="preserve">Chair, </w:t>
            </w:r>
            <w:r w:rsidRPr="00522BFB">
              <w:rPr>
                <w:sz w:val="20"/>
                <w:szCs w:val="20"/>
              </w:rPr>
              <w:t>Brookline</w:t>
            </w:r>
          </w:p>
          <w:p w14:paraId="63D60CF9" w14:textId="77777777" w:rsidR="00D16C52" w:rsidRPr="00522BFB" w:rsidRDefault="00D16C52" w:rsidP="00E309C2">
            <w:pPr>
              <w:jc w:val="center"/>
              <w:rPr>
                <w:sz w:val="20"/>
                <w:szCs w:val="20"/>
              </w:rPr>
            </w:pPr>
            <w:r w:rsidRPr="00522BFB">
              <w:rPr>
                <w:sz w:val="20"/>
                <w:szCs w:val="20"/>
              </w:rPr>
              <w:t>Mr. Edward Doherty, Hyde Park</w:t>
            </w:r>
          </w:p>
          <w:p w14:paraId="25BCA28C" w14:textId="0C1FBB67" w:rsidR="00D16C52" w:rsidRDefault="00D16C52" w:rsidP="00E309C2">
            <w:pPr>
              <w:jc w:val="center"/>
              <w:rPr>
                <w:sz w:val="20"/>
                <w:szCs w:val="20"/>
              </w:rPr>
            </w:pPr>
            <w:r w:rsidRPr="00522BFB">
              <w:rPr>
                <w:sz w:val="20"/>
                <w:szCs w:val="20"/>
              </w:rPr>
              <w:t>Ms. Amanda Fernández, Belmont</w:t>
            </w:r>
          </w:p>
          <w:p w14:paraId="38650BE6" w14:textId="0F26A363" w:rsidR="00387FE5" w:rsidRDefault="00387FE5" w:rsidP="00E309C2">
            <w:pPr>
              <w:jc w:val="center"/>
              <w:rPr>
                <w:sz w:val="20"/>
                <w:szCs w:val="20"/>
              </w:rPr>
            </w:pPr>
            <w:r>
              <w:rPr>
                <w:sz w:val="20"/>
                <w:szCs w:val="20"/>
              </w:rPr>
              <w:t>Mr. Matt Hill, Newton</w:t>
            </w:r>
          </w:p>
          <w:p w14:paraId="50B49286" w14:textId="77777777" w:rsidR="007848DF" w:rsidRPr="00522BFB" w:rsidRDefault="007848DF" w:rsidP="00E309C2">
            <w:pPr>
              <w:jc w:val="center"/>
              <w:rPr>
                <w:sz w:val="20"/>
                <w:szCs w:val="20"/>
              </w:rPr>
            </w:pPr>
            <w:r w:rsidRPr="007848DF">
              <w:rPr>
                <w:sz w:val="20"/>
                <w:szCs w:val="20"/>
              </w:rPr>
              <w:t>Ms. Maya Mathews, Student Advisory Council, Newton</w:t>
            </w:r>
          </w:p>
          <w:p w14:paraId="3A660B54" w14:textId="77777777" w:rsidR="00D16C52" w:rsidRPr="00522BFB" w:rsidRDefault="00D16C52" w:rsidP="00E309C2">
            <w:pPr>
              <w:jc w:val="center"/>
              <w:rPr>
                <w:sz w:val="20"/>
                <w:szCs w:val="20"/>
              </w:rPr>
            </w:pPr>
            <w:r w:rsidRPr="00522BFB">
              <w:rPr>
                <w:sz w:val="20"/>
                <w:szCs w:val="20"/>
              </w:rPr>
              <w:t>Ms. Margaret McKenna, Boston</w:t>
            </w:r>
          </w:p>
          <w:p w14:paraId="77CD5786" w14:textId="77777777" w:rsidR="00D16C52" w:rsidRPr="00522BFB" w:rsidRDefault="00D16C52" w:rsidP="00E309C2">
            <w:pPr>
              <w:jc w:val="center"/>
              <w:rPr>
                <w:sz w:val="20"/>
                <w:szCs w:val="20"/>
              </w:rPr>
            </w:pPr>
            <w:r w:rsidRPr="00522BFB">
              <w:rPr>
                <w:sz w:val="20"/>
                <w:szCs w:val="20"/>
              </w:rPr>
              <w:t>Mr. Michael Moriarty, Holyoke</w:t>
            </w:r>
          </w:p>
          <w:p w14:paraId="1BA3B0DC" w14:textId="77777777" w:rsidR="00D16C52" w:rsidRPr="00522BFB" w:rsidRDefault="00D16C52" w:rsidP="00E309C2">
            <w:pPr>
              <w:jc w:val="center"/>
              <w:rPr>
                <w:sz w:val="20"/>
                <w:szCs w:val="20"/>
              </w:rPr>
            </w:pPr>
            <w:r w:rsidRPr="00522BFB">
              <w:rPr>
                <w:sz w:val="20"/>
                <w:szCs w:val="20"/>
              </w:rPr>
              <w:t>Mr. James Morton, Vice Chair, Springfield</w:t>
            </w:r>
          </w:p>
          <w:p w14:paraId="71C4A117" w14:textId="77777777" w:rsidR="00D16C52" w:rsidRPr="00522BFB" w:rsidRDefault="00D16C52" w:rsidP="00E309C2">
            <w:pPr>
              <w:jc w:val="center"/>
              <w:rPr>
                <w:sz w:val="20"/>
                <w:szCs w:val="20"/>
              </w:rPr>
            </w:pPr>
            <w:r w:rsidRPr="00522BFB">
              <w:rPr>
                <w:sz w:val="20"/>
                <w:szCs w:val="20"/>
              </w:rPr>
              <w:t>Mr. James Peyser, Secretary of Education, Milton</w:t>
            </w:r>
          </w:p>
          <w:p w14:paraId="1F64DFE6" w14:textId="77777777" w:rsidR="00D16C52" w:rsidRPr="00522BFB" w:rsidRDefault="00D16C52" w:rsidP="00E309C2">
            <w:pPr>
              <w:jc w:val="center"/>
              <w:rPr>
                <w:sz w:val="20"/>
                <w:szCs w:val="20"/>
              </w:rPr>
            </w:pPr>
            <w:r w:rsidRPr="00522BFB">
              <w:rPr>
                <w:sz w:val="20"/>
                <w:szCs w:val="20"/>
              </w:rPr>
              <w:t>Ms. Mary Ann Stewart, Lexington</w:t>
            </w:r>
          </w:p>
          <w:p w14:paraId="7BEE4DCC" w14:textId="77777777" w:rsidR="00D16C52" w:rsidRPr="00522BFB" w:rsidRDefault="00D16C52" w:rsidP="00E309C2">
            <w:pPr>
              <w:jc w:val="center"/>
              <w:rPr>
                <w:sz w:val="20"/>
                <w:szCs w:val="20"/>
              </w:rPr>
            </w:pPr>
            <w:r w:rsidRPr="00522BFB">
              <w:rPr>
                <w:sz w:val="20"/>
                <w:szCs w:val="20"/>
              </w:rPr>
              <w:t>Dr. Martin West, Newton</w:t>
            </w:r>
          </w:p>
          <w:p w14:paraId="002B83C0" w14:textId="77777777" w:rsidR="00D16C52" w:rsidRPr="00522BFB" w:rsidRDefault="00D16C52" w:rsidP="00E309C2">
            <w:pPr>
              <w:jc w:val="center"/>
              <w:rPr>
                <w:sz w:val="20"/>
                <w:szCs w:val="20"/>
              </w:rPr>
            </w:pPr>
          </w:p>
          <w:p w14:paraId="2069FAF3" w14:textId="77777777" w:rsidR="007E6DA4" w:rsidRPr="007E6DA4" w:rsidRDefault="007E6DA4" w:rsidP="007E6DA4">
            <w:pPr>
              <w:jc w:val="center"/>
              <w:rPr>
                <w:sz w:val="20"/>
                <w:szCs w:val="20"/>
              </w:rPr>
            </w:pPr>
            <w:r w:rsidRPr="007E6DA4">
              <w:rPr>
                <w:sz w:val="20"/>
                <w:szCs w:val="20"/>
              </w:rPr>
              <w:t>Jeffrey C. Riley, Commissioner</w:t>
            </w:r>
          </w:p>
          <w:p w14:paraId="1CCCF77A" w14:textId="77777777" w:rsidR="007E6DA4" w:rsidRPr="007E6DA4" w:rsidRDefault="007E6DA4" w:rsidP="007E6DA4">
            <w:pPr>
              <w:jc w:val="center"/>
              <w:rPr>
                <w:sz w:val="20"/>
                <w:szCs w:val="20"/>
              </w:rPr>
            </w:pPr>
            <w:r w:rsidRPr="007E6DA4">
              <w:rPr>
                <w:sz w:val="20"/>
                <w:szCs w:val="20"/>
              </w:rPr>
              <w:t>Secretary to the Board</w:t>
            </w:r>
          </w:p>
          <w:p w14:paraId="7E3EB1D9" w14:textId="77777777" w:rsidR="00D16C52" w:rsidRPr="00522BFB" w:rsidRDefault="00D16C52" w:rsidP="00E309C2">
            <w:pPr>
              <w:jc w:val="center"/>
              <w:rPr>
                <w:sz w:val="20"/>
                <w:szCs w:val="20"/>
              </w:rPr>
            </w:pPr>
          </w:p>
          <w:p w14:paraId="4639CA51"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32136243"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2CAD8034"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171C18E5"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2BF3C00A" w14:textId="77777777" w:rsidR="00C118B2" w:rsidRPr="009A5EBB" w:rsidRDefault="00C118B2" w:rsidP="00E309C2">
            <w:pPr>
              <w:rPr>
                <w:sz w:val="18"/>
                <w:szCs w:val="18"/>
              </w:rPr>
            </w:pPr>
          </w:p>
          <w:p w14:paraId="411B17F9" w14:textId="77777777" w:rsidR="00B61B2F" w:rsidRPr="009A5EBB" w:rsidRDefault="00B61B2F" w:rsidP="00E309C2">
            <w:pPr>
              <w:rPr>
                <w:sz w:val="18"/>
                <w:szCs w:val="18"/>
              </w:rPr>
            </w:pPr>
          </w:p>
          <w:p w14:paraId="47738B37"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782514">
              <w:rPr>
                <w:rFonts w:ascii="Times New Roman" w:hAnsi="Times New Roman"/>
                <w:szCs w:val="18"/>
              </w:rPr>
              <w:t>8</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6B09C11"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305FFEE9" w14:textId="77777777" w:rsidR="00C118B2" w:rsidRPr="009A5EBB" w:rsidRDefault="00C118B2" w:rsidP="00E309C2">
            <w:pPr>
              <w:rPr>
                <w:sz w:val="18"/>
                <w:szCs w:val="18"/>
              </w:rPr>
            </w:pPr>
          </w:p>
          <w:p w14:paraId="6DC2F61A"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6B682BE5" w14:textId="77777777" w:rsidR="00C118B2" w:rsidRDefault="00C118B2" w:rsidP="00E309C2">
            <w:pPr>
              <w:rPr>
                <w:sz w:val="18"/>
                <w:szCs w:val="18"/>
              </w:rPr>
            </w:pPr>
          </w:p>
          <w:p w14:paraId="1668D220" w14:textId="77777777" w:rsidR="00522BFB" w:rsidRDefault="00522BFB" w:rsidP="00E309C2">
            <w:pPr>
              <w:rPr>
                <w:sz w:val="18"/>
                <w:szCs w:val="18"/>
              </w:rPr>
            </w:pPr>
          </w:p>
          <w:p w14:paraId="4E51D8A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4F2A138"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5B1FAD8B"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6951A348"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7BF1EFAC" w14:textId="77777777" w:rsidR="00C118B2" w:rsidRDefault="00741DF2" w:rsidP="00E309C2">
            <w:pPr>
              <w:jc w:val="center"/>
              <w:rPr>
                <w:sz w:val="18"/>
              </w:rPr>
            </w:pPr>
            <w:r>
              <w:rPr>
                <w:noProof/>
              </w:rPr>
              <w:drawing>
                <wp:inline distT="0" distB="0" distL="0" distR="0" wp14:anchorId="2D40111D" wp14:editId="0DDD4899">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p w14:paraId="0B84969E" w14:textId="77777777" w:rsidR="00F056A5" w:rsidRDefault="00F056A5" w:rsidP="00E309C2">
            <w:pPr>
              <w:jc w:val="center"/>
              <w:rPr>
                <w:sz w:val="18"/>
              </w:rPr>
            </w:pPr>
          </w:p>
          <w:p w14:paraId="6939B7A7" w14:textId="77777777" w:rsidR="00F056A5" w:rsidRDefault="00F056A5" w:rsidP="00D2130E">
            <w:pPr>
              <w:rPr>
                <w:sz w:val="18"/>
              </w:rPr>
            </w:pPr>
          </w:p>
          <w:p w14:paraId="66477967" w14:textId="77777777" w:rsidR="00F056A5" w:rsidRDefault="00F056A5" w:rsidP="00E309C2">
            <w:pPr>
              <w:jc w:val="center"/>
              <w:rPr>
                <w:sz w:val="18"/>
              </w:rPr>
            </w:pPr>
          </w:p>
        </w:tc>
      </w:tr>
    </w:tbl>
    <w:p w14:paraId="5F2C862D" w14:textId="77777777" w:rsidR="00D2130E" w:rsidRDefault="00D2130E" w:rsidP="00E309C2">
      <w:pPr>
        <w:ind w:right="720"/>
      </w:pPr>
    </w:p>
    <w:p w14:paraId="6D8B66C3" w14:textId="77777777" w:rsidR="00D2130E" w:rsidRDefault="00D2130E">
      <w:r>
        <w:br w:type="page"/>
      </w:r>
    </w:p>
    <w:p w14:paraId="02276A53" w14:textId="4A244C2E" w:rsidR="004D45D4" w:rsidRDefault="00F056A5" w:rsidP="00E309C2">
      <w:pPr>
        <w:ind w:right="720"/>
      </w:pPr>
      <w:r>
        <w:rPr>
          <w:rFonts w:ascii="Arial" w:hAnsi="Arial" w:cs="Arial"/>
          <w:i/>
          <w:noProof/>
          <w:sz w:val="40"/>
        </w:rPr>
        <w:lastRenderedPageBreak/>
        <w:drawing>
          <wp:anchor distT="0" distB="0" distL="114300" distR="274320" simplePos="0" relativeHeight="251658240" behindDoc="1" locked="0" layoutInCell="0" allowOverlap="1" wp14:anchorId="7D36DEDC" wp14:editId="3D10907D">
            <wp:simplePos x="0" y="0"/>
            <wp:positionH relativeFrom="column">
              <wp:posOffset>-502920</wp:posOffset>
            </wp:positionH>
            <wp:positionV relativeFrom="paragraph">
              <wp:posOffset>-127635</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p>
    <w:p w14:paraId="3D26960B" w14:textId="77777777" w:rsidR="00FA0025" w:rsidRPr="003B1D70" w:rsidRDefault="00FA0025" w:rsidP="007102D5">
      <w:pPr>
        <w:ind w:left="540" w:firstLine="720"/>
        <w:rPr>
          <w:rFonts w:ascii="Arial" w:hAnsi="Arial" w:cs="Arial"/>
        </w:rPr>
      </w:pPr>
      <w:r w:rsidRPr="003B1D70">
        <w:rPr>
          <w:rFonts w:ascii="Arial" w:hAnsi="Arial" w:cs="Arial"/>
          <w:b/>
          <w:i/>
          <w:sz w:val="40"/>
        </w:rPr>
        <w:t>Massachusetts Department of</w:t>
      </w:r>
    </w:p>
    <w:p w14:paraId="0C56FE11"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005D8309" w14:textId="60214ABE" w:rsidR="00FA0025" w:rsidRPr="00FA0025" w:rsidRDefault="00984CE3" w:rsidP="002C2113">
      <w:pPr>
        <w:ind w:left="1260"/>
      </w:pPr>
      <w:r>
        <w:rPr>
          <w:noProof/>
        </w:rPr>
        <mc:AlternateContent>
          <mc:Choice Requires="wps">
            <w:drawing>
              <wp:anchor distT="4294967293" distB="4294967293" distL="114300" distR="114300" simplePos="0" relativeHeight="251657216" behindDoc="0" locked="0" layoutInCell="0" allowOverlap="1" wp14:anchorId="3F83DAE9" wp14:editId="66081BD9">
                <wp:simplePos x="0" y="0"/>
                <wp:positionH relativeFrom="column">
                  <wp:posOffset>792480</wp:posOffset>
                </wp:positionH>
                <wp:positionV relativeFrom="paragraph">
                  <wp:posOffset>64769</wp:posOffset>
                </wp:positionV>
                <wp:extent cx="5219065" cy="0"/>
                <wp:effectExtent l="0" t="0" r="0" b="0"/>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BB34" id="Line 25" o:spid="_x0000_s1026" alt="Horizontal line"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Mg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CNMjICMCAABCBAAADgAAAAAAAAAAAAAAAAAuAgAAZHJzL2Uyb0RvYy54&#10;bWxQSwECLQAUAAYACAAAACEAJw5xnd4AAAAJAQAADwAAAAAAAAAAAAAAAAB9BAAAZHJzL2Rvd25y&#10;ZXYueG1sUEsFBgAAAAAEAAQA8wAAAIgFAAAAAA==&#10;" o:allowincell="f" strokeweight="1pt"/>
            </w:pict>
          </mc:Fallback>
        </mc:AlternateContent>
      </w:r>
      <w:r w:rsidR="00FD4568">
        <w:softHyphen/>
      </w:r>
      <w:r w:rsidR="00FD4568">
        <w:softHyphen/>
      </w:r>
    </w:p>
    <w:p w14:paraId="1E788DDE"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11E74DD4"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71A16726" w14:textId="77777777" w:rsidR="00FA0025" w:rsidRPr="00C974A6" w:rsidRDefault="00FA0025" w:rsidP="00FA0025">
      <w:pPr>
        <w:ind w:left="720"/>
        <w:rPr>
          <w:rFonts w:ascii="Arial" w:hAnsi="Arial"/>
          <w:i/>
          <w:sz w:val="16"/>
          <w:szCs w:val="16"/>
        </w:rPr>
      </w:pPr>
    </w:p>
    <w:p w14:paraId="57FF124B"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headline"/>
      </w:tblPr>
      <w:tblGrid>
        <w:gridCol w:w="2603"/>
        <w:gridCol w:w="6757"/>
      </w:tblGrid>
      <w:tr w:rsidR="00E253B2" w:rsidRPr="00C974A6" w14:paraId="52A0BC04" w14:textId="77777777" w:rsidTr="00942E18">
        <w:trPr>
          <w:tblHeader/>
        </w:trPr>
        <w:tc>
          <w:tcPr>
            <w:tcW w:w="2640" w:type="dxa"/>
          </w:tcPr>
          <w:p w14:paraId="6F6D99E4" w14:textId="77777777" w:rsidR="00E253B2" w:rsidRPr="00FA7DF8" w:rsidRDefault="00E253B2" w:rsidP="00E253B2">
            <w:pPr>
              <w:jc w:val="center"/>
              <w:rPr>
                <w:rFonts w:ascii="Arial" w:hAnsi="Arial" w:cs="Arial"/>
                <w:sz w:val="14"/>
                <w:szCs w:val="14"/>
              </w:rPr>
            </w:pPr>
          </w:p>
          <w:p w14:paraId="5AB5A714"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05D78FCC"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39B43D4E" w14:textId="77777777" w:rsidR="00E253B2" w:rsidRPr="00C974A6" w:rsidRDefault="00E253B2" w:rsidP="00E253B2">
            <w:pPr>
              <w:jc w:val="center"/>
              <w:rPr>
                <w:rFonts w:ascii="Arial" w:hAnsi="Arial"/>
                <w:i/>
                <w:sz w:val="16"/>
                <w:szCs w:val="16"/>
              </w:rPr>
            </w:pPr>
          </w:p>
        </w:tc>
      </w:tr>
    </w:tbl>
    <w:p w14:paraId="7B59C7C1" w14:textId="77777777" w:rsidR="00FA0025" w:rsidRPr="00C974A6" w:rsidRDefault="00FA0025" w:rsidP="00FA0025">
      <w:pPr>
        <w:ind w:left="720"/>
        <w:jc w:val="center"/>
        <w:rPr>
          <w:rFonts w:ascii="Arial" w:hAnsi="Arial"/>
          <w:i/>
          <w:sz w:val="16"/>
          <w:szCs w:val="16"/>
        </w:rPr>
      </w:pPr>
    </w:p>
    <w:p w14:paraId="3E51434E" w14:textId="77777777" w:rsidR="00FA0025" w:rsidRDefault="00FA0025" w:rsidP="00FA0025">
      <w:pPr>
        <w:rPr>
          <w:rFonts w:ascii="Arial" w:hAnsi="Arial"/>
          <w:i/>
          <w:sz w:val="18"/>
        </w:rPr>
      </w:pPr>
    </w:p>
    <w:p w14:paraId="4E8FDB7B" w14:textId="77777777" w:rsidR="002C2113" w:rsidRDefault="002C2113" w:rsidP="00FA0025"/>
    <w:p w14:paraId="7FE3D6D8" w14:textId="77777777" w:rsidR="00AF5C78" w:rsidRDefault="00AF5C78" w:rsidP="0071406E">
      <w:bookmarkStart w:id="0" w:name="_GoBack"/>
      <w:bookmarkEnd w:id="0"/>
    </w:p>
    <w:p w14:paraId="62B62284" w14:textId="2DE597D4" w:rsidR="0071406E" w:rsidRDefault="00387FE5" w:rsidP="0071406E">
      <w:r>
        <w:t>May 6</w:t>
      </w:r>
      <w:r w:rsidR="00AF5C78">
        <w:t>,</w:t>
      </w:r>
      <w:r w:rsidR="0071406E">
        <w:t xml:space="preserve"> 2019</w:t>
      </w:r>
    </w:p>
    <w:p w14:paraId="0056FA26" w14:textId="77777777" w:rsidR="0071406E" w:rsidRDefault="0071406E" w:rsidP="0071406E"/>
    <w:p w14:paraId="23C72F44" w14:textId="77777777" w:rsidR="0071406E" w:rsidRDefault="0071406E" w:rsidP="0071406E">
      <w:r>
        <w:t>Dear Members of the General Court:</w:t>
      </w:r>
    </w:p>
    <w:p w14:paraId="2B6D04AB" w14:textId="77777777" w:rsidR="0071406E" w:rsidRDefault="0071406E" w:rsidP="0071406E"/>
    <w:p w14:paraId="1058E87E" w14:textId="77777777" w:rsidR="0071406E" w:rsidRDefault="0071406E" w:rsidP="0071406E">
      <w:r w:rsidRPr="00B446AB">
        <w:t>I am pleased to submit this Report to the Legislature:</w:t>
      </w:r>
      <w:r w:rsidR="002A74C8">
        <w:t xml:space="preserve"> </w:t>
      </w:r>
      <w:r>
        <w:rPr>
          <w:i/>
        </w:rPr>
        <w:t>Recovery High School</w:t>
      </w:r>
      <w:r w:rsidR="00B87C01">
        <w:rPr>
          <w:i/>
        </w:rPr>
        <w:t xml:space="preserve"> Program</w:t>
      </w:r>
      <w:r>
        <w:rPr>
          <w:i/>
        </w:rPr>
        <w:t>s</w:t>
      </w:r>
      <w:r w:rsidR="00180626">
        <w:rPr>
          <w:i/>
        </w:rPr>
        <w:t xml:space="preserve"> </w:t>
      </w:r>
      <w:r w:rsidR="003464AD">
        <w:rPr>
          <w:i/>
        </w:rPr>
        <w:t>Legislative Report</w:t>
      </w:r>
      <w:r>
        <w:t>.</w:t>
      </w:r>
      <w:r w:rsidR="0061101D">
        <w:t xml:space="preserve">  As required by the statute, the enclosed report includes:</w:t>
      </w:r>
      <w:r w:rsidR="002A74C8">
        <w:t xml:space="preserve"> </w:t>
      </w:r>
      <w:r w:rsidR="00C84155">
        <w:t>“</w:t>
      </w:r>
      <w:r w:rsidR="0061101D">
        <w:t>(a) the number of youths served per high school;</w:t>
      </w:r>
      <w:r w:rsidR="002A74C8">
        <w:t xml:space="preserve"> </w:t>
      </w:r>
      <w:r w:rsidR="0061101D">
        <w:t>(b) outcomes measure</w:t>
      </w:r>
      <w:r w:rsidR="00C84155">
        <w:t>d</w:t>
      </w:r>
      <w:r w:rsidR="0061101D">
        <w:t xml:space="preserve"> for </w:t>
      </w:r>
      <w:r w:rsidR="0092789B">
        <w:t>youths;</w:t>
      </w:r>
      <w:r w:rsidR="002A74C8">
        <w:t xml:space="preserve"> </w:t>
      </w:r>
      <w:r w:rsidR="0061101D">
        <w:t>and (c) recommendations for new recovery high school</w:t>
      </w:r>
      <w:r w:rsidR="006812CC">
        <w:t>s</w:t>
      </w:r>
      <w:r w:rsidR="0061101D">
        <w:t xml:space="preserve"> in the fiscal year </w:t>
      </w:r>
      <w:r w:rsidR="00C84155">
        <w:t xml:space="preserve">2020 and fiscal year </w:t>
      </w:r>
      <w:r w:rsidR="0061101D">
        <w:t>2021.</w:t>
      </w:r>
      <w:r w:rsidR="00C84155">
        <w:t>”</w:t>
      </w:r>
      <w:r w:rsidR="002A74C8">
        <w:t xml:space="preserve"> </w:t>
      </w:r>
      <w:r w:rsidR="0061101D">
        <w:t xml:space="preserve">The </w:t>
      </w:r>
      <w:r w:rsidRPr="00B446AB">
        <w:t xml:space="preserve">data provided in this report was compiled from </w:t>
      </w:r>
      <w:r>
        <w:t xml:space="preserve">information submitted by </w:t>
      </w:r>
      <w:r w:rsidR="0061101D">
        <w:t xml:space="preserve">schools to the </w:t>
      </w:r>
      <w:r>
        <w:t xml:space="preserve">Massachusetts </w:t>
      </w:r>
      <w:r w:rsidRPr="00B446AB">
        <w:t>Department</w:t>
      </w:r>
      <w:r>
        <w:t xml:space="preserve"> of Elementary and Secondary Education (Department)</w:t>
      </w:r>
      <w:r w:rsidR="0061101D">
        <w:t>.</w:t>
      </w:r>
      <w:r w:rsidRPr="00B446AB">
        <w:t xml:space="preserve"> </w:t>
      </w:r>
    </w:p>
    <w:p w14:paraId="3DDBF17B" w14:textId="77777777" w:rsidR="00C84155" w:rsidRDefault="00C84155" w:rsidP="0071406E"/>
    <w:p w14:paraId="39CBCF01" w14:textId="77777777" w:rsidR="00317085" w:rsidRDefault="00317085" w:rsidP="0071406E">
      <w:r>
        <w:t xml:space="preserve">For adolescents in recovery from a substance use disorder, school is a setting </w:t>
      </w:r>
      <w:r w:rsidR="006F3A75">
        <w:t xml:space="preserve">that may result in </w:t>
      </w:r>
      <w:r>
        <w:t>interactions with peer groups who are actively using alcohol or other drugs.</w:t>
      </w:r>
      <w:r w:rsidR="002A74C8">
        <w:t xml:space="preserve"> </w:t>
      </w:r>
      <w:r w:rsidR="00DF6E4D">
        <w:t>Unfortunately,</w:t>
      </w:r>
      <w:r w:rsidR="008E73CB">
        <w:t xml:space="preserve"> after treatment, these</w:t>
      </w:r>
      <w:r w:rsidR="00DF6E4D">
        <w:t xml:space="preserve"> s</w:t>
      </w:r>
      <w:r>
        <w:t xml:space="preserve">tudents may encounter multiple risk factors when returning to the </w:t>
      </w:r>
      <w:r w:rsidR="008E73CB">
        <w:t>setting</w:t>
      </w:r>
      <w:r>
        <w:t xml:space="preserve"> where </w:t>
      </w:r>
      <w:r w:rsidR="00FD4568">
        <w:t>their</w:t>
      </w:r>
      <w:r>
        <w:t xml:space="preserve"> substance use problem</w:t>
      </w:r>
      <w:r w:rsidR="00FD4568">
        <w:t>s</w:t>
      </w:r>
      <w:r>
        <w:t xml:space="preserve"> originated.</w:t>
      </w:r>
      <w:r w:rsidR="007F5622">
        <w:t xml:space="preserve"> </w:t>
      </w:r>
      <w:r>
        <w:t>Recovery High School program</w:t>
      </w:r>
      <w:r w:rsidR="008E73CB">
        <w:t>s</w:t>
      </w:r>
      <w:r>
        <w:t xml:space="preserve"> play an important role </w:t>
      </w:r>
      <w:r w:rsidR="00DF6E4D">
        <w:t xml:space="preserve">for these students by </w:t>
      </w:r>
      <w:r>
        <w:t>offer</w:t>
      </w:r>
      <w:r w:rsidR="00DF6E4D">
        <w:t>ing</w:t>
      </w:r>
      <w:r>
        <w:t xml:space="preserve"> the</w:t>
      </w:r>
      <w:r w:rsidR="00DF6E4D">
        <w:t>m</w:t>
      </w:r>
      <w:r>
        <w:t xml:space="preserve"> another option in which they can feel supported in their recovery while still working towards a high school degree.</w:t>
      </w:r>
    </w:p>
    <w:p w14:paraId="5AD1329A" w14:textId="77777777" w:rsidR="00DF6E4D" w:rsidRDefault="00DF6E4D" w:rsidP="0071406E"/>
    <w:p w14:paraId="268F2499" w14:textId="77777777" w:rsidR="00DF6E4D" w:rsidRDefault="00DF6E4D" w:rsidP="0071406E">
      <w:r>
        <w:t xml:space="preserve">The Department </w:t>
      </w:r>
      <w:r w:rsidR="00FD4568">
        <w:t xml:space="preserve">takes seriously </w:t>
      </w:r>
      <w:r w:rsidR="006F3A75">
        <w:t xml:space="preserve">its </w:t>
      </w:r>
      <w:r>
        <w:t>increased role in supporting the Recovery High School programs</w:t>
      </w:r>
      <w:r w:rsidR="00FD4568">
        <w:t>, and we are grateful for the collaborative partnership efforts from our colleagues in the Department of Public Health</w:t>
      </w:r>
      <w:r>
        <w:t>.</w:t>
      </w:r>
    </w:p>
    <w:p w14:paraId="5C7BD593" w14:textId="77777777" w:rsidR="00317085" w:rsidRDefault="00317085" w:rsidP="0071406E"/>
    <w:p w14:paraId="15BD59FF" w14:textId="77777777" w:rsidR="0071406E" w:rsidRDefault="0071406E" w:rsidP="0071406E">
      <w:r w:rsidRPr="00B446AB">
        <w:t>If you have any questions about this report, please feel free to contact</w:t>
      </w:r>
      <w:r>
        <w:t xml:space="preserve"> </w:t>
      </w:r>
      <w:r w:rsidR="0061101D">
        <w:t>Samantha Graham</w:t>
      </w:r>
      <w:r w:rsidRPr="00B446AB">
        <w:t xml:space="preserve">, </w:t>
      </w:r>
      <w:r w:rsidR="0061101D">
        <w:t>Substance Use Prevention and Intervention Specialist</w:t>
      </w:r>
      <w:r>
        <w:t>, in the Office of Student and Family Support via</w:t>
      </w:r>
      <w:r w:rsidRPr="00B446AB">
        <w:t xml:space="preserve"> </w:t>
      </w:r>
      <w:hyperlink r:id="rId15" w:history="1">
        <w:r w:rsidR="0061101D" w:rsidRPr="00193D4F">
          <w:rPr>
            <w:rStyle w:val="Hyperlink"/>
          </w:rPr>
          <w:t>samantha.graham@doe.mass.edu</w:t>
        </w:r>
      </w:hyperlink>
      <w:r w:rsidRPr="00B446AB">
        <w:t xml:space="preserve"> or 781-338-</w:t>
      </w:r>
      <w:r>
        <w:t>630</w:t>
      </w:r>
      <w:r w:rsidR="0061101D">
        <w:t>5</w:t>
      </w:r>
      <w:r w:rsidRPr="00B446AB">
        <w:t>.</w:t>
      </w:r>
    </w:p>
    <w:p w14:paraId="1C324D34" w14:textId="77777777" w:rsidR="0061101D" w:rsidRDefault="0061101D" w:rsidP="0071406E"/>
    <w:p w14:paraId="50C874E5" w14:textId="77777777" w:rsidR="0071406E" w:rsidRDefault="0071406E" w:rsidP="0071406E">
      <w:r w:rsidRPr="00B446AB">
        <w:t>Sincerely,</w:t>
      </w:r>
    </w:p>
    <w:p w14:paraId="35394717" w14:textId="77777777" w:rsidR="00DF6E4D" w:rsidRDefault="00DF6E4D" w:rsidP="0071406E"/>
    <w:p w14:paraId="71690549" w14:textId="77777777" w:rsidR="00AF5C78" w:rsidRDefault="00AF5C78" w:rsidP="0071406E"/>
    <w:p w14:paraId="64FCA9BE" w14:textId="77777777" w:rsidR="00AF5C78" w:rsidRDefault="00AF5C78" w:rsidP="0071406E"/>
    <w:p w14:paraId="4C08D156" w14:textId="77777777" w:rsidR="0071406E" w:rsidRDefault="0071406E" w:rsidP="0071406E"/>
    <w:p w14:paraId="0953BEFD" w14:textId="77777777" w:rsidR="0071406E" w:rsidRDefault="0071406E" w:rsidP="0071406E">
      <w:r>
        <w:t>Jeffrey C. Riley</w:t>
      </w:r>
    </w:p>
    <w:p w14:paraId="6CD2B537" w14:textId="77777777" w:rsidR="002C2113" w:rsidRDefault="0071406E"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r>
        <w:t>Commissioner of Elementary and Secondary Educatio</w:t>
      </w:r>
      <w:r w:rsidR="006F3A75">
        <w:t>n</w:t>
      </w:r>
    </w:p>
    <w:p w14:paraId="6A7EFFDB" w14:textId="77777777" w:rsidR="00992025" w:rsidRPr="009A5EBB" w:rsidRDefault="00992025" w:rsidP="00992025">
      <w:pPr>
        <w:pStyle w:val="ESETOCHeading"/>
        <w:rPr>
          <w:rFonts w:ascii="Times New Roman" w:hAnsi="Times New Roman"/>
        </w:rPr>
      </w:pPr>
      <w:r w:rsidRPr="009A5EBB">
        <w:rPr>
          <w:rFonts w:ascii="Times New Roman" w:hAnsi="Times New Roman"/>
        </w:rPr>
        <w:lastRenderedPageBreak/>
        <w:t>Table of Contents</w:t>
      </w:r>
    </w:p>
    <w:p w14:paraId="252A5E96" w14:textId="77777777" w:rsidR="00F16516" w:rsidRDefault="00E6793A">
      <w:pPr>
        <w:pStyle w:val="TOC1"/>
        <w:rPr>
          <w:rFonts w:asciiTheme="minorHAnsi" w:eastAsiaTheme="minorEastAsia" w:hAnsiTheme="minorHAnsi" w:cstheme="minorBidi"/>
          <w:b w:val="0"/>
          <w:noProof/>
          <w:sz w:val="22"/>
          <w:szCs w:val="22"/>
        </w:rPr>
      </w:pPr>
      <w:r>
        <w:fldChar w:fldCharType="begin"/>
      </w:r>
      <w:r w:rsidR="00992025">
        <w:instrText xml:space="preserve"> TOC \o "1-3" \h \z \u </w:instrText>
      </w:r>
      <w:r>
        <w:fldChar w:fldCharType="separate"/>
      </w:r>
      <w:hyperlink w:anchor="_Toc7731849" w:history="1">
        <w:r w:rsidR="00F16516" w:rsidRPr="00C366A3">
          <w:rPr>
            <w:rStyle w:val="Hyperlink"/>
            <w:rFonts w:ascii="Times New Roman" w:hAnsi="Times New Roman"/>
            <w:noProof/>
          </w:rPr>
          <w:t>Introduction</w:t>
        </w:r>
        <w:r w:rsidR="00F16516">
          <w:rPr>
            <w:noProof/>
            <w:webHidden/>
          </w:rPr>
          <w:tab/>
        </w:r>
        <w:r w:rsidR="00F16516">
          <w:rPr>
            <w:noProof/>
            <w:webHidden/>
          </w:rPr>
          <w:fldChar w:fldCharType="begin"/>
        </w:r>
        <w:r w:rsidR="00F16516">
          <w:rPr>
            <w:noProof/>
            <w:webHidden/>
          </w:rPr>
          <w:instrText xml:space="preserve"> PAGEREF _Toc7731849 \h </w:instrText>
        </w:r>
        <w:r w:rsidR="00F16516">
          <w:rPr>
            <w:noProof/>
            <w:webHidden/>
          </w:rPr>
        </w:r>
        <w:r w:rsidR="00F16516">
          <w:rPr>
            <w:noProof/>
            <w:webHidden/>
          </w:rPr>
          <w:fldChar w:fldCharType="separate"/>
        </w:r>
        <w:r w:rsidR="00F16516">
          <w:rPr>
            <w:noProof/>
            <w:webHidden/>
          </w:rPr>
          <w:t>1</w:t>
        </w:r>
        <w:r w:rsidR="00F16516">
          <w:rPr>
            <w:noProof/>
            <w:webHidden/>
          </w:rPr>
          <w:fldChar w:fldCharType="end"/>
        </w:r>
      </w:hyperlink>
    </w:p>
    <w:p w14:paraId="657B54CA" w14:textId="77777777" w:rsidR="00F16516" w:rsidRDefault="00855FAC">
      <w:pPr>
        <w:pStyle w:val="TOC1"/>
        <w:rPr>
          <w:rFonts w:asciiTheme="minorHAnsi" w:eastAsiaTheme="minorEastAsia" w:hAnsiTheme="minorHAnsi" w:cstheme="minorBidi"/>
          <w:b w:val="0"/>
          <w:noProof/>
          <w:sz w:val="22"/>
          <w:szCs w:val="22"/>
        </w:rPr>
      </w:pPr>
      <w:hyperlink w:anchor="_Toc7731850" w:history="1">
        <w:r w:rsidR="00F16516" w:rsidRPr="00C366A3">
          <w:rPr>
            <w:rStyle w:val="Hyperlink"/>
            <w:rFonts w:ascii="Times New Roman" w:hAnsi="Times New Roman"/>
            <w:noProof/>
          </w:rPr>
          <w:t>The Number of Youths Served Per High School</w:t>
        </w:r>
        <w:r w:rsidR="00F16516">
          <w:rPr>
            <w:noProof/>
            <w:webHidden/>
          </w:rPr>
          <w:tab/>
        </w:r>
        <w:r w:rsidR="00F16516">
          <w:rPr>
            <w:noProof/>
            <w:webHidden/>
          </w:rPr>
          <w:fldChar w:fldCharType="begin"/>
        </w:r>
        <w:r w:rsidR="00F16516">
          <w:rPr>
            <w:noProof/>
            <w:webHidden/>
          </w:rPr>
          <w:instrText xml:space="preserve"> PAGEREF _Toc7731850 \h </w:instrText>
        </w:r>
        <w:r w:rsidR="00F16516">
          <w:rPr>
            <w:noProof/>
            <w:webHidden/>
          </w:rPr>
        </w:r>
        <w:r w:rsidR="00F16516">
          <w:rPr>
            <w:noProof/>
            <w:webHidden/>
          </w:rPr>
          <w:fldChar w:fldCharType="separate"/>
        </w:r>
        <w:r w:rsidR="00F16516">
          <w:rPr>
            <w:noProof/>
            <w:webHidden/>
          </w:rPr>
          <w:t>2</w:t>
        </w:r>
        <w:r w:rsidR="00F16516">
          <w:rPr>
            <w:noProof/>
            <w:webHidden/>
          </w:rPr>
          <w:fldChar w:fldCharType="end"/>
        </w:r>
      </w:hyperlink>
    </w:p>
    <w:p w14:paraId="4770C158" w14:textId="77777777" w:rsidR="00F16516" w:rsidRDefault="00855FAC">
      <w:pPr>
        <w:pStyle w:val="TOC1"/>
        <w:rPr>
          <w:rFonts w:asciiTheme="minorHAnsi" w:eastAsiaTheme="minorEastAsia" w:hAnsiTheme="minorHAnsi" w:cstheme="minorBidi"/>
          <w:b w:val="0"/>
          <w:noProof/>
          <w:sz w:val="22"/>
          <w:szCs w:val="22"/>
        </w:rPr>
      </w:pPr>
      <w:hyperlink w:anchor="_Toc7731851" w:history="1">
        <w:r w:rsidR="00F16516" w:rsidRPr="00C366A3">
          <w:rPr>
            <w:rStyle w:val="Hyperlink"/>
            <w:rFonts w:ascii="Times New Roman" w:hAnsi="Times New Roman"/>
            <w:noProof/>
          </w:rPr>
          <w:t>Outcomes Measured for Youths</w:t>
        </w:r>
        <w:r w:rsidR="00F16516">
          <w:rPr>
            <w:noProof/>
            <w:webHidden/>
          </w:rPr>
          <w:tab/>
        </w:r>
        <w:r w:rsidR="00F16516">
          <w:rPr>
            <w:noProof/>
            <w:webHidden/>
          </w:rPr>
          <w:fldChar w:fldCharType="begin"/>
        </w:r>
        <w:r w:rsidR="00F16516">
          <w:rPr>
            <w:noProof/>
            <w:webHidden/>
          </w:rPr>
          <w:instrText xml:space="preserve"> PAGEREF _Toc7731851 \h </w:instrText>
        </w:r>
        <w:r w:rsidR="00F16516">
          <w:rPr>
            <w:noProof/>
            <w:webHidden/>
          </w:rPr>
        </w:r>
        <w:r w:rsidR="00F16516">
          <w:rPr>
            <w:noProof/>
            <w:webHidden/>
          </w:rPr>
          <w:fldChar w:fldCharType="separate"/>
        </w:r>
        <w:r w:rsidR="00F16516">
          <w:rPr>
            <w:noProof/>
            <w:webHidden/>
          </w:rPr>
          <w:t>2</w:t>
        </w:r>
        <w:r w:rsidR="00F16516">
          <w:rPr>
            <w:noProof/>
            <w:webHidden/>
          </w:rPr>
          <w:fldChar w:fldCharType="end"/>
        </w:r>
      </w:hyperlink>
    </w:p>
    <w:p w14:paraId="4BB61F64" w14:textId="77777777" w:rsidR="00F16516" w:rsidRDefault="00855FAC">
      <w:pPr>
        <w:pStyle w:val="TOC1"/>
        <w:rPr>
          <w:rFonts w:asciiTheme="minorHAnsi" w:eastAsiaTheme="minorEastAsia" w:hAnsiTheme="minorHAnsi" w:cstheme="minorBidi"/>
          <w:b w:val="0"/>
          <w:noProof/>
          <w:sz w:val="22"/>
          <w:szCs w:val="22"/>
        </w:rPr>
      </w:pPr>
      <w:hyperlink w:anchor="_Toc7731852" w:history="1">
        <w:r w:rsidR="00F16516" w:rsidRPr="00C366A3">
          <w:rPr>
            <w:rStyle w:val="Hyperlink"/>
            <w:rFonts w:ascii="Times New Roman" w:hAnsi="Times New Roman"/>
            <w:noProof/>
          </w:rPr>
          <w:t>Recommendations for New Recovery High Schools in Fiscal Years 2020 and 2021</w:t>
        </w:r>
        <w:r w:rsidR="00F16516">
          <w:rPr>
            <w:noProof/>
            <w:webHidden/>
          </w:rPr>
          <w:tab/>
        </w:r>
        <w:r w:rsidR="00F16516">
          <w:rPr>
            <w:noProof/>
            <w:webHidden/>
          </w:rPr>
          <w:fldChar w:fldCharType="begin"/>
        </w:r>
        <w:r w:rsidR="00F16516">
          <w:rPr>
            <w:noProof/>
            <w:webHidden/>
          </w:rPr>
          <w:instrText xml:space="preserve"> PAGEREF _Toc7731852 \h </w:instrText>
        </w:r>
        <w:r w:rsidR="00F16516">
          <w:rPr>
            <w:noProof/>
            <w:webHidden/>
          </w:rPr>
        </w:r>
        <w:r w:rsidR="00F16516">
          <w:rPr>
            <w:noProof/>
            <w:webHidden/>
          </w:rPr>
          <w:fldChar w:fldCharType="separate"/>
        </w:r>
        <w:r w:rsidR="00F16516">
          <w:rPr>
            <w:noProof/>
            <w:webHidden/>
          </w:rPr>
          <w:t>3</w:t>
        </w:r>
        <w:r w:rsidR="00F16516">
          <w:rPr>
            <w:noProof/>
            <w:webHidden/>
          </w:rPr>
          <w:fldChar w:fldCharType="end"/>
        </w:r>
      </w:hyperlink>
    </w:p>
    <w:p w14:paraId="24DF11AD" w14:textId="77777777" w:rsidR="00B87C01" w:rsidRDefault="00E6793A" w:rsidP="00992025">
      <w:r>
        <w:fldChar w:fldCharType="end"/>
      </w:r>
    </w:p>
    <w:p w14:paraId="1CB5E53A" w14:textId="77777777" w:rsidR="00B87C01" w:rsidRDefault="00B87C01" w:rsidP="00992025"/>
    <w:p w14:paraId="0927B193" w14:textId="77777777" w:rsidR="00992025" w:rsidRDefault="00992025" w:rsidP="00992025">
      <w:pPr>
        <w:sectPr w:rsidR="00992025" w:rsidSect="007102D5">
          <w:pgSz w:w="12240" w:h="15840"/>
          <w:pgMar w:top="1440" w:right="1440" w:bottom="1440" w:left="1440" w:header="720" w:footer="720" w:gutter="0"/>
          <w:cols w:space="720"/>
          <w:docGrid w:linePitch="326"/>
        </w:sectPr>
      </w:pPr>
    </w:p>
    <w:p w14:paraId="52D3FD2A" w14:textId="77777777" w:rsidR="00144CB4" w:rsidRPr="009A5EBB" w:rsidRDefault="00144CB4" w:rsidP="00144CB4">
      <w:pPr>
        <w:pStyle w:val="Heading1"/>
        <w:rPr>
          <w:rFonts w:ascii="Times New Roman" w:hAnsi="Times New Roman" w:cs="Times New Roman"/>
        </w:rPr>
      </w:pPr>
      <w:bookmarkStart w:id="1" w:name="_Toc7731849"/>
      <w:r w:rsidRPr="009A5EBB">
        <w:rPr>
          <w:rFonts w:ascii="Times New Roman" w:hAnsi="Times New Roman" w:cs="Times New Roman"/>
        </w:rPr>
        <w:lastRenderedPageBreak/>
        <w:t>Introduction</w:t>
      </w:r>
      <w:bookmarkEnd w:id="1"/>
    </w:p>
    <w:p w14:paraId="29A406E8" w14:textId="77777777" w:rsidR="00144CB4" w:rsidRDefault="00144CB4" w:rsidP="00144CB4"/>
    <w:p w14:paraId="14A9B32C" w14:textId="77777777" w:rsidR="00D15AE4" w:rsidRDefault="00D15AE4" w:rsidP="00D15AE4">
      <w:r>
        <w:t>The Department of Elementary and Secondary Education</w:t>
      </w:r>
      <w:r w:rsidR="00EF76E3">
        <w:t xml:space="preserve"> (Department)</w:t>
      </w:r>
      <w:r>
        <w:t xml:space="preserve"> respectfully submits the Report to the Legislature: Recovery High Schools Legislative Report pursuant to </w:t>
      </w:r>
      <w:hyperlink r:id="rId16" w:history="1">
        <w:r w:rsidRPr="000167CB">
          <w:rPr>
            <w:rStyle w:val="Hyperlink"/>
          </w:rPr>
          <w:t xml:space="preserve">Chapter </w:t>
        </w:r>
        <w:r w:rsidR="00C9596D" w:rsidRPr="000167CB">
          <w:rPr>
            <w:rStyle w:val="Hyperlink"/>
          </w:rPr>
          <w:t>71</w:t>
        </w:r>
        <w:r w:rsidR="000167CB" w:rsidRPr="000167CB">
          <w:rPr>
            <w:rStyle w:val="Hyperlink"/>
          </w:rPr>
          <w:t xml:space="preserve"> Section 91</w:t>
        </w:r>
      </w:hyperlink>
      <w:r w:rsidR="000167CB">
        <w:t xml:space="preserve"> of Acts 20</w:t>
      </w:r>
      <w:r w:rsidR="00CC1EB2">
        <w:t>09</w:t>
      </w:r>
      <w:r>
        <w:t>, line item</w:t>
      </w:r>
      <w:r w:rsidR="000167CB">
        <w:t xml:space="preserve"> 7061-9607</w:t>
      </w:r>
      <w:r>
        <w:t>:</w:t>
      </w:r>
    </w:p>
    <w:p w14:paraId="4D4B5E00" w14:textId="77777777" w:rsidR="00D15AE4" w:rsidRDefault="00D15AE4" w:rsidP="00D15AE4"/>
    <w:p w14:paraId="5F61F69F" w14:textId="77777777" w:rsidR="00D15AE4" w:rsidRPr="00FB2DE9" w:rsidRDefault="00D15AE4" w:rsidP="00C51486">
      <w:pPr>
        <w:ind w:left="720"/>
        <w:rPr>
          <w:i/>
        </w:rPr>
      </w:pPr>
      <w:r w:rsidRPr="00FB2DE9">
        <w:rPr>
          <w:i/>
        </w:rPr>
        <w:t>For the administrative and programmatic costs of recovery high schools; provided, that the department of elementary and secondary education shall work collaboratively with the bureau of substance addiction services for the successful transition and continued operation of the recovery high schools model; and provided further, that the department of elementary and secondary education shall submit a report no later than April 1, 2019 to the house and senate committees on ways and means on: (a) the number of youths served per high school; (b) outcomes measured for the youths; and (c) recommendations for new recovery high schools in fiscal year 2021.</w:t>
      </w:r>
    </w:p>
    <w:p w14:paraId="4C3F1CAF" w14:textId="77777777" w:rsidR="00D15AE4" w:rsidRPr="00422CB9" w:rsidRDefault="00D15AE4" w:rsidP="00D15AE4">
      <w:pPr>
        <w:spacing w:before="100" w:beforeAutospacing="1" w:after="100" w:afterAutospacing="1"/>
      </w:pPr>
      <w:r w:rsidRPr="00422CB9">
        <w:t>Recovery High Schools</w:t>
      </w:r>
      <w:r w:rsidR="009A25B4" w:rsidRPr="00422CB9">
        <w:t xml:space="preserve"> </w:t>
      </w:r>
      <w:r w:rsidRPr="00422CB9">
        <w:t>are programs that provide a structured plan of recovery for students diagnosed with substance use disorder or dependency and offer the students a comprehensive four-year high school education.</w:t>
      </w:r>
      <w:r w:rsidR="00C8105C" w:rsidRPr="00422CB9">
        <w:t xml:space="preserve"> </w:t>
      </w:r>
      <w:r w:rsidRPr="00422CB9">
        <w:t>Recovery High Schools are not autonomous schools or school districts; they are public programs operated by a school district or an education collaborative</w:t>
      </w:r>
      <w:r w:rsidR="00E4191E" w:rsidRPr="00422CB9">
        <w:t xml:space="preserve">. </w:t>
      </w:r>
      <w:r w:rsidRPr="00422CB9">
        <w:t>Recovery High Schools are educational options for students seeking support for recovery from addiction, combined with a comprehensive high school education.</w:t>
      </w:r>
    </w:p>
    <w:p w14:paraId="2C3C4722" w14:textId="77777777" w:rsidR="00D15AE4" w:rsidRPr="006510EB" w:rsidRDefault="00D15AE4" w:rsidP="00D15AE4">
      <w:pPr>
        <w:spacing w:before="100" w:beforeAutospacing="1" w:after="100" w:afterAutospacing="1"/>
        <w:rPr>
          <w:color w:val="000000"/>
        </w:rPr>
      </w:pPr>
      <w:r w:rsidRPr="00422CB9">
        <w:t>Recovery High Schools were initially established in Massachusetts in 2006 through a grant program administered by the Department of Public Health</w:t>
      </w:r>
      <w:r w:rsidR="00824F1A" w:rsidRPr="00422CB9">
        <w:t xml:space="preserve"> (DPH)</w:t>
      </w:r>
      <w:r w:rsidR="00FD4568" w:rsidRPr="00422CB9">
        <w:t>, funded through state line item 4512-0211</w:t>
      </w:r>
      <w:r w:rsidRPr="00422CB9">
        <w:t xml:space="preserve">. In 2009, </w:t>
      </w:r>
      <w:r w:rsidR="005D480A" w:rsidRPr="00422CB9">
        <w:t>M.</w:t>
      </w:r>
      <w:hyperlink r:id="rId17" w:tooltip="External Link" w:history="1">
        <w:r w:rsidRPr="00422CB9">
          <w:t>G.L. c. 71, § 91</w:t>
        </w:r>
      </w:hyperlink>
      <w:r w:rsidRPr="00422CB9">
        <w:t xml:space="preserve"> was enacted to clarify several issues relating to these programs, including data reporting and fiscal responsibility. Under </w:t>
      </w:r>
      <w:r w:rsidR="005D480A" w:rsidRPr="00422CB9">
        <w:t>M.</w:t>
      </w:r>
      <w:r w:rsidRPr="00422CB9">
        <w:t xml:space="preserve">G.L. c. 71, § 91, Recovery High Schools receive the state average foundation budget per </w:t>
      </w:r>
      <w:r w:rsidRPr="00FB2DE9">
        <w:rPr>
          <w:color w:val="000000"/>
        </w:rPr>
        <w:t>pupil for enrolled students from the students' districts of residence</w:t>
      </w:r>
      <w:r w:rsidR="00E4191E">
        <w:rPr>
          <w:color w:val="000000"/>
        </w:rPr>
        <w:t xml:space="preserve">. </w:t>
      </w:r>
      <w:r w:rsidR="006510EB">
        <w:rPr>
          <w:color w:val="000000"/>
        </w:rPr>
        <w:t>An</w:t>
      </w:r>
      <w:r w:rsidR="006510EB" w:rsidRPr="006510EB">
        <w:rPr>
          <w:color w:val="000000"/>
        </w:rPr>
        <w:t xml:space="preserve"> </w:t>
      </w:r>
      <w:hyperlink r:id="rId18" w:history="1">
        <w:r w:rsidR="006510EB" w:rsidRPr="006510EB">
          <w:rPr>
            <w:rStyle w:val="Hyperlink"/>
          </w:rPr>
          <w:t>advisory</w:t>
        </w:r>
      </w:hyperlink>
      <w:r w:rsidR="006510EB" w:rsidRPr="006510EB">
        <w:rPr>
          <w:color w:val="000000"/>
        </w:rPr>
        <w:t xml:space="preserve"> </w:t>
      </w:r>
      <w:r w:rsidR="006510EB">
        <w:rPr>
          <w:color w:val="000000"/>
        </w:rPr>
        <w:t xml:space="preserve">was set forth </w:t>
      </w:r>
      <w:r w:rsidR="006510EB" w:rsidRPr="006510EB">
        <w:rPr>
          <w:color w:val="000000"/>
        </w:rPr>
        <w:t>to address special education service delivery for students with Individualized Education Programs (IEPs) who are attending or planning to enroll in R</w:t>
      </w:r>
      <w:r w:rsidR="00C61D3B">
        <w:rPr>
          <w:color w:val="000000"/>
        </w:rPr>
        <w:t xml:space="preserve">ecovery </w:t>
      </w:r>
      <w:r w:rsidR="006510EB" w:rsidRPr="006510EB">
        <w:rPr>
          <w:color w:val="000000"/>
        </w:rPr>
        <w:t>H</w:t>
      </w:r>
      <w:r w:rsidR="00C61D3B">
        <w:rPr>
          <w:color w:val="000000"/>
        </w:rPr>
        <w:t xml:space="preserve">igh </w:t>
      </w:r>
      <w:r w:rsidR="006510EB" w:rsidRPr="006510EB">
        <w:rPr>
          <w:color w:val="000000"/>
        </w:rPr>
        <w:t>S</w:t>
      </w:r>
      <w:r w:rsidR="00C61D3B">
        <w:rPr>
          <w:color w:val="000000"/>
        </w:rPr>
        <w:t>chool</w:t>
      </w:r>
      <w:r w:rsidR="006510EB" w:rsidRPr="006510EB">
        <w:rPr>
          <w:color w:val="000000"/>
        </w:rPr>
        <w:t xml:space="preserve"> programs</w:t>
      </w:r>
      <w:r w:rsidR="00E4191E">
        <w:rPr>
          <w:color w:val="000000"/>
        </w:rPr>
        <w:t xml:space="preserve">. </w:t>
      </w:r>
      <w:r w:rsidR="006510EB" w:rsidRPr="006510EB">
        <w:rPr>
          <w:color w:val="000000"/>
        </w:rPr>
        <w:t xml:space="preserve">This guidance </w:t>
      </w:r>
      <w:r w:rsidR="00440650">
        <w:rPr>
          <w:color w:val="000000"/>
        </w:rPr>
        <w:t>supplements</w:t>
      </w:r>
      <w:r w:rsidR="006510EB" w:rsidRPr="006510EB">
        <w:rPr>
          <w:color w:val="000000"/>
        </w:rPr>
        <w:t xml:space="preserve"> the regulations related to RHS programs, </w:t>
      </w:r>
      <w:hyperlink r:id="rId19" w:history="1">
        <w:r w:rsidR="006510EB" w:rsidRPr="006510EB">
          <w:rPr>
            <w:color w:val="0066CC"/>
            <w:u w:val="single"/>
          </w:rPr>
          <w:t>603 CMR 54.00</w:t>
        </w:r>
      </w:hyperlink>
      <w:r w:rsidR="006510EB" w:rsidRPr="006510EB">
        <w:rPr>
          <w:color w:val="000000"/>
        </w:rPr>
        <w:t>, which were adopted by the Board of Elementary and Secondary Education in February 2017.</w:t>
      </w:r>
      <w:r w:rsidR="003562C5" w:rsidRPr="006510EB">
        <w:rPr>
          <w:color w:val="000000"/>
        </w:rPr>
        <w:t xml:space="preserve"> </w:t>
      </w:r>
    </w:p>
    <w:p w14:paraId="1F81A9DD" w14:textId="77777777" w:rsidR="00D15AE4" w:rsidRPr="00422CB9" w:rsidRDefault="00D15AE4" w:rsidP="00D15AE4">
      <w:pPr>
        <w:spacing w:before="100" w:beforeAutospacing="1" w:after="100" w:afterAutospacing="1"/>
      </w:pPr>
      <w:r>
        <w:rPr>
          <w:color w:val="000000"/>
        </w:rPr>
        <w:t xml:space="preserve">In July 2018, </w:t>
      </w:r>
      <w:r w:rsidR="00FA1FF7">
        <w:rPr>
          <w:color w:val="000000"/>
        </w:rPr>
        <w:t xml:space="preserve">oversight </w:t>
      </w:r>
      <w:r w:rsidR="005D480A">
        <w:rPr>
          <w:color w:val="000000"/>
        </w:rPr>
        <w:t xml:space="preserve">for </w:t>
      </w:r>
      <w:r w:rsidR="00FA1FF7">
        <w:rPr>
          <w:color w:val="000000"/>
        </w:rPr>
        <w:t xml:space="preserve">the Recovery High Schools </w:t>
      </w:r>
      <w:r w:rsidR="00FD4568">
        <w:rPr>
          <w:color w:val="000000"/>
        </w:rPr>
        <w:t>was transferred</w:t>
      </w:r>
      <w:r w:rsidR="001F34EA">
        <w:rPr>
          <w:color w:val="000000"/>
        </w:rPr>
        <w:t xml:space="preserve"> from DPH </w:t>
      </w:r>
      <w:r w:rsidR="00FA1FF7">
        <w:rPr>
          <w:color w:val="000000"/>
        </w:rPr>
        <w:t>to the Department</w:t>
      </w:r>
      <w:r w:rsidR="00FD4568">
        <w:rPr>
          <w:color w:val="000000"/>
        </w:rPr>
        <w:t xml:space="preserve">, as directed by the Governor and </w:t>
      </w:r>
      <w:r w:rsidR="006F3A75">
        <w:rPr>
          <w:color w:val="000000"/>
        </w:rPr>
        <w:t>L</w:t>
      </w:r>
      <w:r w:rsidR="00FD4568">
        <w:rPr>
          <w:color w:val="000000"/>
        </w:rPr>
        <w:t xml:space="preserve">egislature through </w:t>
      </w:r>
      <w:r w:rsidR="001F34EA">
        <w:rPr>
          <w:color w:val="000000"/>
        </w:rPr>
        <w:t xml:space="preserve">the </w:t>
      </w:r>
      <w:r w:rsidR="00FD4568">
        <w:rPr>
          <w:color w:val="000000"/>
        </w:rPr>
        <w:t xml:space="preserve">2019 state budget line item </w:t>
      </w:r>
      <w:hyperlink r:id="rId20" w:history="1">
        <w:r w:rsidR="00FD4568" w:rsidRPr="00FD4568">
          <w:rPr>
            <w:rStyle w:val="Hyperlink"/>
          </w:rPr>
          <w:t>7061-9607</w:t>
        </w:r>
      </w:hyperlink>
      <w:r w:rsidR="00FA1FF7">
        <w:rPr>
          <w:color w:val="000000"/>
        </w:rPr>
        <w:t>.</w:t>
      </w:r>
      <w:r w:rsidR="001D00A8">
        <w:rPr>
          <w:color w:val="000000"/>
        </w:rPr>
        <w:t xml:space="preserve"> </w:t>
      </w:r>
      <w:r w:rsidR="00EF76E3" w:rsidRPr="00422CB9">
        <w:t xml:space="preserve">The </w:t>
      </w:r>
      <w:r w:rsidR="001D00A8" w:rsidRPr="00422CB9">
        <w:t>D</w:t>
      </w:r>
      <w:r w:rsidR="00EF76E3" w:rsidRPr="00422CB9">
        <w:t>epartment</w:t>
      </w:r>
      <w:r w:rsidR="001D00A8" w:rsidRPr="00422CB9">
        <w:t xml:space="preserve"> </w:t>
      </w:r>
      <w:r w:rsidR="005D480A" w:rsidRPr="00422CB9">
        <w:t>works closely</w:t>
      </w:r>
      <w:r w:rsidR="001D00A8" w:rsidRPr="00422CB9">
        <w:t xml:space="preserve"> with DPH to </w:t>
      </w:r>
      <w:r w:rsidR="00A848C3" w:rsidRPr="00422CB9">
        <w:t>ensure the</w:t>
      </w:r>
      <w:r w:rsidR="005D480A" w:rsidRPr="00422CB9">
        <w:t xml:space="preserve"> shift in </w:t>
      </w:r>
      <w:r w:rsidR="001D00A8" w:rsidRPr="00422CB9">
        <w:t>transition of contract management and programmatic oversight.</w:t>
      </w:r>
    </w:p>
    <w:p w14:paraId="4C5E33D7" w14:textId="77777777" w:rsidR="00D15AE4" w:rsidRPr="00422CB9" w:rsidRDefault="00D15AE4" w:rsidP="00D15AE4">
      <w:pPr>
        <w:spacing w:before="100" w:beforeAutospacing="1" w:after="100" w:afterAutospacing="1"/>
      </w:pPr>
      <w:r w:rsidRPr="00422CB9">
        <w:t>There are currently five Recovery High Schools in Massachusetts:</w:t>
      </w:r>
    </w:p>
    <w:p w14:paraId="54F78D8E" w14:textId="77777777" w:rsidR="00D15AE4" w:rsidRPr="00422CB9" w:rsidRDefault="00D15AE4" w:rsidP="00D15AE4">
      <w:pPr>
        <w:numPr>
          <w:ilvl w:val="0"/>
          <w:numId w:val="49"/>
        </w:numPr>
        <w:spacing w:before="100" w:beforeAutospacing="1" w:after="100" w:afterAutospacing="1"/>
      </w:pPr>
      <w:r w:rsidRPr="00422CB9">
        <w:t>William J. Ostiguy High School opened in September 2006 in downtown Boston and is operated in partnership with the Boston Public Schools.</w:t>
      </w:r>
    </w:p>
    <w:p w14:paraId="37FE613F" w14:textId="77777777" w:rsidR="00D15AE4" w:rsidRPr="00422CB9" w:rsidRDefault="00D15AE4" w:rsidP="00D15AE4">
      <w:pPr>
        <w:numPr>
          <w:ilvl w:val="0"/>
          <w:numId w:val="49"/>
        </w:numPr>
        <w:spacing w:before="100" w:beforeAutospacing="1" w:after="100" w:afterAutospacing="1"/>
      </w:pPr>
      <w:r w:rsidRPr="00422CB9">
        <w:t>Northshore Recovery High School opened in September 2007 in Beverly and is operated by Northshore Education Consortium.</w:t>
      </w:r>
    </w:p>
    <w:p w14:paraId="34E56D80" w14:textId="77777777" w:rsidR="00D15AE4" w:rsidRPr="00FB2DE9" w:rsidRDefault="00D15AE4" w:rsidP="00D15AE4">
      <w:pPr>
        <w:numPr>
          <w:ilvl w:val="0"/>
          <w:numId w:val="49"/>
        </w:numPr>
        <w:spacing w:before="100" w:beforeAutospacing="1" w:after="100" w:afterAutospacing="1"/>
        <w:rPr>
          <w:color w:val="000000"/>
        </w:rPr>
      </w:pPr>
      <w:r w:rsidRPr="00FB2DE9">
        <w:rPr>
          <w:color w:val="000000"/>
        </w:rPr>
        <w:lastRenderedPageBreak/>
        <w:t>Liberty Preparatory opened in September 2007 in Springfield and is operated in partnership with the Springfield Public Schools.</w:t>
      </w:r>
    </w:p>
    <w:p w14:paraId="60A6A981" w14:textId="77777777" w:rsidR="00D15AE4" w:rsidRPr="00FB2DE9" w:rsidRDefault="00D15AE4" w:rsidP="00D15AE4">
      <w:pPr>
        <w:numPr>
          <w:ilvl w:val="0"/>
          <w:numId w:val="49"/>
        </w:numPr>
        <w:spacing w:before="100" w:beforeAutospacing="1" w:after="100" w:afterAutospacing="1"/>
        <w:rPr>
          <w:color w:val="000000"/>
        </w:rPr>
      </w:pPr>
      <w:r w:rsidRPr="00FB2DE9">
        <w:rPr>
          <w:color w:val="000000"/>
        </w:rPr>
        <w:t>Independence Academy opened in September 2012 in Brockton and is operated in partnership with North River Collaborative.</w:t>
      </w:r>
    </w:p>
    <w:p w14:paraId="74C1AA2E" w14:textId="77777777" w:rsidR="00761850" w:rsidRPr="00D45615" w:rsidRDefault="00D15AE4" w:rsidP="00D45615">
      <w:pPr>
        <w:numPr>
          <w:ilvl w:val="0"/>
          <w:numId w:val="49"/>
        </w:numPr>
        <w:spacing w:before="100" w:beforeAutospacing="1"/>
        <w:rPr>
          <w:color w:val="000000"/>
        </w:rPr>
      </w:pPr>
      <w:r w:rsidRPr="00FB2DE9">
        <w:rPr>
          <w:color w:val="000000"/>
        </w:rPr>
        <w:t>Rockdale Recovery High School opened in September 2015 in Worcester and is operated by Central Massachusetts Special Education Collaborative.</w:t>
      </w:r>
    </w:p>
    <w:p w14:paraId="44AA8B44" w14:textId="77777777" w:rsidR="002F593B" w:rsidRPr="001F34EA" w:rsidRDefault="00670259" w:rsidP="00AD0E93">
      <w:pPr>
        <w:pStyle w:val="Heading1"/>
        <w:rPr>
          <w:rFonts w:ascii="Times New Roman" w:hAnsi="Times New Roman" w:cs="Times New Roman"/>
        </w:rPr>
      </w:pPr>
      <w:bookmarkStart w:id="2" w:name="_Toc7731850"/>
      <w:r>
        <w:rPr>
          <w:rFonts w:ascii="Times New Roman" w:hAnsi="Times New Roman" w:cs="Times New Roman"/>
        </w:rPr>
        <w:t>The Number of Youths Served Per High School</w:t>
      </w:r>
      <w:bookmarkEnd w:id="2"/>
      <w:r w:rsidR="003B349A" w:rsidRPr="00992025">
        <w:rPr>
          <w:rFonts w:ascii="Times New Roman" w:hAnsi="Times New Roman" w:cs="Times New Roman"/>
        </w:rPr>
        <w:t xml:space="preserve"> </w:t>
      </w:r>
      <w:r w:rsidR="002C3E43" w:rsidRPr="00992025">
        <w:rPr>
          <w:rFonts w:ascii="Times New Roman" w:hAnsi="Times New Roman" w:cs="Times New Roman"/>
        </w:rPr>
        <w:t xml:space="preserve"> </w:t>
      </w:r>
    </w:p>
    <w:p w14:paraId="5DAD808D" w14:textId="77777777" w:rsidR="002C3E43" w:rsidRPr="00422CB9" w:rsidRDefault="000975EE" w:rsidP="002C2113">
      <w:bookmarkStart w:id="3" w:name="_Hlk2692771"/>
      <w:r w:rsidRPr="00422CB9">
        <w:t>Enrollment numbers vary among the five R</w:t>
      </w:r>
      <w:r w:rsidR="00B87C01">
        <w:t xml:space="preserve">ecovery </w:t>
      </w:r>
      <w:r w:rsidRPr="00422CB9">
        <w:t>H</w:t>
      </w:r>
      <w:r w:rsidR="00B87C01">
        <w:t xml:space="preserve">igh </w:t>
      </w:r>
      <w:r w:rsidRPr="00422CB9">
        <w:t>S</w:t>
      </w:r>
      <w:r w:rsidR="00B87C01">
        <w:t>chool</w:t>
      </w:r>
      <w:r w:rsidRPr="00422CB9">
        <w:t xml:space="preserve"> programs ranging from a low of 9 students at Liberty Prep</w:t>
      </w:r>
      <w:r w:rsidR="00CF1592">
        <w:t>aratory</w:t>
      </w:r>
      <w:r w:rsidRPr="00422CB9">
        <w:t xml:space="preserve"> </w:t>
      </w:r>
      <w:r w:rsidR="00CF1592">
        <w:t xml:space="preserve">School </w:t>
      </w:r>
      <w:r w:rsidRPr="00422CB9">
        <w:t>and a high of 30 students at Northshore</w:t>
      </w:r>
      <w:r w:rsidR="00CF1592">
        <w:t xml:space="preserve"> Education Consortium</w:t>
      </w:r>
      <w:r w:rsidRPr="00422CB9">
        <w:t xml:space="preserve">. </w:t>
      </w:r>
      <w:bookmarkStart w:id="4" w:name="_Hlk2758095"/>
      <w:r w:rsidR="006F3A75">
        <w:t>W</w:t>
      </w:r>
      <w:r w:rsidRPr="00422CB9">
        <w:t xml:space="preserve">hen comparing 2018 enrollment data at each program with their </w:t>
      </w:r>
      <w:r w:rsidR="00D45615" w:rsidRPr="00422CB9">
        <w:t>two</w:t>
      </w:r>
      <w:r w:rsidRPr="00422CB9">
        <w:t xml:space="preserve"> previous years, the</w:t>
      </w:r>
      <w:r w:rsidR="005B3528" w:rsidRPr="00422CB9">
        <w:t>re is some variability but the trend in enrollment</w:t>
      </w:r>
      <w:r w:rsidRPr="00422CB9">
        <w:t xml:space="preserve"> remain</w:t>
      </w:r>
      <w:r w:rsidR="005B3528" w:rsidRPr="00422CB9">
        <w:t>s</w:t>
      </w:r>
      <w:r w:rsidRPr="00422CB9">
        <w:t xml:space="preserve"> </w:t>
      </w:r>
      <w:r w:rsidR="001B6421" w:rsidRPr="00422CB9">
        <w:t>fairly consistent</w:t>
      </w:r>
      <w:bookmarkEnd w:id="4"/>
      <w:r w:rsidRPr="00422CB9">
        <w:t xml:space="preserve">. </w:t>
      </w:r>
      <w:r w:rsidR="002C3E43" w:rsidRPr="00422CB9">
        <w:t>The following table includes the</w:t>
      </w:r>
      <w:r w:rsidR="000167CB" w:rsidRPr="00422CB9">
        <w:t xml:space="preserve"> number </w:t>
      </w:r>
      <w:r w:rsidR="00CB62F2" w:rsidRPr="00422CB9">
        <w:t xml:space="preserve">of </w:t>
      </w:r>
      <w:r w:rsidR="000167CB" w:rsidRPr="00422CB9">
        <w:t xml:space="preserve">enrolled </w:t>
      </w:r>
      <w:r w:rsidR="002C3E43" w:rsidRPr="00422CB9">
        <w:t>students from</w:t>
      </w:r>
      <w:r w:rsidR="000167CB" w:rsidRPr="00422CB9">
        <w:t xml:space="preserve"> </w:t>
      </w:r>
      <w:r w:rsidR="00685D96" w:rsidRPr="00422CB9">
        <w:t xml:space="preserve">the </w:t>
      </w:r>
      <w:r w:rsidR="000167CB" w:rsidRPr="00422CB9">
        <w:t xml:space="preserve">October 2018 </w:t>
      </w:r>
      <w:r w:rsidR="002747E3" w:rsidRPr="00422CB9">
        <w:t>Student Information Management System (SIMS)</w:t>
      </w:r>
      <w:r w:rsidR="000167CB" w:rsidRPr="00422CB9">
        <w:t xml:space="preserve"> </w:t>
      </w:r>
      <w:r w:rsidR="002C3E43" w:rsidRPr="00422CB9">
        <w:t>for the five recovery high schools across the state.</w:t>
      </w:r>
    </w:p>
    <w:p w14:paraId="64297AAF" w14:textId="77777777" w:rsidR="002C3E43" w:rsidRDefault="002C3E43" w:rsidP="002C2113">
      <w:pPr>
        <w:rPr>
          <w:b/>
          <w:color w:val="333333"/>
          <w:sz w:val="32"/>
          <w:szCs w:val="32"/>
        </w:rPr>
      </w:pPr>
      <w:bookmarkStart w:id="5" w:name="_Hlk1124267"/>
      <w:bookmarkEnd w:id="3"/>
    </w:p>
    <w:tbl>
      <w:tblPr>
        <w:tblStyle w:val="TableGrid"/>
        <w:tblW w:w="0" w:type="auto"/>
        <w:jc w:val="center"/>
        <w:tblLook w:val="04A0" w:firstRow="1" w:lastRow="0" w:firstColumn="1" w:lastColumn="0" w:noHBand="0" w:noVBand="1"/>
        <w:tblDescription w:val="Oct 2018 student enrollment"/>
      </w:tblPr>
      <w:tblGrid>
        <w:gridCol w:w="3865"/>
        <w:gridCol w:w="2790"/>
      </w:tblGrid>
      <w:tr w:rsidR="002F593B" w14:paraId="50D391E6" w14:textId="77777777" w:rsidTr="00942E18">
        <w:trPr>
          <w:tblHeader/>
          <w:jc w:val="center"/>
        </w:trPr>
        <w:tc>
          <w:tcPr>
            <w:tcW w:w="3865" w:type="dxa"/>
            <w:shd w:val="clear" w:color="auto" w:fill="95B3D7" w:themeFill="accent1" w:themeFillTint="99"/>
          </w:tcPr>
          <w:p w14:paraId="26548722" w14:textId="77777777" w:rsidR="002F593B" w:rsidRPr="00D45615" w:rsidRDefault="002F593B" w:rsidP="002F593B">
            <w:pPr>
              <w:jc w:val="center"/>
              <w:rPr>
                <w:rFonts w:ascii="Arial Narrow" w:hAnsi="Arial Narrow"/>
                <w:b/>
                <w:color w:val="333333"/>
                <w:sz w:val="20"/>
                <w:szCs w:val="20"/>
              </w:rPr>
            </w:pPr>
          </w:p>
        </w:tc>
        <w:tc>
          <w:tcPr>
            <w:tcW w:w="2790" w:type="dxa"/>
            <w:shd w:val="clear" w:color="auto" w:fill="95B3D7" w:themeFill="accent1" w:themeFillTint="99"/>
          </w:tcPr>
          <w:p w14:paraId="13D0EAFC" w14:textId="77777777" w:rsidR="002F593B" w:rsidRPr="00D45615" w:rsidRDefault="002F593B" w:rsidP="0092789B">
            <w:pPr>
              <w:jc w:val="center"/>
              <w:rPr>
                <w:rFonts w:ascii="Arial Narrow" w:hAnsi="Arial Narrow"/>
                <w:b/>
                <w:color w:val="333333"/>
                <w:sz w:val="20"/>
                <w:szCs w:val="20"/>
              </w:rPr>
            </w:pPr>
            <w:r w:rsidRPr="00D45615">
              <w:rPr>
                <w:rFonts w:ascii="Arial Narrow" w:hAnsi="Arial Narrow"/>
                <w:b/>
                <w:color w:val="333333"/>
                <w:sz w:val="20"/>
                <w:szCs w:val="20"/>
              </w:rPr>
              <w:t xml:space="preserve">October </w:t>
            </w:r>
            <w:r w:rsidR="005D480A" w:rsidRPr="00D45615">
              <w:rPr>
                <w:rFonts w:ascii="Arial Narrow" w:hAnsi="Arial Narrow"/>
                <w:b/>
                <w:color w:val="333333"/>
                <w:sz w:val="20"/>
                <w:szCs w:val="20"/>
              </w:rPr>
              <w:t xml:space="preserve">2018 </w:t>
            </w:r>
            <w:r w:rsidRPr="00D45615">
              <w:rPr>
                <w:rFonts w:ascii="Arial Narrow" w:hAnsi="Arial Narrow"/>
                <w:b/>
                <w:color w:val="333333"/>
                <w:sz w:val="20"/>
                <w:szCs w:val="20"/>
              </w:rPr>
              <w:t>Enrollment</w:t>
            </w:r>
          </w:p>
        </w:tc>
      </w:tr>
      <w:tr w:rsidR="002F593B" w14:paraId="6FC54C08" w14:textId="77777777" w:rsidTr="00942E18">
        <w:trPr>
          <w:tblHeader/>
          <w:jc w:val="center"/>
        </w:trPr>
        <w:tc>
          <w:tcPr>
            <w:tcW w:w="3865" w:type="dxa"/>
            <w:shd w:val="clear" w:color="auto" w:fill="95B3D7" w:themeFill="accent1" w:themeFillTint="99"/>
          </w:tcPr>
          <w:p w14:paraId="5F9101EA" w14:textId="77777777" w:rsidR="002F593B" w:rsidRPr="00D45615" w:rsidRDefault="002F593B" w:rsidP="0092789B">
            <w:pPr>
              <w:jc w:val="center"/>
              <w:rPr>
                <w:rFonts w:ascii="Arial Narrow" w:hAnsi="Arial Narrow"/>
                <w:b/>
                <w:color w:val="333333"/>
                <w:sz w:val="20"/>
                <w:szCs w:val="20"/>
              </w:rPr>
            </w:pPr>
            <w:r w:rsidRPr="00D45615">
              <w:rPr>
                <w:rFonts w:ascii="Arial Narrow" w:hAnsi="Arial Narrow"/>
                <w:b/>
                <w:color w:val="333333"/>
                <w:sz w:val="20"/>
                <w:szCs w:val="20"/>
              </w:rPr>
              <w:t>Recovery High School</w:t>
            </w:r>
          </w:p>
        </w:tc>
        <w:tc>
          <w:tcPr>
            <w:tcW w:w="2790" w:type="dxa"/>
            <w:shd w:val="clear" w:color="auto" w:fill="95B3D7" w:themeFill="accent1" w:themeFillTint="99"/>
          </w:tcPr>
          <w:p w14:paraId="59035449" w14:textId="77777777" w:rsidR="002F593B" w:rsidRPr="00D45615" w:rsidRDefault="002F593B" w:rsidP="0092789B">
            <w:pPr>
              <w:jc w:val="center"/>
              <w:rPr>
                <w:rFonts w:ascii="Arial Narrow" w:hAnsi="Arial Narrow"/>
                <w:b/>
                <w:color w:val="333333"/>
                <w:sz w:val="20"/>
                <w:szCs w:val="20"/>
              </w:rPr>
            </w:pPr>
            <w:r w:rsidRPr="00D45615">
              <w:rPr>
                <w:rFonts w:ascii="Arial Narrow" w:hAnsi="Arial Narrow"/>
                <w:b/>
                <w:color w:val="333333"/>
                <w:sz w:val="20"/>
                <w:szCs w:val="20"/>
              </w:rPr>
              <w:t>Students</w:t>
            </w:r>
          </w:p>
        </w:tc>
      </w:tr>
      <w:tr w:rsidR="002F593B" w14:paraId="29D8CD0F" w14:textId="77777777" w:rsidTr="00942E18">
        <w:trPr>
          <w:tblHeader/>
          <w:jc w:val="center"/>
        </w:trPr>
        <w:tc>
          <w:tcPr>
            <w:tcW w:w="3865" w:type="dxa"/>
            <w:shd w:val="clear" w:color="auto" w:fill="B8CCE4" w:themeFill="accent1" w:themeFillTint="66"/>
          </w:tcPr>
          <w:p w14:paraId="7F02D519" w14:textId="77777777" w:rsidR="002F593B"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Independence Academy</w:t>
            </w:r>
          </w:p>
        </w:tc>
        <w:tc>
          <w:tcPr>
            <w:tcW w:w="2790" w:type="dxa"/>
            <w:shd w:val="clear" w:color="auto" w:fill="B8CCE4" w:themeFill="accent1" w:themeFillTint="66"/>
          </w:tcPr>
          <w:p w14:paraId="2AB62C93" w14:textId="77777777" w:rsidR="002F593B"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15</w:t>
            </w:r>
          </w:p>
        </w:tc>
      </w:tr>
      <w:tr w:rsidR="002F593B" w14:paraId="0DF85218" w14:textId="77777777" w:rsidTr="00942E18">
        <w:trPr>
          <w:tblHeader/>
          <w:jc w:val="center"/>
        </w:trPr>
        <w:tc>
          <w:tcPr>
            <w:tcW w:w="3865" w:type="dxa"/>
            <w:shd w:val="clear" w:color="auto" w:fill="B8CCE4" w:themeFill="accent1" w:themeFillTint="66"/>
          </w:tcPr>
          <w:p w14:paraId="7D3F8120" w14:textId="77777777" w:rsidR="002F593B"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Liberty Preparatory School</w:t>
            </w:r>
          </w:p>
        </w:tc>
        <w:tc>
          <w:tcPr>
            <w:tcW w:w="2790" w:type="dxa"/>
            <w:shd w:val="clear" w:color="auto" w:fill="B8CCE4" w:themeFill="accent1" w:themeFillTint="66"/>
          </w:tcPr>
          <w:p w14:paraId="0849B02D" w14:textId="77777777" w:rsidR="002F593B"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9</w:t>
            </w:r>
          </w:p>
        </w:tc>
      </w:tr>
      <w:tr w:rsidR="002F593B" w14:paraId="78C33223" w14:textId="77777777" w:rsidTr="00942E18">
        <w:trPr>
          <w:tblHeader/>
          <w:jc w:val="center"/>
        </w:trPr>
        <w:tc>
          <w:tcPr>
            <w:tcW w:w="3865" w:type="dxa"/>
            <w:shd w:val="clear" w:color="auto" w:fill="B8CCE4" w:themeFill="accent1" w:themeFillTint="66"/>
          </w:tcPr>
          <w:p w14:paraId="0A72087C" w14:textId="77777777" w:rsidR="002F593B" w:rsidRPr="00D45615" w:rsidRDefault="002F593B" w:rsidP="0092789B">
            <w:pPr>
              <w:jc w:val="center"/>
              <w:rPr>
                <w:rFonts w:ascii="Arial Narrow" w:hAnsi="Arial Narrow"/>
                <w:color w:val="333333"/>
                <w:sz w:val="20"/>
                <w:szCs w:val="20"/>
              </w:rPr>
            </w:pPr>
            <w:r w:rsidRPr="00D45615">
              <w:rPr>
                <w:rFonts w:ascii="Arial Narrow" w:hAnsi="Arial Narrow"/>
                <w:color w:val="333333"/>
                <w:sz w:val="20"/>
                <w:szCs w:val="20"/>
              </w:rPr>
              <w:t>Northshore Education Consortium</w:t>
            </w:r>
          </w:p>
        </w:tc>
        <w:tc>
          <w:tcPr>
            <w:tcW w:w="2790" w:type="dxa"/>
            <w:shd w:val="clear" w:color="auto" w:fill="B8CCE4" w:themeFill="accent1" w:themeFillTint="66"/>
          </w:tcPr>
          <w:p w14:paraId="53BC4580" w14:textId="77777777" w:rsidR="002F593B" w:rsidRPr="00D45615" w:rsidRDefault="002F593B" w:rsidP="0092789B">
            <w:pPr>
              <w:jc w:val="center"/>
              <w:rPr>
                <w:rFonts w:ascii="Arial Narrow" w:hAnsi="Arial Narrow"/>
                <w:color w:val="333333"/>
                <w:sz w:val="20"/>
                <w:szCs w:val="20"/>
              </w:rPr>
            </w:pPr>
            <w:r w:rsidRPr="00D45615">
              <w:rPr>
                <w:rFonts w:ascii="Arial Narrow" w:hAnsi="Arial Narrow"/>
                <w:color w:val="333333"/>
                <w:sz w:val="20"/>
                <w:szCs w:val="20"/>
              </w:rPr>
              <w:t>30</w:t>
            </w:r>
          </w:p>
        </w:tc>
      </w:tr>
      <w:tr w:rsidR="002F593B" w14:paraId="582C455C" w14:textId="77777777" w:rsidTr="00942E18">
        <w:trPr>
          <w:tblHeader/>
          <w:jc w:val="center"/>
        </w:trPr>
        <w:tc>
          <w:tcPr>
            <w:tcW w:w="3865" w:type="dxa"/>
            <w:shd w:val="clear" w:color="auto" w:fill="B8CCE4" w:themeFill="accent1" w:themeFillTint="66"/>
          </w:tcPr>
          <w:p w14:paraId="73676578" w14:textId="77777777" w:rsidR="002F593B" w:rsidRPr="00D45615" w:rsidRDefault="002F593B" w:rsidP="0092789B">
            <w:pPr>
              <w:jc w:val="center"/>
              <w:rPr>
                <w:rFonts w:ascii="Arial Narrow" w:hAnsi="Arial Narrow"/>
                <w:color w:val="333333"/>
                <w:sz w:val="20"/>
                <w:szCs w:val="20"/>
              </w:rPr>
            </w:pPr>
            <w:r w:rsidRPr="00D45615">
              <w:rPr>
                <w:rFonts w:ascii="Arial Narrow" w:hAnsi="Arial Narrow"/>
                <w:color w:val="333333"/>
                <w:sz w:val="20"/>
                <w:szCs w:val="20"/>
              </w:rPr>
              <w:t>Rockdale Recovery High School</w:t>
            </w:r>
          </w:p>
        </w:tc>
        <w:tc>
          <w:tcPr>
            <w:tcW w:w="2790" w:type="dxa"/>
            <w:shd w:val="clear" w:color="auto" w:fill="B8CCE4" w:themeFill="accent1" w:themeFillTint="66"/>
          </w:tcPr>
          <w:p w14:paraId="60AC9711" w14:textId="77777777" w:rsidR="002F593B" w:rsidRPr="00D45615" w:rsidRDefault="002F593B" w:rsidP="0092789B">
            <w:pPr>
              <w:jc w:val="center"/>
              <w:rPr>
                <w:rFonts w:ascii="Arial Narrow" w:hAnsi="Arial Narrow"/>
                <w:color w:val="333333"/>
                <w:sz w:val="20"/>
                <w:szCs w:val="20"/>
              </w:rPr>
            </w:pPr>
            <w:r w:rsidRPr="00D45615">
              <w:rPr>
                <w:rFonts w:ascii="Arial Narrow" w:hAnsi="Arial Narrow"/>
                <w:color w:val="333333"/>
                <w:sz w:val="20"/>
                <w:szCs w:val="20"/>
              </w:rPr>
              <w:t>11</w:t>
            </w:r>
          </w:p>
        </w:tc>
      </w:tr>
      <w:tr w:rsidR="002F593B" w14:paraId="276BCC71" w14:textId="77777777" w:rsidTr="00942E18">
        <w:trPr>
          <w:tblHeader/>
          <w:jc w:val="center"/>
        </w:trPr>
        <w:tc>
          <w:tcPr>
            <w:tcW w:w="3865" w:type="dxa"/>
            <w:shd w:val="clear" w:color="auto" w:fill="B8CCE4" w:themeFill="accent1" w:themeFillTint="66"/>
          </w:tcPr>
          <w:p w14:paraId="356DC0A0" w14:textId="77777777" w:rsidR="002F593B"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William J. Ostiguy High School</w:t>
            </w:r>
          </w:p>
        </w:tc>
        <w:tc>
          <w:tcPr>
            <w:tcW w:w="2790" w:type="dxa"/>
            <w:shd w:val="clear" w:color="auto" w:fill="B8CCE4" w:themeFill="accent1" w:themeFillTint="66"/>
          </w:tcPr>
          <w:p w14:paraId="4E838AAC" w14:textId="77777777" w:rsidR="002F593B"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20</w:t>
            </w:r>
          </w:p>
        </w:tc>
      </w:tr>
    </w:tbl>
    <w:bookmarkEnd w:id="5"/>
    <w:p w14:paraId="6D8ECA5D" w14:textId="77777777" w:rsidR="00023760" w:rsidRDefault="00AD0E93" w:rsidP="002C2113">
      <w:pPr>
        <w:rPr>
          <w:color w:val="333333"/>
        </w:rPr>
      </w:pPr>
      <w:r w:rsidDel="00AD0E93">
        <w:rPr>
          <w:color w:val="333333"/>
        </w:rPr>
        <w:t xml:space="preserve"> </w:t>
      </w:r>
    </w:p>
    <w:p w14:paraId="19F63E49" w14:textId="77777777" w:rsidR="006C2DF1" w:rsidRPr="00FD7010" w:rsidRDefault="00FD7010" w:rsidP="002C2113">
      <w:pPr>
        <w:rPr>
          <w:color w:val="000000"/>
        </w:rPr>
      </w:pPr>
      <w:r>
        <w:rPr>
          <w:color w:val="000000"/>
        </w:rPr>
        <w:t>The table below includes the October 2018 SIMS by grade level, with 50</w:t>
      </w:r>
      <w:r w:rsidR="00F056A5">
        <w:rPr>
          <w:color w:val="000000"/>
        </w:rPr>
        <w:t xml:space="preserve"> percent</w:t>
      </w:r>
      <w:r>
        <w:rPr>
          <w:color w:val="000000"/>
        </w:rPr>
        <w:t xml:space="preserve"> of the students being identified as 12</w:t>
      </w:r>
      <w:r w:rsidRPr="00FD7010">
        <w:rPr>
          <w:color w:val="000000"/>
          <w:vertAlign w:val="superscript"/>
        </w:rPr>
        <w:t>th</w:t>
      </w:r>
      <w:r>
        <w:rPr>
          <w:color w:val="000000"/>
        </w:rPr>
        <w:t xml:space="preserve"> graders</w:t>
      </w:r>
      <w:r w:rsidR="00082405">
        <w:rPr>
          <w:color w:val="000000"/>
        </w:rPr>
        <w:t>.</w:t>
      </w:r>
    </w:p>
    <w:p w14:paraId="16C02A99" w14:textId="77777777" w:rsidR="001E3B64" w:rsidRDefault="001E3B64" w:rsidP="001E3B64">
      <w:pPr>
        <w:rPr>
          <w:b/>
          <w:color w:val="333333"/>
          <w:sz w:val="32"/>
          <w:szCs w:val="32"/>
        </w:rPr>
      </w:pPr>
    </w:p>
    <w:tbl>
      <w:tblPr>
        <w:tblStyle w:val="TableGrid"/>
        <w:tblW w:w="0" w:type="auto"/>
        <w:jc w:val="center"/>
        <w:tblLook w:val="04A0" w:firstRow="1" w:lastRow="0" w:firstColumn="1" w:lastColumn="0" w:noHBand="0" w:noVBand="1"/>
        <w:tblDescription w:val="Oct 2018 student enrollment by grade"/>
      </w:tblPr>
      <w:tblGrid>
        <w:gridCol w:w="2699"/>
        <w:gridCol w:w="1888"/>
        <w:gridCol w:w="1705"/>
        <w:gridCol w:w="1529"/>
        <w:gridCol w:w="1529"/>
      </w:tblGrid>
      <w:tr w:rsidR="001F34EA" w14:paraId="144CC735" w14:textId="77777777" w:rsidTr="00942E18">
        <w:trPr>
          <w:tblHeader/>
          <w:jc w:val="center"/>
        </w:trPr>
        <w:tc>
          <w:tcPr>
            <w:tcW w:w="2759" w:type="dxa"/>
            <w:shd w:val="clear" w:color="auto" w:fill="95B3D7" w:themeFill="accent1" w:themeFillTint="99"/>
          </w:tcPr>
          <w:p w14:paraId="652EEC46" w14:textId="77777777" w:rsidR="001F34EA" w:rsidRPr="00D45615" w:rsidRDefault="001F34EA" w:rsidP="00EF76E3">
            <w:pPr>
              <w:jc w:val="center"/>
              <w:rPr>
                <w:rFonts w:ascii="Arial Narrow" w:hAnsi="Arial Narrow"/>
                <w:b/>
                <w:color w:val="333333"/>
                <w:sz w:val="20"/>
                <w:szCs w:val="20"/>
              </w:rPr>
            </w:pPr>
          </w:p>
        </w:tc>
        <w:tc>
          <w:tcPr>
            <w:tcW w:w="6817" w:type="dxa"/>
            <w:gridSpan w:val="4"/>
            <w:shd w:val="clear" w:color="auto" w:fill="95B3D7" w:themeFill="accent1" w:themeFillTint="99"/>
          </w:tcPr>
          <w:p w14:paraId="542B1837" w14:textId="77777777" w:rsidR="001F34EA" w:rsidRPr="00D45615" w:rsidRDefault="001F34EA" w:rsidP="001F34EA">
            <w:pPr>
              <w:jc w:val="center"/>
              <w:rPr>
                <w:rFonts w:ascii="Arial Narrow" w:hAnsi="Arial Narrow"/>
                <w:b/>
                <w:color w:val="333333"/>
                <w:sz w:val="20"/>
                <w:szCs w:val="20"/>
              </w:rPr>
            </w:pPr>
            <w:r w:rsidRPr="00D45615">
              <w:rPr>
                <w:rFonts w:ascii="Arial Narrow" w:hAnsi="Arial Narrow"/>
                <w:b/>
                <w:color w:val="333333"/>
                <w:sz w:val="20"/>
                <w:szCs w:val="20"/>
              </w:rPr>
              <w:t>October 2018 Enrollment</w:t>
            </w:r>
          </w:p>
        </w:tc>
      </w:tr>
      <w:tr w:rsidR="00AD0E93" w14:paraId="15F5A1FE" w14:textId="77777777" w:rsidTr="00942E18">
        <w:trPr>
          <w:tblHeader/>
          <w:jc w:val="center"/>
        </w:trPr>
        <w:tc>
          <w:tcPr>
            <w:tcW w:w="2759" w:type="dxa"/>
            <w:shd w:val="clear" w:color="auto" w:fill="95B3D7" w:themeFill="accent1" w:themeFillTint="99"/>
          </w:tcPr>
          <w:p w14:paraId="6082EBD5" w14:textId="77777777" w:rsidR="00AD0E93" w:rsidRPr="00D45615" w:rsidRDefault="00AD0E93" w:rsidP="0092789B">
            <w:pPr>
              <w:jc w:val="center"/>
              <w:rPr>
                <w:rFonts w:ascii="Arial Narrow" w:hAnsi="Arial Narrow"/>
                <w:b/>
                <w:color w:val="333333"/>
                <w:sz w:val="20"/>
                <w:szCs w:val="20"/>
              </w:rPr>
            </w:pPr>
            <w:r w:rsidRPr="00D45615">
              <w:rPr>
                <w:rFonts w:ascii="Arial Narrow" w:hAnsi="Arial Narrow"/>
                <w:b/>
                <w:color w:val="333333"/>
                <w:sz w:val="20"/>
                <w:szCs w:val="20"/>
              </w:rPr>
              <w:t>Recovery High School</w:t>
            </w:r>
          </w:p>
        </w:tc>
        <w:tc>
          <w:tcPr>
            <w:tcW w:w="1939" w:type="dxa"/>
            <w:shd w:val="clear" w:color="auto" w:fill="95B3D7" w:themeFill="accent1" w:themeFillTint="99"/>
          </w:tcPr>
          <w:p w14:paraId="199E3155" w14:textId="77777777" w:rsidR="00AD0E93" w:rsidRPr="00D45615" w:rsidRDefault="00AD0E93" w:rsidP="0092789B">
            <w:pPr>
              <w:jc w:val="center"/>
              <w:rPr>
                <w:rFonts w:ascii="Arial Narrow" w:hAnsi="Arial Narrow"/>
                <w:b/>
                <w:color w:val="333333"/>
                <w:sz w:val="20"/>
                <w:szCs w:val="20"/>
              </w:rPr>
            </w:pPr>
            <w:r w:rsidRPr="00D45615">
              <w:rPr>
                <w:rFonts w:ascii="Arial Narrow" w:hAnsi="Arial Narrow"/>
                <w:b/>
                <w:color w:val="333333"/>
                <w:sz w:val="20"/>
                <w:szCs w:val="20"/>
              </w:rPr>
              <w:t>9</w:t>
            </w:r>
            <w:r w:rsidRPr="00D45615">
              <w:rPr>
                <w:rFonts w:ascii="Arial Narrow" w:hAnsi="Arial Narrow"/>
                <w:b/>
                <w:color w:val="333333"/>
                <w:sz w:val="20"/>
                <w:szCs w:val="20"/>
                <w:vertAlign w:val="superscript"/>
              </w:rPr>
              <w:t>th</w:t>
            </w:r>
            <w:r w:rsidRPr="00D45615">
              <w:rPr>
                <w:rFonts w:ascii="Arial Narrow" w:hAnsi="Arial Narrow"/>
                <w:b/>
                <w:color w:val="333333"/>
                <w:sz w:val="20"/>
                <w:szCs w:val="20"/>
              </w:rPr>
              <w:t xml:space="preserve"> Grade</w:t>
            </w:r>
          </w:p>
        </w:tc>
        <w:tc>
          <w:tcPr>
            <w:tcW w:w="1748" w:type="dxa"/>
            <w:shd w:val="clear" w:color="auto" w:fill="95B3D7" w:themeFill="accent1" w:themeFillTint="99"/>
          </w:tcPr>
          <w:p w14:paraId="64D75362" w14:textId="77777777" w:rsidR="00AD0E93" w:rsidRPr="00D45615" w:rsidRDefault="00AD0E93" w:rsidP="0092789B">
            <w:pPr>
              <w:jc w:val="center"/>
              <w:rPr>
                <w:rFonts w:ascii="Arial Narrow" w:hAnsi="Arial Narrow"/>
                <w:b/>
                <w:color w:val="333333"/>
                <w:sz w:val="20"/>
                <w:szCs w:val="20"/>
              </w:rPr>
            </w:pPr>
            <w:r w:rsidRPr="00D45615">
              <w:rPr>
                <w:rFonts w:ascii="Arial Narrow" w:hAnsi="Arial Narrow"/>
                <w:b/>
                <w:color w:val="333333"/>
                <w:sz w:val="20"/>
                <w:szCs w:val="20"/>
              </w:rPr>
              <w:t>10</w:t>
            </w:r>
            <w:r w:rsidRPr="00D45615">
              <w:rPr>
                <w:rFonts w:ascii="Arial Narrow" w:hAnsi="Arial Narrow"/>
                <w:b/>
                <w:color w:val="333333"/>
                <w:sz w:val="20"/>
                <w:szCs w:val="20"/>
                <w:vertAlign w:val="superscript"/>
              </w:rPr>
              <w:t>th</w:t>
            </w:r>
            <w:r w:rsidRPr="00D45615">
              <w:rPr>
                <w:rFonts w:ascii="Arial Narrow" w:hAnsi="Arial Narrow"/>
                <w:b/>
                <w:color w:val="333333"/>
                <w:sz w:val="20"/>
                <w:szCs w:val="20"/>
              </w:rPr>
              <w:t xml:space="preserve"> Grade</w:t>
            </w:r>
          </w:p>
        </w:tc>
        <w:tc>
          <w:tcPr>
            <w:tcW w:w="1565" w:type="dxa"/>
            <w:shd w:val="clear" w:color="auto" w:fill="95B3D7" w:themeFill="accent1" w:themeFillTint="99"/>
          </w:tcPr>
          <w:p w14:paraId="33A6B7B6" w14:textId="77777777" w:rsidR="00AD0E93" w:rsidRPr="00D45615" w:rsidRDefault="00AD0E93" w:rsidP="0092789B">
            <w:pPr>
              <w:jc w:val="center"/>
              <w:rPr>
                <w:rFonts w:ascii="Arial Narrow" w:hAnsi="Arial Narrow"/>
                <w:b/>
                <w:color w:val="333333"/>
                <w:sz w:val="20"/>
                <w:szCs w:val="20"/>
              </w:rPr>
            </w:pPr>
            <w:r w:rsidRPr="00D45615">
              <w:rPr>
                <w:rFonts w:ascii="Arial Narrow" w:hAnsi="Arial Narrow"/>
                <w:b/>
                <w:color w:val="333333"/>
                <w:sz w:val="20"/>
                <w:szCs w:val="20"/>
              </w:rPr>
              <w:t>11</w:t>
            </w:r>
            <w:r w:rsidRPr="00D45615">
              <w:rPr>
                <w:rFonts w:ascii="Arial Narrow" w:hAnsi="Arial Narrow"/>
                <w:b/>
                <w:color w:val="333333"/>
                <w:sz w:val="20"/>
                <w:szCs w:val="20"/>
                <w:vertAlign w:val="superscript"/>
              </w:rPr>
              <w:t>th</w:t>
            </w:r>
            <w:r w:rsidRPr="00D45615">
              <w:rPr>
                <w:rFonts w:ascii="Arial Narrow" w:hAnsi="Arial Narrow"/>
                <w:b/>
                <w:color w:val="333333"/>
                <w:sz w:val="20"/>
                <w:szCs w:val="20"/>
              </w:rPr>
              <w:t xml:space="preserve"> Grade</w:t>
            </w:r>
          </w:p>
        </w:tc>
        <w:tc>
          <w:tcPr>
            <w:tcW w:w="1565" w:type="dxa"/>
            <w:shd w:val="clear" w:color="auto" w:fill="95B3D7" w:themeFill="accent1" w:themeFillTint="99"/>
          </w:tcPr>
          <w:p w14:paraId="1DE2842E" w14:textId="77777777" w:rsidR="00AD0E93" w:rsidRPr="00D45615" w:rsidRDefault="00AD0E93" w:rsidP="0092789B">
            <w:pPr>
              <w:jc w:val="center"/>
              <w:rPr>
                <w:rFonts w:ascii="Arial Narrow" w:hAnsi="Arial Narrow"/>
                <w:b/>
                <w:color w:val="333333"/>
                <w:sz w:val="20"/>
                <w:szCs w:val="20"/>
              </w:rPr>
            </w:pPr>
            <w:r w:rsidRPr="00D45615">
              <w:rPr>
                <w:rFonts w:ascii="Arial Narrow" w:hAnsi="Arial Narrow"/>
                <w:b/>
                <w:color w:val="333333"/>
                <w:sz w:val="20"/>
                <w:szCs w:val="20"/>
              </w:rPr>
              <w:t>12</w:t>
            </w:r>
            <w:r w:rsidRPr="00D45615">
              <w:rPr>
                <w:rFonts w:ascii="Arial Narrow" w:hAnsi="Arial Narrow"/>
                <w:b/>
                <w:color w:val="333333"/>
                <w:sz w:val="20"/>
                <w:szCs w:val="20"/>
                <w:vertAlign w:val="superscript"/>
              </w:rPr>
              <w:t>th</w:t>
            </w:r>
            <w:r w:rsidRPr="00D45615">
              <w:rPr>
                <w:rFonts w:ascii="Arial Narrow" w:hAnsi="Arial Narrow"/>
                <w:b/>
                <w:color w:val="333333"/>
                <w:sz w:val="20"/>
                <w:szCs w:val="20"/>
              </w:rPr>
              <w:t xml:space="preserve"> Grade</w:t>
            </w:r>
          </w:p>
        </w:tc>
      </w:tr>
      <w:tr w:rsidR="00AD0E93" w14:paraId="08291B9B" w14:textId="77777777" w:rsidTr="00942E18">
        <w:trPr>
          <w:tblHeader/>
          <w:jc w:val="center"/>
        </w:trPr>
        <w:tc>
          <w:tcPr>
            <w:tcW w:w="2759" w:type="dxa"/>
            <w:shd w:val="clear" w:color="auto" w:fill="B8CCE4" w:themeFill="accent1" w:themeFillTint="66"/>
          </w:tcPr>
          <w:p w14:paraId="0B54597B"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Independence Academy</w:t>
            </w:r>
          </w:p>
          <w:p w14:paraId="3DF96CBF" w14:textId="77777777" w:rsidR="000362F3" w:rsidRPr="00D45615" w:rsidRDefault="000362F3" w:rsidP="0092789B">
            <w:pPr>
              <w:jc w:val="center"/>
              <w:rPr>
                <w:rFonts w:ascii="Arial Narrow" w:hAnsi="Arial Narrow"/>
                <w:color w:val="333333"/>
                <w:sz w:val="20"/>
                <w:szCs w:val="20"/>
              </w:rPr>
            </w:pPr>
          </w:p>
        </w:tc>
        <w:tc>
          <w:tcPr>
            <w:tcW w:w="1939" w:type="dxa"/>
            <w:shd w:val="clear" w:color="auto" w:fill="B8CCE4" w:themeFill="accent1" w:themeFillTint="66"/>
          </w:tcPr>
          <w:p w14:paraId="24CDA38B" w14:textId="77777777" w:rsidR="00AD0E93" w:rsidRPr="00D45615" w:rsidRDefault="00AD0E93" w:rsidP="0092789B">
            <w:pPr>
              <w:jc w:val="center"/>
              <w:rPr>
                <w:rFonts w:ascii="Arial Narrow" w:hAnsi="Arial Narrow"/>
                <w:color w:val="333333"/>
                <w:sz w:val="20"/>
                <w:szCs w:val="20"/>
              </w:rPr>
            </w:pPr>
            <w:r w:rsidRPr="00D45615">
              <w:rPr>
                <w:rFonts w:ascii="Arial Narrow" w:hAnsi="Arial Narrow"/>
                <w:color w:val="333333"/>
                <w:sz w:val="20"/>
                <w:szCs w:val="20"/>
              </w:rPr>
              <w:t>0</w:t>
            </w:r>
          </w:p>
        </w:tc>
        <w:tc>
          <w:tcPr>
            <w:tcW w:w="1748" w:type="dxa"/>
            <w:shd w:val="clear" w:color="auto" w:fill="B8CCE4" w:themeFill="accent1" w:themeFillTint="66"/>
          </w:tcPr>
          <w:p w14:paraId="0007E244" w14:textId="77777777" w:rsidR="00AD0E93" w:rsidRPr="00D45615" w:rsidRDefault="006D01F0" w:rsidP="0092789B">
            <w:pPr>
              <w:jc w:val="center"/>
              <w:rPr>
                <w:rFonts w:ascii="Arial Narrow" w:hAnsi="Arial Narrow"/>
                <w:color w:val="333333"/>
                <w:sz w:val="20"/>
                <w:szCs w:val="20"/>
              </w:rPr>
            </w:pPr>
            <w:r w:rsidRPr="00D45615">
              <w:rPr>
                <w:rFonts w:ascii="Arial Narrow" w:hAnsi="Arial Narrow"/>
                <w:color w:val="333333"/>
                <w:sz w:val="20"/>
                <w:szCs w:val="20"/>
              </w:rPr>
              <w:t>3</w:t>
            </w:r>
          </w:p>
        </w:tc>
        <w:tc>
          <w:tcPr>
            <w:tcW w:w="1565" w:type="dxa"/>
            <w:shd w:val="clear" w:color="auto" w:fill="B8CCE4" w:themeFill="accent1" w:themeFillTint="66"/>
          </w:tcPr>
          <w:p w14:paraId="49800B37"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2</w:t>
            </w:r>
          </w:p>
        </w:tc>
        <w:tc>
          <w:tcPr>
            <w:tcW w:w="1565" w:type="dxa"/>
            <w:shd w:val="clear" w:color="auto" w:fill="B8CCE4" w:themeFill="accent1" w:themeFillTint="66"/>
          </w:tcPr>
          <w:p w14:paraId="503B25E1" w14:textId="77777777" w:rsidR="00AD0E93" w:rsidRPr="00D45615" w:rsidRDefault="00AD0E93" w:rsidP="0092789B">
            <w:pPr>
              <w:jc w:val="center"/>
              <w:rPr>
                <w:rFonts w:ascii="Arial Narrow" w:hAnsi="Arial Narrow"/>
                <w:color w:val="333333"/>
                <w:sz w:val="20"/>
                <w:szCs w:val="20"/>
              </w:rPr>
            </w:pPr>
            <w:r w:rsidRPr="00D45615">
              <w:rPr>
                <w:rFonts w:ascii="Arial Narrow" w:hAnsi="Arial Narrow"/>
                <w:color w:val="333333"/>
                <w:sz w:val="20"/>
                <w:szCs w:val="20"/>
              </w:rPr>
              <w:t>1</w:t>
            </w:r>
            <w:r w:rsidR="000362F3" w:rsidRPr="00D45615">
              <w:rPr>
                <w:rFonts w:ascii="Arial Narrow" w:hAnsi="Arial Narrow"/>
                <w:color w:val="333333"/>
                <w:sz w:val="20"/>
                <w:szCs w:val="20"/>
              </w:rPr>
              <w:t>0</w:t>
            </w:r>
          </w:p>
        </w:tc>
      </w:tr>
      <w:tr w:rsidR="00AD0E93" w14:paraId="25E33C4A" w14:textId="77777777" w:rsidTr="00942E18">
        <w:trPr>
          <w:tblHeader/>
          <w:jc w:val="center"/>
        </w:trPr>
        <w:tc>
          <w:tcPr>
            <w:tcW w:w="2759" w:type="dxa"/>
            <w:shd w:val="clear" w:color="auto" w:fill="B8CCE4" w:themeFill="accent1" w:themeFillTint="66"/>
          </w:tcPr>
          <w:p w14:paraId="2C14CE3F"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Liberty Preparatory School</w:t>
            </w:r>
          </w:p>
        </w:tc>
        <w:tc>
          <w:tcPr>
            <w:tcW w:w="1939" w:type="dxa"/>
            <w:shd w:val="clear" w:color="auto" w:fill="B8CCE4" w:themeFill="accent1" w:themeFillTint="66"/>
          </w:tcPr>
          <w:p w14:paraId="3538FE8F"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3</w:t>
            </w:r>
          </w:p>
        </w:tc>
        <w:tc>
          <w:tcPr>
            <w:tcW w:w="1748" w:type="dxa"/>
            <w:shd w:val="clear" w:color="auto" w:fill="B8CCE4" w:themeFill="accent1" w:themeFillTint="66"/>
          </w:tcPr>
          <w:p w14:paraId="668A8C36"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2</w:t>
            </w:r>
          </w:p>
        </w:tc>
        <w:tc>
          <w:tcPr>
            <w:tcW w:w="1565" w:type="dxa"/>
            <w:shd w:val="clear" w:color="auto" w:fill="B8CCE4" w:themeFill="accent1" w:themeFillTint="66"/>
          </w:tcPr>
          <w:p w14:paraId="6C31F2C5"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3</w:t>
            </w:r>
          </w:p>
        </w:tc>
        <w:tc>
          <w:tcPr>
            <w:tcW w:w="1565" w:type="dxa"/>
            <w:shd w:val="clear" w:color="auto" w:fill="B8CCE4" w:themeFill="accent1" w:themeFillTint="66"/>
          </w:tcPr>
          <w:p w14:paraId="533B52C5"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1</w:t>
            </w:r>
          </w:p>
        </w:tc>
      </w:tr>
      <w:tr w:rsidR="00AD0E93" w14:paraId="7C1BBA52" w14:textId="77777777" w:rsidTr="00942E18">
        <w:trPr>
          <w:tblHeader/>
          <w:jc w:val="center"/>
        </w:trPr>
        <w:tc>
          <w:tcPr>
            <w:tcW w:w="2759" w:type="dxa"/>
            <w:shd w:val="clear" w:color="auto" w:fill="B8CCE4" w:themeFill="accent1" w:themeFillTint="66"/>
          </w:tcPr>
          <w:p w14:paraId="198CABDE" w14:textId="77777777" w:rsidR="00AD0E93" w:rsidRPr="00D45615" w:rsidRDefault="00AD0E93" w:rsidP="0092789B">
            <w:pPr>
              <w:jc w:val="center"/>
              <w:rPr>
                <w:rFonts w:ascii="Arial Narrow" w:hAnsi="Arial Narrow"/>
                <w:color w:val="333333"/>
                <w:sz w:val="20"/>
                <w:szCs w:val="20"/>
              </w:rPr>
            </w:pPr>
            <w:r w:rsidRPr="00D45615">
              <w:rPr>
                <w:rFonts w:ascii="Arial Narrow" w:hAnsi="Arial Narrow"/>
                <w:color w:val="333333"/>
                <w:sz w:val="20"/>
                <w:szCs w:val="20"/>
              </w:rPr>
              <w:t>Northshore Education Consortium</w:t>
            </w:r>
          </w:p>
        </w:tc>
        <w:tc>
          <w:tcPr>
            <w:tcW w:w="1939" w:type="dxa"/>
            <w:shd w:val="clear" w:color="auto" w:fill="B8CCE4" w:themeFill="accent1" w:themeFillTint="66"/>
          </w:tcPr>
          <w:p w14:paraId="44AA13FA" w14:textId="77777777" w:rsidR="00AD0E93" w:rsidRPr="00D45615" w:rsidRDefault="00AD0E93" w:rsidP="0092789B">
            <w:pPr>
              <w:jc w:val="center"/>
              <w:rPr>
                <w:rFonts w:ascii="Arial Narrow" w:hAnsi="Arial Narrow"/>
                <w:color w:val="333333"/>
                <w:sz w:val="20"/>
                <w:szCs w:val="20"/>
              </w:rPr>
            </w:pPr>
            <w:r w:rsidRPr="00D45615">
              <w:rPr>
                <w:rFonts w:ascii="Arial Narrow" w:hAnsi="Arial Narrow"/>
                <w:color w:val="333333"/>
                <w:sz w:val="20"/>
                <w:szCs w:val="20"/>
              </w:rPr>
              <w:t>0</w:t>
            </w:r>
          </w:p>
        </w:tc>
        <w:tc>
          <w:tcPr>
            <w:tcW w:w="1748" w:type="dxa"/>
            <w:shd w:val="clear" w:color="auto" w:fill="B8CCE4" w:themeFill="accent1" w:themeFillTint="66"/>
          </w:tcPr>
          <w:p w14:paraId="4BCD3DBA" w14:textId="77777777" w:rsidR="00AD0E93" w:rsidRPr="00D45615" w:rsidRDefault="006D01F0" w:rsidP="0092789B">
            <w:pPr>
              <w:jc w:val="center"/>
              <w:rPr>
                <w:rFonts w:ascii="Arial Narrow" w:hAnsi="Arial Narrow"/>
                <w:color w:val="333333"/>
                <w:sz w:val="20"/>
                <w:szCs w:val="20"/>
              </w:rPr>
            </w:pPr>
            <w:r w:rsidRPr="00D45615">
              <w:rPr>
                <w:rFonts w:ascii="Arial Narrow" w:hAnsi="Arial Narrow"/>
                <w:color w:val="333333"/>
                <w:sz w:val="20"/>
                <w:szCs w:val="20"/>
              </w:rPr>
              <w:t>8</w:t>
            </w:r>
          </w:p>
        </w:tc>
        <w:tc>
          <w:tcPr>
            <w:tcW w:w="1565" w:type="dxa"/>
            <w:shd w:val="clear" w:color="auto" w:fill="B8CCE4" w:themeFill="accent1" w:themeFillTint="66"/>
          </w:tcPr>
          <w:p w14:paraId="1BC5F598" w14:textId="77777777" w:rsidR="00AD0E93" w:rsidRPr="00D45615" w:rsidRDefault="006D01F0" w:rsidP="0092789B">
            <w:pPr>
              <w:jc w:val="center"/>
              <w:rPr>
                <w:rFonts w:ascii="Arial Narrow" w:hAnsi="Arial Narrow"/>
                <w:color w:val="333333"/>
                <w:sz w:val="20"/>
                <w:szCs w:val="20"/>
              </w:rPr>
            </w:pPr>
            <w:r w:rsidRPr="00D45615">
              <w:rPr>
                <w:rFonts w:ascii="Arial Narrow" w:hAnsi="Arial Narrow"/>
                <w:color w:val="333333"/>
                <w:sz w:val="20"/>
                <w:szCs w:val="20"/>
              </w:rPr>
              <w:t>9</w:t>
            </w:r>
          </w:p>
        </w:tc>
        <w:tc>
          <w:tcPr>
            <w:tcW w:w="1565" w:type="dxa"/>
            <w:shd w:val="clear" w:color="auto" w:fill="B8CCE4" w:themeFill="accent1" w:themeFillTint="66"/>
          </w:tcPr>
          <w:p w14:paraId="146B86B6" w14:textId="77777777" w:rsidR="00AD0E93" w:rsidRPr="00D45615" w:rsidRDefault="00AD0E93" w:rsidP="0092789B">
            <w:pPr>
              <w:jc w:val="center"/>
              <w:rPr>
                <w:rFonts w:ascii="Arial Narrow" w:hAnsi="Arial Narrow"/>
                <w:color w:val="333333"/>
                <w:sz w:val="20"/>
                <w:szCs w:val="20"/>
              </w:rPr>
            </w:pPr>
            <w:r w:rsidRPr="00D45615">
              <w:rPr>
                <w:rFonts w:ascii="Arial Narrow" w:hAnsi="Arial Narrow"/>
                <w:color w:val="333333"/>
                <w:sz w:val="20"/>
                <w:szCs w:val="20"/>
              </w:rPr>
              <w:t>1</w:t>
            </w:r>
            <w:r w:rsidR="006D01F0" w:rsidRPr="00D45615">
              <w:rPr>
                <w:rFonts w:ascii="Arial Narrow" w:hAnsi="Arial Narrow"/>
                <w:color w:val="333333"/>
                <w:sz w:val="20"/>
                <w:szCs w:val="20"/>
              </w:rPr>
              <w:t>3</w:t>
            </w:r>
          </w:p>
        </w:tc>
      </w:tr>
      <w:tr w:rsidR="00AD0E93" w14:paraId="26ED8CB5" w14:textId="77777777" w:rsidTr="00942E18">
        <w:trPr>
          <w:tblHeader/>
          <w:jc w:val="center"/>
        </w:trPr>
        <w:tc>
          <w:tcPr>
            <w:tcW w:w="2759" w:type="dxa"/>
            <w:shd w:val="clear" w:color="auto" w:fill="B8CCE4" w:themeFill="accent1" w:themeFillTint="66"/>
          </w:tcPr>
          <w:p w14:paraId="4EC7E38F" w14:textId="77777777" w:rsidR="00AD0E93" w:rsidRPr="00D45615" w:rsidRDefault="00AD0E93" w:rsidP="0092789B">
            <w:pPr>
              <w:jc w:val="center"/>
              <w:rPr>
                <w:rFonts w:ascii="Arial Narrow" w:hAnsi="Arial Narrow"/>
                <w:color w:val="333333"/>
                <w:sz w:val="20"/>
                <w:szCs w:val="20"/>
              </w:rPr>
            </w:pPr>
            <w:r w:rsidRPr="00D45615">
              <w:rPr>
                <w:rFonts w:ascii="Arial Narrow" w:hAnsi="Arial Narrow"/>
                <w:color w:val="333333"/>
                <w:sz w:val="20"/>
                <w:szCs w:val="20"/>
              </w:rPr>
              <w:t>Rockdale Recovery High School</w:t>
            </w:r>
          </w:p>
        </w:tc>
        <w:tc>
          <w:tcPr>
            <w:tcW w:w="1939" w:type="dxa"/>
            <w:shd w:val="clear" w:color="auto" w:fill="B8CCE4" w:themeFill="accent1" w:themeFillTint="66"/>
          </w:tcPr>
          <w:p w14:paraId="6571C3E2" w14:textId="77777777" w:rsidR="00AD0E93" w:rsidRPr="00D45615" w:rsidRDefault="006D01F0" w:rsidP="0092789B">
            <w:pPr>
              <w:jc w:val="center"/>
              <w:rPr>
                <w:rFonts w:ascii="Arial Narrow" w:hAnsi="Arial Narrow"/>
                <w:color w:val="333333"/>
                <w:sz w:val="20"/>
                <w:szCs w:val="20"/>
              </w:rPr>
            </w:pPr>
            <w:r w:rsidRPr="00D45615">
              <w:rPr>
                <w:rFonts w:ascii="Arial Narrow" w:hAnsi="Arial Narrow"/>
                <w:color w:val="333333"/>
                <w:sz w:val="20"/>
                <w:szCs w:val="20"/>
              </w:rPr>
              <w:t>1</w:t>
            </w:r>
          </w:p>
        </w:tc>
        <w:tc>
          <w:tcPr>
            <w:tcW w:w="1748" w:type="dxa"/>
            <w:shd w:val="clear" w:color="auto" w:fill="B8CCE4" w:themeFill="accent1" w:themeFillTint="66"/>
          </w:tcPr>
          <w:p w14:paraId="58749442" w14:textId="77777777" w:rsidR="00AD0E93" w:rsidRPr="00D45615" w:rsidRDefault="006D01F0" w:rsidP="0092789B">
            <w:pPr>
              <w:jc w:val="center"/>
              <w:rPr>
                <w:rFonts w:ascii="Arial Narrow" w:hAnsi="Arial Narrow"/>
                <w:color w:val="333333"/>
                <w:sz w:val="20"/>
                <w:szCs w:val="20"/>
              </w:rPr>
            </w:pPr>
            <w:r w:rsidRPr="00D45615">
              <w:rPr>
                <w:rFonts w:ascii="Arial Narrow" w:hAnsi="Arial Narrow"/>
                <w:color w:val="333333"/>
                <w:sz w:val="20"/>
                <w:szCs w:val="20"/>
              </w:rPr>
              <w:t>0</w:t>
            </w:r>
          </w:p>
        </w:tc>
        <w:tc>
          <w:tcPr>
            <w:tcW w:w="1565" w:type="dxa"/>
            <w:shd w:val="clear" w:color="auto" w:fill="B8CCE4" w:themeFill="accent1" w:themeFillTint="66"/>
          </w:tcPr>
          <w:p w14:paraId="0B689C0B" w14:textId="77777777" w:rsidR="00AD0E93" w:rsidRPr="00D45615" w:rsidRDefault="006D01F0" w:rsidP="0092789B">
            <w:pPr>
              <w:jc w:val="center"/>
              <w:rPr>
                <w:rFonts w:ascii="Arial Narrow" w:hAnsi="Arial Narrow"/>
                <w:color w:val="333333"/>
                <w:sz w:val="20"/>
                <w:szCs w:val="20"/>
              </w:rPr>
            </w:pPr>
            <w:r w:rsidRPr="00D45615">
              <w:rPr>
                <w:rFonts w:ascii="Arial Narrow" w:hAnsi="Arial Narrow"/>
                <w:color w:val="333333"/>
                <w:sz w:val="20"/>
                <w:szCs w:val="20"/>
              </w:rPr>
              <w:t>5</w:t>
            </w:r>
          </w:p>
        </w:tc>
        <w:tc>
          <w:tcPr>
            <w:tcW w:w="1565" w:type="dxa"/>
            <w:shd w:val="clear" w:color="auto" w:fill="B8CCE4" w:themeFill="accent1" w:themeFillTint="66"/>
          </w:tcPr>
          <w:p w14:paraId="47371355" w14:textId="77777777" w:rsidR="00AD0E93" w:rsidRPr="00D45615" w:rsidRDefault="00AD0E93" w:rsidP="0092789B">
            <w:pPr>
              <w:jc w:val="center"/>
              <w:rPr>
                <w:rFonts w:ascii="Arial Narrow" w:hAnsi="Arial Narrow"/>
                <w:color w:val="333333"/>
                <w:sz w:val="20"/>
                <w:szCs w:val="20"/>
              </w:rPr>
            </w:pPr>
            <w:r w:rsidRPr="00D45615">
              <w:rPr>
                <w:rFonts w:ascii="Arial Narrow" w:hAnsi="Arial Narrow"/>
                <w:color w:val="333333"/>
                <w:sz w:val="20"/>
                <w:szCs w:val="20"/>
              </w:rPr>
              <w:t>5</w:t>
            </w:r>
          </w:p>
        </w:tc>
      </w:tr>
      <w:tr w:rsidR="00AD0E93" w14:paraId="466EAA5B" w14:textId="77777777" w:rsidTr="00942E18">
        <w:trPr>
          <w:tblHeader/>
          <w:jc w:val="center"/>
        </w:trPr>
        <w:tc>
          <w:tcPr>
            <w:tcW w:w="2759" w:type="dxa"/>
            <w:shd w:val="clear" w:color="auto" w:fill="B8CCE4" w:themeFill="accent1" w:themeFillTint="66"/>
          </w:tcPr>
          <w:p w14:paraId="023BB3A8"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William J. Ostiguy High School</w:t>
            </w:r>
          </w:p>
        </w:tc>
        <w:tc>
          <w:tcPr>
            <w:tcW w:w="1939" w:type="dxa"/>
            <w:shd w:val="clear" w:color="auto" w:fill="B8CCE4" w:themeFill="accent1" w:themeFillTint="66"/>
          </w:tcPr>
          <w:p w14:paraId="4767D47A"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0</w:t>
            </w:r>
          </w:p>
        </w:tc>
        <w:tc>
          <w:tcPr>
            <w:tcW w:w="1748" w:type="dxa"/>
            <w:shd w:val="clear" w:color="auto" w:fill="B8CCE4" w:themeFill="accent1" w:themeFillTint="66"/>
          </w:tcPr>
          <w:p w14:paraId="754F18BF"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3</w:t>
            </w:r>
          </w:p>
        </w:tc>
        <w:tc>
          <w:tcPr>
            <w:tcW w:w="1565" w:type="dxa"/>
            <w:shd w:val="clear" w:color="auto" w:fill="B8CCE4" w:themeFill="accent1" w:themeFillTint="66"/>
          </w:tcPr>
          <w:p w14:paraId="767552B7"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4</w:t>
            </w:r>
          </w:p>
        </w:tc>
        <w:tc>
          <w:tcPr>
            <w:tcW w:w="1565" w:type="dxa"/>
            <w:shd w:val="clear" w:color="auto" w:fill="B8CCE4" w:themeFill="accent1" w:themeFillTint="66"/>
          </w:tcPr>
          <w:p w14:paraId="0DF33616" w14:textId="77777777" w:rsidR="00AD0E93" w:rsidRPr="00D45615" w:rsidRDefault="000362F3" w:rsidP="0092789B">
            <w:pPr>
              <w:jc w:val="center"/>
              <w:rPr>
                <w:rFonts w:ascii="Arial Narrow" w:hAnsi="Arial Narrow"/>
                <w:color w:val="333333"/>
                <w:sz w:val="20"/>
                <w:szCs w:val="20"/>
              </w:rPr>
            </w:pPr>
            <w:r w:rsidRPr="00D45615">
              <w:rPr>
                <w:rFonts w:ascii="Arial Narrow" w:hAnsi="Arial Narrow"/>
                <w:color w:val="333333"/>
                <w:sz w:val="20"/>
                <w:szCs w:val="20"/>
              </w:rPr>
              <w:t>13</w:t>
            </w:r>
          </w:p>
        </w:tc>
      </w:tr>
    </w:tbl>
    <w:p w14:paraId="1E8A4006" w14:textId="77777777" w:rsidR="001E1051" w:rsidRPr="00263DBB" w:rsidRDefault="00E9266F" w:rsidP="008E73CB">
      <w:pPr>
        <w:pStyle w:val="Heading1"/>
        <w:rPr>
          <w:highlight w:val="yellow"/>
        </w:rPr>
      </w:pPr>
      <w:bookmarkStart w:id="6" w:name="_Toc7731851"/>
      <w:r>
        <w:rPr>
          <w:rFonts w:ascii="Times New Roman" w:hAnsi="Times New Roman" w:cs="Times New Roman"/>
        </w:rPr>
        <w:t>Outcomes Measured for Youth</w:t>
      </w:r>
      <w:r w:rsidR="000975EE">
        <w:rPr>
          <w:rFonts w:ascii="Times New Roman" w:hAnsi="Times New Roman" w:cs="Times New Roman"/>
        </w:rPr>
        <w:t>s</w:t>
      </w:r>
      <w:bookmarkEnd w:id="6"/>
    </w:p>
    <w:p w14:paraId="38C6ED4A" w14:textId="77777777" w:rsidR="00082405" w:rsidRPr="002E0FF9" w:rsidRDefault="00C66E51" w:rsidP="0073281D">
      <w:r w:rsidRPr="00422CB9">
        <w:t xml:space="preserve">Recovery </w:t>
      </w:r>
      <w:r w:rsidR="00EA1B92" w:rsidRPr="00422CB9">
        <w:t>H</w:t>
      </w:r>
      <w:r w:rsidRPr="00422CB9">
        <w:t xml:space="preserve">igh </w:t>
      </w:r>
      <w:r w:rsidR="00EA1B92" w:rsidRPr="00422CB9">
        <w:t>S</w:t>
      </w:r>
      <w:r w:rsidRPr="00422CB9">
        <w:t>chool</w:t>
      </w:r>
      <w:r w:rsidR="005D480A" w:rsidRPr="00422CB9">
        <w:t xml:space="preserve"> </w:t>
      </w:r>
      <w:r w:rsidR="00A848C3" w:rsidRPr="00422CB9">
        <w:t>programs serve</w:t>
      </w:r>
      <w:r w:rsidR="00D26480" w:rsidRPr="00422CB9">
        <w:t xml:space="preserve"> a </w:t>
      </w:r>
      <w:r w:rsidR="00082405">
        <w:t xml:space="preserve">complex </w:t>
      </w:r>
      <w:r w:rsidR="00082405" w:rsidRPr="00422CB9">
        <w:t>population</w:t>
      </w:r>
      <w:r w:rsidR="00D26480" w:rsidRPr="00422CB9">
        <w:t xml:space="preserve"> </w:t>
      </w:r>
      <w:r w:rsidR="00663E4A" w:rsidRPr="00422CB9">
        <w:t>where students can earn a high school diploma and are supported in their recovery</w:t>
      </w:r>
      <w:r w:rsidR="008C52AE">
        <w:t xml:space="preserve"> from</w:t>
      </w:r>
      <w:r w:rsidR="00663E4A" w:rsidRPr="00422CB9">
        <w:t xml:space="preserve"> drug and alcohol use.</w:t>
      </w:r>
      <w:r w:rsidR="00E4191E" w:rsidRPr="00422CB9">
        <w:t xml:space="preserve"> </w:t>
      </w:r>
      <w:r w:rsidR="00663E4A" w:rsidRPr="00422CB9">
        <w:t>Along with the inherent issue of dealing with a student body that has been diagnosed with a substance use disorder, the</w:t>
      </w:r>
      <w:r w:rsidR="007F1250" w:rsidRPr="00422CB9">
        <w:t>se program</w:t>
      </w:r>
      <w:r w:rsidR="003F6D7C" w:rsidRPr="00422CB9">
        <w:t>s also have the challenge of</w:t>
      </w:r>
      <w:r w:rsidR="001E1051" w:rsidRPr="00422CB9">
        <w:t xml:space="preserve"> serving</w:t>
      </w:r>
      <w:r w:rsidR="003F6D7C" w:rsidRPr="00422CB9">
        <w:t xml:space="preserve"> students who are </w:t>
      </w:r>
      <w:r w:rsidR="001E1051" w:rsidRPr="00422CB9">
        <w:t xml:space="preserve">at a </w:t>
      </w:r>
      <w:r w:rsidR="00663E4A" w:rsidRPr="00422CB9">
        <w:t>s</w:t>
      </w:r>
      <w:r w:rsidR="003F168D" w:rsidRPr="00422CB9">
        <w:t>i</w:t>
      </w:r>
      <w:r w:rsidR="00EA1B92" w:rsidRPr="00422CB9">
        <w:t>gnificant</w:t>
      </w:r>
      <w:r w:rsidR="0087339A" w:rsidRPr="00422CB9">
        <w:t>ly</w:t>
      </w:r>
      <w:r w:rsidR="00EA1B92" w:rsidRPr="00422CB9">
        <w:t xml:space="preserve"> high</w:t>
      </w:r>
      <w:r w:rsidR="0087339A" w:rsidRPr="00422CB9">
        <w:t>er</w:t>
      </w:r>
      <w:r w:rsidR="00EA1B92" w:rsidRPr="00422CB9">
        <w:t xml:space="preserve"> </w:t>
      </w:r>
      <w:r w:rsidR="001E1051" w:rsidRPr="00422CB9">
        <w:t xml:space="preserve">percentage </w:t>
      </w:r>
      <w:r w:rsidR="00A848C3" w:rsidRPr="00422CB9">
        <w:t xml:space="preserve">than the state average </w:t>
      </w:r>
      <w:r w:rsidR="00EA1B92" w:rsidRPr="00422CB9">
        <w:t xml:space="preserve">of students with disabilities and who are </w:t>
      </w:r>
      <w:r w:rsidR="008C52AE">
        <w:t xml:space="preserve">considered economically disadvantaged in our </w:t>
      </w:r>
      <w:hyperlink r:id="rId21" w:history="1">
        <w:r w:rsidR="008C52AE" w:rsidRPr="00984CE3">
          <w:rPr>
            <w:rStyle w:val="Hyperlink"/>
          </w:rPr>
          <w:t>student information management system</w:t>
        </w:r>
      </w:hyperlink>
      <w:r w:rsidR="008C52AE">
        <w:t>.</w:t>
      </w:r>
      <w:r w:rsidR="008C52AE" w:rsidRPr="002E0FF9">
        <w:t xml:space="preserve"> </w:t>
      </w:r>
    </w:p>
    <w:p w14:paraId="4289F1D2" w14:textId="77777777" w:rsidR="0090424A" w:rsidRDefault="0090424A" w:rsidP="002C2113">
      <w:pPr>
        <w:rPr>
          <w:color w:val="333333"/>
        </w:rPr>
      </w:pPr>
    </w:p>
    <w:tbl>
      <w:tblPr>
        <w:tblStyle w:val="TableGrid"/>
        <w:tblW w:w="0" w:type="auto"/>
        <w:jc w:val="center"/>
        <w:tblLook w:val="04A0" w:firstRow="1" w:lastRow="0" w:firstColumn="1" w:lastColumn="0" w:noHBand="0" w:noVBand="1"/>
        <w:tblDescription w:val="Eco Dis students and students with disabilities"/>
      </w:tblPr>
      <w:tblGrid>
        <w:gridCol w:w="3325"/>
        <w:gridCol w:w="3239"/>
        <w:gridCol w:w="2786"/>
      </w:tblGrid>
      <w:tr w:rsidR="00263DBB" w:rsidRPr="000167CB" w14:paraId="26234F1A" w14:textId="77777777" w:rsidTr="00942E18">
        <w:trPr>
          <w:tblHeader/>
          <w:jc w:val="center"/>
        </w:trPr>
        <w:tc>
          <w:tcPr>
            <w:tcW w:w="3325" w:type="dxa"/>
            <w:shd w:val="clear" w:color="auto" w:fill="95B3D7" w:themeFill="accent1" w:themeFillTint="99"/>
          </w:tcPr>
          <w:p w14:paraId="410ED922" w14:textId="77777777" w:rsidR="00263DBB" w:rsidRDefault="00263DBB" w:rsidP="00263DBB">
            <w:pPr>
              <w:rPr>
                <w:b/>
                <w:color w:val="333333"/>
              </w:rPr>
            </w:pPr>
          </w:p>
        </w:tc>
        <w:tc>
          <w:tcPr>
            <w:tcW w:w="3239" w:type="dxa"/>
            <w:shd w:val="clear" w:color="auto" w:fill="95B3D7" w:themeFill="accent1" w:themeFillTint="99"/>
          </w:tcPr>
          <w:p w14:paraId="71ACD101" w14:textId="77777777" w:rsidR="00263DBB" w:rsidRPr="002E0FF9" w:rsidRDefault="00263DBB" w:rsidP="0092789B">
            <w:pPr>
              <w:jc w:val="center"/>
              <w:rPr>
                <w:b/>
                <w:color w:val="333333"/>
                <w:sz w:val="20"/>
                <w:szCs w:val="20"/>
              </w:rPr>
            </w:pPr>
            <w:r w:rsidRPr="002E0FF9">
              <w:rPr>
                <w:b/>
                <w:color w:val="333333"/>
                <w:sz w:val="20"/>
                <w:szCs w:val="20"/>
              </w:rPr>
              <w:t>Recovery High Schools</w:t>
            </w:r>
          </w:p>
        </w:tc>
        <w:tc>
          <w:tcPr>
            <w:tcW w:w="2786" w:type="dxa"/>
            <w:shd w:val="clear" w:color="auto" w:fill="95B3D7" w:themeFill="accent1" w:themeFillTint="99"/>
          </w:tcPr>
          <w:p w14:paraId="0DDB0389" w14:textId="77777777" w:rsidR="00263DBB" w:rsidRPr="002E0FF9" w:rsidRDefault="00263DBB" w:rsidP="0092789B">
            <w:pPr>
              <w:jc w:val="center"/>
              <w:rPr>
                <w:b/>
                <w:color w:val="333333"/>
                <w:sz w:val="20"/>
                <w:szCs w:val="20"/>
              </w:rPr>
            </w:pPr>
            <w:r w:rsidRPr="002E0FF9">
              <w:rPr>
                <w:b/>
                <w:color w:val="333333"/>
                <w:sz w:val="20"/>
                <w:szCs w:val="20"/>
              </w:rPr>
              <w:t>Massachusetts</w:t>
            </w:r>
            <w:r w:rsidR="0090424A" w:rsidRPr="002E0FF9">
              <w:rPr>
                <w:b/>
                <w:color w:val="333333"/>
                <w:sz w:val="20"/>
                <w:szCs w:val="20"/>
              </w:rPr>
              <w:t xml:space="preserve"> School Districts</w:t>
            </w:r>
            <w:r w:rsidR="001B7645" w:rsidRPr="002E0FF9">
              <w:rPr>
                <w:b/>
                <w:color w:val="333333"/>
                <w:sz w:val="20"/>
                <w:szCs w:val="20"/>
              </w:rPr>
              <w:t xml:space="preserve"> (Average)</w:t>
            </w:r>
          </w:p>
        </w:tc>
      </w:tr>
      <w:tr w:rsidR="00263DBB" w:rsidRPr="000167CB" w14:paraId="323E77A2" w14:textId="77777777" w:rsidTr="00942E18">
        <w:trPr>
          <w:tblHeader/>
          <w:jc w:val="center"/>
        </w:trPr>
        <w:tc>
          <w:tcPr>
            <w:tcW w:w="3325" w:type="dxa"/>
            <w:shd w:val="clear" w:color="auto" w:fill="B8CCE4" w:themeFill="accent1" w:themeFillTint="66"/>
          </w:tcPr>
          <w:p w14:paraId="339E51FE" w14:textId="77777777" w:rsidR="00263DBB" w:rsidRPr="00263DBB" w:rsidRDefault="00263DBB" w:rsidP="0092789B">
            <w:pPr>
              <w:jc w:val="center"/>
              <w:rPr>
                <w:color w:val="333333"/>
                <w:sz w:val="20"/>
                <w:szCs w:val="20"/>
              </w:rPr>
            </w:pPr>
            <w:r w:rsidRPr="00263DBB">
              <w:rPr>
                <w:color w:val="333333"/>
                <w:sz w:val="20"/>
                <w:szCs w:val="20"/>
              </w:rPr>
              <w:t xml:space="preserve">Economically Disadvantaged </w:t>
            </w:r>
          </w:p>
        </w:tc>
        <w:tc>
          <w:tcPr>
            <w:tcW w:w="3239" w:type="dxa"/>
            <w:shd w:val="clear" w:color="auto" w:fill="B8CCE4" w:themeFill="accent1" w:themeFillTint="66"/>
          </w:tcPr>
          <w:p w14:paraId="5BBC43EE" w14:textId="77777777" w:rsidR="00263DBB" w:rsidRPr="002E0FF9" w:rsidRDefault="00263DBB" w:rsidP="0092789B">
            <w:pPr>
              <w:jc w:val="center"/>
              <w:rPr>
                <w:color w:val="333333"/>
                <w:sz w:val="20"/>
                <w:szCs w:val="20"/>
              </w:rPr>
            </w:pPr>
            <w:r w:rsidRPr="002E0FF9">
              <w:rPr>
                <w:color w:val="333333"/>
                <w:sz w:val="20"/>
                <w:szCs w:val="20"/>
              </w:rPr>
              <w:t>65.9%</w:t>
            </w:r>
          </w:p>
        </w:tc>
        <w:tc>
          <w:tcPr>
            <w:tcW w:w="2786" w:type="dxa"/>
            <w:shd w:val="clear" w:color="auto" w:fill="B8CCE4" w:themeFill="accent1" w:themeFillTint="66"/>
          </w:tcPr>
          <w:p w14:paraId="6086E650" w14:textId="77777777" w:rsidR="00263DBB" w:rsidRPr="002E0FF9" w:rsidRDefault="0090424A" w:rsidP="0092789B">
            <w:pPr>
              <w:jc w:val="center"/>
              <w:rPr>
                <w:color w:val="333333"/>
                <w:sz w:val="20"/>
                <w:szCs w:val="20"/>
              </w:rPr>
            </w:pPr>
            <w:r w:rsidRPr="002E0FF9">
              <w:rPr>
                <w:color w:val="333333"/>
                <w:sz w:val="20"/>
                <w:szCs w:val="20"/>
              </w:rPr>
              <w:t>31.2%</w:t>
            </w:r>
          </w:p>
        </w:tc>
      </w:tr>
      <w:tr w:rsidR="00263DBB" w:rsidRPr="000167CB" w14:paraId="714FF289" w14:textId="77777777" w:rsidTr="00942E18">
        <w:trPr>
          <w:tblHeader/>
          <w:jc w:val="center"/>
        </w:trPr>
        <w:tc>
          <w:tcPr>
            <w:tcW w:w="3325" w:type="dxa"/>
            <w:shd w:val="clear" w:color="auto" w:fill="B8CCE4" w:themeFill="accent1" w:themeFillTint="66"/>
          </w:tcPr>
          <w:p w14:paraId="21806343" w14:textId="77777777" w:rsidR="00263DBB" w:rsidRPr="00263DBB" w:rsidRDefault="00263DBB" w:rsidP="0092789B">
            <w:pPr>
              <w:jc w:val="center"/>
              <w:rPr>
                <w:color w:val="333333"/>
                <w:sz w:val="20"/>
                <w:szCs w:val="20"/>
              </w:rPr>
            </w:pPr>
            <w:r w:rsidRPr="00263DBB">
              <w:rPr>
                <w:color w:val="333333"/>
                <w:sz w:val="20"/>
                <w:szCs w:val="20"/>
              </w:rPr>
              <w:t>Students with Disabilities</w:t>
            </w:r>
          </w:p>
        </w:tc>
        <w:tc>
          <w:tcPr>
            <w:tcW w:w="3239" w:type="dxa"/>
            <w:shd w:val="clear" w:color="auto" w:fill="B8CCE4" w:themeFill="accent1" w:themeFillTint="66"/>
          </w:tcPr>
          <w:p w14:paraId="556CB9E9" w14:textId="77777777" w:rsidR="00263DBB" w:rsidRPr="002E0FF9" w:rsidRDefault="00263DBB" w:rsidP="0092789B">
            <w:pPr>
              <w:jc w:val="center"/>
              <w:rPr>
                <w:color w:val="333333"/>
                <w:sz w:val="20"/>
                <w:szCs w:val="20"/>
              </w:rPr>
            </w:pPr>
            <w:r w:rsidRPr="002E0FF9">
              <w:rPr>
                <w:color w:val="333333"/>
                <w:sz w:val="20"/>
                <w:szCs w:val="20"/>
              </w:rPr>
              <w:t>36.5%</w:t>
            </w:r>
          </w:p>
        </w:tc>
        <w:tc>
          <w:tcPr>
            <w:tcW w:w="2786" w:type="dxa"/>
            <w:shd w:val="clear" w:color="auto" w:fill="B8CCE4" w:themeFill="accent1" w:themeFillTint="66"/>
          </w:tcPr>
          <w:p w14:paraId="4724FECE" w14:textId="77777777" w:rsidR="00263DBB" w:rsidRPr="002E0FF9" w:rsidRDefault="004317D3" w:rsidP="0092789B">
            <w:pPr>
              <w:jc w:val="center"/>
              <w:rPr>
                <w:color w:val="333333"/>
                <w:sz w:val="20"/>
                <w:szCs w:val="20"/>
              </w:rPr>
            </w:pPr>
            <w:r w:rsidRPr="002E0FF9">
              <w:rPr>
                <w:color w:val="333333"/>
                <w:sz w:val="20"/>
                <w:szCs w:val="20"/>
              </w:rPr>
              <w:t>18.1%</w:t>
            </w:r>
          </w:p>
        </w:tc>
      </w:tr>
    </w:tbl>
    <w:p w14:paraId="23185979" w14:textId="77777777" w:rsidR="003616CB" w:rsidRDefault="003616CB" w:rsidP="002C2113">
      <w:pPr>
        <w:rPr>
          <w:color w:val="333333"/>
        </w:rPr>
      </w:pPr>
      <w:r>
        <w:rPr>
          <w:color w:val="333333"/>
        </w:rPr>
        <w:lastRenderedPageBreak/>
        <w:t xml:space="preserve"> </w:t>
      </w:r>
    </w:p>
    <w:p w14:paraId="782D396A" w14:textId="7D6BED80" w:rsidR="00082405" w:rsidRDefault="00082405" w:rsidP="002C2113">
      <w:pPr>
        <w:rPr>
          <w:color w:val="333333"/>
        </w:rPr>
      </w:pPr>
      <w:r>
        <w:rPr>
          <w:color w:val="000000"/>
        </w:rPr>
        <w:t>Many of these students</w:t>
      </w:r>
      <w:r w:rsidRPr="004628E8">
        <w:rPr>
          <w:color w:val="000000"/>
        </w:rPr>
        <w:t xml:space="preserve"> have experienced a gap in their academic career because of time spent in treatment or</w:t>
      </w:r>
      <w:r>
        <w:rPr>
          <w:color w:val="000000"/>
        </w:rPr>
        <w:t xml:space="preserve"> missing</w:t>
      </w:r>
      <w:r w:rsidRPr="004628E8">
        <w:rPr>
          <w:color w:val="000000"/>
        </w:rPr>
        <w:t xml:space="preserve"> school due to </w:t>
      </w:r>
      <w:r>
        <w:rPr>
          <w:color w:val="000000"/>
        </w:rPr>
        <w:t xml:space="preserve">a </w:t>
      </w:r>
      <w:r w:rsidRPr="004628E8">
        <w:rPr>
          <w:color w:val="000000"/>
        </w:rPr>
        <w:t xml:space="preserve">substance </w:t>
      </w:r>
      <w:r>
        <w:rPr>
          <w:color w:val="000000"/>
        </w:rPr>
        <w:t>use</w:t>
      </w:r>
      <w:r w:rsidRPr="004628E8">
        <w:rPr>
          <w:color w:val="000000"/>
        </w:rPr>
        <w:t xml:space="preserve"> </w:t>
      </w:r>
      <w:r>
        <w:rPr>
          <w:color w:val="000000"/>
        </w:rPr>
        <w:t>disorder</w:t>
      </w:r>
      <w:r w:rsidRPr="004628E8">
        <w:rPr>
          <w:color w:val="000000"/>
        </w:rPr>
        <w:t xml:space="preserve"> and/or mental health crises.</w:t>
      </w:r>
      <w:r>
        <w:rPr>
          <w:color w:val="000000"/>
        </w:rPr>
        <w:t xml:space="preserve"> They are at risk of dropping out of high school or falling severely behind in their academics. Dropping out of high school </w:t>
      </w:r>
      <w:r w:rsidR="001E0F2A">
        <w:rPr>
          <w:color w:val="000000"/>
        </w:rPr>
        <w:t>can be associated with</w:t>
      </w:r>
      <w:r>
        <w:rPr>
          <w:color w:val="000000"/>
        </w:rPr>
        <w:t xml:space="preserve"> negative socioeconomic and health outcomes. </w:t>
      </w:r>
      <w:r w:rsidRPr="004628E8">
        <w:rPr>
          <w:color w:val="000000"/>
        </w:rPr>
        <w:t>R</w:t>
      </w:r>
      <w:r>
        <w:rPr>
          <w:color w:val="000000"/>
        </w:rPr>
        <w:t>ecovery High School programs</w:t>
      </w:r>
      <w:r w:rsidRPr="004628E8">
        <w:rPr>
          <w:color w:val="000000"/>
        </w:rPr>
        <w:t xml:space="preserve"> offer supports to </w:t>
      </w:r>
      <w:r>
        <w:rPr>
          <w:color w:val="000000"/>
        </w:rPr>
        <w:t xml:space="preserve">these </w:t>
      </w:r>
      <w:r w:rsidRPr="004628E8">
        <w:rPr>
          <w:color w:val="000000"/>
        </w:rPr>
        <w:t>students and their families to meet each student’s needs and help them reach success in their academic and personal lives.</w:t>
      </w:r>
      <w:r w:rsidR="004A5534">
        <w:rPr>
          <w:color w:val="000000"/>
        </w:rPr>
        <w:t xml:space="preserve"> </w:t>
      </w:r>
      <w:r>
        <w:rPr>
          <w:color w:val="000000"/>
        </w:rPr>
        <w:t>Of the non-twelfth grade students who were enrolled in the Recovery High School programs in the 2017/2018 academic school year, 97</w:t>
      </w:r>
      <w:r w:rsidR="00807A9D">
        <w:rPr>
          <w:color w:val="000000"/>
        </w:rPr>
        <w:t xml:space="preserve"> percent</w:t>
      </w:r>
      <w:r>
        <w:rPr>
          <w:color w:val="000000"/>
        </w:rPr>
        <w:t xml:space="preserve"> </w:t>
      </w:r>
      <w:r w:rsidR="003B0F42">
        <w:rPr>
          <w:color w:val="000000"/>
        </w:rPr>
        <w:t>continued to reach their educational goals by</w:t>
      </w:r>
      <w:r w:rsidR="004A0ECC">
        <w:rPr>
          <w:color w:val="000000"/>
        </w:rPr>
        <w:t xml:space="preserve"> remaining</w:t>
      </w:r>
      <w:r w:rsidR="003B0F42">
        <w:rPr>
          <w:color w:val="000000"/>
        </w:rPr>
        <w:t xml:space="preserve"> enrolled in a Massachusetts’ school the following academic year in October 2018. </w:t>
      </w:r>
    </w:p>
    <w:p w14:paraId="7A009C21" w14:textId="77777777" w:rsidR="00082405" w:rsidRDefault="00082405" w:rsidP="002C2113">
      <w:pPr>
        <w:rPr>
          <w:color w:val="333333"/>
        </w:rPr>
      </w:pPr>
    </w:p>
    <w:p w14:paraId="04728B50" w14:textId="77777777" w:rsidR="00DF5C07" w:rsidRPr="00422CB9" w:rsidRDefault="00685D96" w:rsidP="002C2113">
      <w:r w:rsidRPr="00422CB9">
        <w:t xml:space="preserve">While it can be a challenge to measure the </w:t>
      </w:r>
      <w:r w:rsidR="00F7572F">
        <w:t>effects</w:t>
      </w:r>
      <w:r w:rsidR="00F7572F" w:rsidRPr="00422CB9">
        <w:t xml:space="preserve"> </w:t>
      </w:r>
      <w:r w:rsidRPr="00422CB9">
        <w:t>a Recovery High School</w:t>
      </w:r>
      <w:r w:rsidR="009D3F38" w:rsidRPr="00422CB9">
        <w:t xml:space="preserve"> program</w:t>
      </w:r>
      <w:r w:rsidR="001E1051" w:rsidRPr="00422CB9">
        <w:t xml:space="preserve"> has on</w:t>
      </w:r>
      <w:r w:rsidR="00535047">
        <w:t xml:space="preserve"> achieving successful outcomes for their students</w:t>
      </w:r>
      <w:r w:rsidRPr="00422CB9">
        <w:t xml:space="preserve">, the </w:t>
      </w:r>
      <w:r w:rsidR="001B7645" w:rsidRPr="00422CB9">
        <w:t>D</w:t>
      </w:r>
      <w:r w:rsidRPr="00422CB9">
        <w:t xml:space="preserve">epartment </w:t>
      </w:r>
      <w:r w:rsidR="00CF1592">
        <w:t xml:space="preserve">recently </w:t>
      </w:r>
      <w:r w:rsidR="00824F1A" w:rsidRPr="00422CB9">
        <w:t>hir</w:t>
      </w:r>
      <w:r w:rsidR="00CF1592">
        <w:t>ed</w:t>
      </w:r>
      <w:r w:rsidR="00824F1A" w:rsidRPr="00422CB9">
        <w:t xml:space="preserve"> a</w:t>
      </w:r>
      <w:r w:rsidR="008F1CC9" w:rsidRPr="00422CB9">
        <w:t xml:space="preserve"> vendor </w:t>
      </w:r>
      <w:r w:rsidR="0073281D" w:rsidRPr="00422CB9">
        <w:t xml:space="preserve">to conduct </w:t>
      </w:r>
      <w:r w:rsidR="002747E3" w:rsidRPr="00422CB9">
        <w:t>an evaluation</w:t>
      </w:r>
      <w:r w:rsidR="001E1051" w:rsidRPr="00422CB9">
        <w:t xml:space="preserve"> of these programs.</w:t>
      </w:r>
      <w:r w:rsidR="00E4191E" w:rsidRPr="00422CB9">
        <w:t xml:space="preserve"> </w:t>
      </w:r>
      <w:r w:rsidR="009D3F38" w:rsidRPr="00422CB9">
        <w:t>The</w:t>
      </w:r>
      <w:r w:rsidR="001E1051" w:rsidRPr="00422CB9">
        <w:t xml:space="preserve"> p</w:t>
      </w:r>
      <w:r w:rsidR="00CF1592">
        <w:t>lanned</w:t>
      </w:r>
      <w:r w:rsidR="001E1051" w:rsidRPr="00422CB9">
        <w:t xml:space="preserve"> research will focus </w:t>
      </w:r>
      <w:r w:rsidR="008E73CB" w:rsidRPr="00422CB9">
        <w:t xml:space="preserve">on </w:t>
      </w:r>
      <w:r w:rsidR="00CF1592">
        <w:t xml:space="preserve">analyzing and </w:t>
      </w:r>
      <w:r w:rsidR="001E1051" w:rsidRPr="00422CB9">
        <w:t xml:space="preserve">describing the educational and therapeutic models utilized by each of the schools as well as the extent to which the programs are having an impact </w:t>
      </w:r>
      <w:r w:rsidR="008E73CB" w:rsidRPr="00422CB9">
        <w:t xml:space="preserve">on their students in the areas of </w:t>
      </w:r>
      <w:r w:rsidR="001E1051" w:rsidRPr="00422CB9">
        <w:t xml:space="preserve">education, substance use/misuse, and social </w:t>
      </w:r>
      <w:r w:rsidR="00CF1592">
        <w:t xml:space="preserve">and </w:t>
      </w:r>
      <w:r w:rsidR="001E1051" w:rsidRPr="00422CB9">
        <w:t>emotional outcomes.</w:t>
      </w:r>
      <w:r w:rsidR="009D3F38" w:rsidRPr="00422CB9">
        <w:t xml:space="preserve"> </w:t>
      </w:r>
    </w:p>
    <w:p w14:paraId="39573023" w14:textId="77777777" w:rsidR="00606D78" w:rsidRPr="00E9266F" w:rsidRDefault="002A56E4" w:rsidP="00D45615">
      <w:pPr>
        <w:pStyle w:val="Heading1"/>
        <w:ind w:right="-270"/>
        <w:rPr>
          <w:b w:val="0"/>
        </w:rPr>
      </w:pPr>
      <w:bookmarkStart w:id="7" w:name="_Toc7731852"/>
      <w:r w:rsidRPr="00E9266F">
        <w:rPr>
          <w:rFonts w:ascii="Times New Roman" w:hAnsi="Times New Roman" w:cs="Times New Roman"/>
        </w:rPr>
        <w:t xml:space="preserve">Recommendations </w:t>
      </w:r>
      <w:r w:rsidR="00713D56">
        <w:rPr>
          <w:rFonts w:ascii="Times New Roman" w:hAnsi="Times New Roman" w:cs="Times New Roman"/>
        </w:rPr>
        <w:t>for</w:t>
      </w:r>
      <w:r w:rsidRPr="00E9266F">
        <w:rPr>
          <w:rFonts w:ascii="Times New Roman" w:hAnsi="Times New Roman" w:cs="Times New Roman"/>
        </w:rPr>
        <w:t xml:space="preserve"> New Recovery High Schools in </w:t>
      </w:r>
      <w:r w:rsidR="004F000A">
        <w:rPr>
          <w:rFonts w:ascii="Times New Roman" w:hAnsi="Times New Roman" w:cs="Times New Roman"/>
        </w:rPr>
        <w:t>F</w:t>
      </w:r>
      <w:r w:rsidR="001B7645">
        <w:rPr>
          <w:rFonts w:ascii="Times New Roman" w:hAnsi="Times New Roman" w:cs="Times New Roman"/>
        </w:rPr>
        <w:t xml:space="preserve">iscal </w:t>
      </w:r>
      <w:r w:rsidR="004F000A">
        <w:rPr>
          <w:rFonts w:ascii="Times New Roman" w:hAnsi="Times New Roman" w:cs="Times New Roman"/>
        </w:rPr>
        <w:t>Y</w:t>
      </w:r>
      <w:r w:rsidR="001B7645">
        <w:rPr>
          <w:rFonts w:ascii="Times New Roman" w:hAnsi="Times New Roman" w:cs="Times New Roman"/>
        </w:rPr>
        <w:t>ear</w:t>
      </w:r>
      <w:r w:rsidR="006F3A75">
        <w:rPr>
          <w:rFonts w:ascii="Times New Roman" w:hAnsi="Times New Roman" w:cs="Times New Roman"/>
        </w:rPr>
        <w:t>s 2020 and</w:t>
      </w:r>
      <w:r w:rsidR="001B7645">
        <w:rPr>
          <w:rFonts w:ascii="Times New Roman" w:hAnsi="Times New Roman" w:cs="Times New Roman"/>
        </w:rPr>
        <w:t xml:space="preserve"> 2021</w:t>
      </w:r>
      <w:bookmarkEnd w:id="7"/>
      <w:r w:rsidRPr="00E9266F">
        <w:rPr>
          <w:rFonts w:ascii="Times New Roman" w:hAnsi="Times New Roman" w:cs="Times New Roman"/>
        </w:rPr>
        <w:t xml:space="preserve"> </w:t>
      </w:r>
    </w:p>
    <w:p w14:paraId="60DE91C5" w14:textId="30751947" w:rsidR="00DF5C07" w:rsidRPr="00422CB9" w:rsidRDefault="00DF5C07" w:rsidP="002C2113">
      <w:r w:rsidRPr="00422CB9">
        <w:t xml:space="preserve">The Department </w:t>
      </w:r>
      <w:r w:rsidR="000A1882" w:rsidRPr="00422CB9">
        <w:t xml:space="preserve">is </w:t>
      </w:r>
      <w:r w:rsidRPr="00422CB9">
        <w:t>currently in discussions with school districts</w:t>
      </w:r>
      <w:r w:rsidR="00824F1A" w:rsidRPr="00422CB9">
        <w:t>,</w:t>
      </w:r>
      <w:r w:rsidR="00E9266F" w:rsidRPr="00422CB9">
        <w:t xml:space="preserve"> R</w:t>
      </w:r>
      <w:r w:rsidR="00B87C01">
        <w:t xml:space="preserve">ecovery </w:t>
      </w:r>
      <w:r w:rsidR="00E9266F" w:rsidRPr="00422CB9">
        <w:t>H</w:t>
      </w:r>
      <w:r w:rsidR="00B87C01">
        <w:t xml:space="preserve">igh </w:t>
      </w:r>
      <w:r w:rsidR="00E9266F" w:rsidRPr="00422CB9">
        <w:t>S</w:t>
      </w:r>
      <w:r w:rsidR="00B87C01">
        <w:t>chool</w:t>
      </w:r>
      <w:r w:rsidR="00E9266F" w:rsidRPr="00422CB9">
        <w:t xml:space="preserve"> programs, DPH</w:t>
      </w:r>
      <w:r w:rsidR="002747E3" w:rsidRPr="00422CB9">
        <w:t xml:space="preserve">, </w:t>
      </w:r>
      <w:r w:rsidRPr="00422CB9">
        <w:t>and other partners to determine how, collectively</w:t>
      </w:r>
      <w:r w:rsidR="00406E29" w:rsidRPr="00422CB9">
        <w:t>,</w:t>
      </w:r>
      <w:r w:rsidR="000A1882" w:rsidRPr="00422CB9">
        <w:t xml:space="preserve"> to</w:t>
      </w:r>
      <w:r w:rsidRPr="00422CB9">
        <w:t xml:space="preserve"> best meet the need</w:t>
      </w:r>
      <w:r w:rsidR="000A1882" w:rsidRPr="00422CB9">
        <w:t>s</w:t>
      </w:r>
      <w:r w:rsidRPr="00422CB9">
        <w:t xml:space="preserve"> of students with substance use disorders.</w:t>
      </w:r>
      <w:r w:rsidR="00E4191E" w:rsidRPr="00422CB9">
        <w:t xml:space="preserve"> </w:t>
      </w:r>
      <w:r w:rsidR="00170982" w:rsidRPr="00422CB9">
        <w:t>At this time</w:t>
      </w:r>
      <w:r w:rsidR="00D573BA" w:rsidRPr="00422CB9">
        <w:t>,</w:t>
      </w:r>
      <w:r w:rsidR="00170982" w:rsidRPr="00422CB9">
        <w:t xml:space="preserve"> a new Recovery High School is not recommended</w:t>
      </w:r>
      <w:r w:rsidR="00E9266F" w:rsidRPr="00422CB9">
        <w:t xml:space="preserve"> as the Department continues to ev</w:t>
      </w:r>
      <w:r w:rsidR="00480BD0" w:rsidRPr="00422CB9">
        <w:t>aluate these programs.</w:t>
      </w:r>
    </w:p>
    <w:sectPr w:rsidR="00DF5C07" w:rsidRPr="00422CB9" w:rsidSect="007102D5">
      <w:footerReference w:type="default" r:id="rId2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CEAB4" w14:textId="77777777" w:rsidR="00855FAC" w:rsidRDefault="00855FAC" w:rsidP="00FD2C86">
      <w:r>
        <w:separator/>
      </w:r>
    </w:p>
  </w:endnote>
  <w:endnote w:type="continuationSeparator" w:id="0">
    <w:p w14:paraId="3DE924F3" w14:textId="77777777" w:rsidR="00855FAC" w:rsidRDefault="00855FAC"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4AB7" w14:textId="1110C591" w:rsidR="00EF76E3" w:rsidRDefault="00EF76E3" w:rsidP="00D674EF">
    <w:pPr>
      <w:pStyle w:val="Footer"/>
    </w:pPr>
    <w:r>
      <w:tab/>
    </w:r>
    <w:r w:rsidR="00E6793A">
      <w:rPr>
        <w:noProof/>
      </w:rPr>
      <w:fldChar w:fldCharType="begin"/>
    </w:r>
    <w:r w:rsidR="00C4452D">
      <w:rPr>
        <w:noProof/>
      </w:rPr>
      <w:instrText xml:space="preserve"> PAGE   \* MERGEFORMAT </w:instrText>
    </w:r>
    <w:r w:rsidR="00E6793A">
      <w:rPr>
        <w:noProof/>
      </w:rPr>
      <w:fldChar w:fldCharType="separate"/>
    </w:r>
    <w:r w:rsidR="00942E18">
      <w:rPr>
        <w:noProof/>
      </w:rPr>
      <w:t>3</w:t>
    </w:r>
    <w:r w:rsidR="00E679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6D60" w14:textId="77777777" w:rsidR="00855FAC" w:rsidRDefault="00855FAC" w:rsidP="00FD2C86">
      <w:r>
        <w:separator/>
      </w:r>
    </w:p>
  </w:footnote>
  <w:footnote w:type="continuationSeparator" w:id="0">
    <w:p w14:paraId="2E4202A5" w14:textId="77777777" w:rsidR="00855FAC" w:rsidRDefault="00855FAC"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8pt;height:13.8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multilevel"/>
    <w:tmpl w:val="384E6C8C"/>
    <w:numStyleLink w:val="ESEList-Numbers"/>
  </w:abstractNum>
  <w:abstractNum w:abstractNumId="18"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E5556C"/>
    <w:multiLevelType w:val="multilevel"/>
    <w:tmpl w:val="998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A19E9"/>
    <w:multiLevelType w:val="multilevel"/>
    <w:tmpl w:val="384E6C8C"/>
    <w:numStyleLink w:val="ESEList-Numbers"/>
  </w:abstractNum>
  <w:abstractNum w:abstractNumId="2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61DA8"/>
    <w:multiLevelType w:val="multilevel"/>
    <w:tmpl w:val="384E6C8C"/>
    <w:numStyleLink w:val="ESEList-Numbers"/>
  </w:abstractNum>
  <w:abstractNum w:abstractNumId="3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F977CD"/>
    <w:multiLevelType w:val="multilevel"/>
    <w:tmpl w:val="384E6C8C"/>
    <w:numStyleLink w:val="ESEList-Numbers"/>
  </w:abstractNum>
  <w:abstractNum w:abstractNumId="36"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9" w15:restartNumberingAfterBreak="0">
    <w:nsid w:val="6AC42922"/>
    <w:multiLevelType w:val="multilevel"/>
    <w:tmpl w:val="384E6C8C"/>
    <w:numStyleLink w:val="ESEList-Numbers"/>
  </w:abstractNum>
  <w:abstractNum w:abstractNumId="40"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DFD4992"/>
    <w:multiLevelType w:val="multilevel"/>
    <w:tmpl w:val="384E6C8C"/>
    <w:numStyleLink w:val="ESEList-Numbers"/>
  </w:abstractNum>
  <w:abstractNum w:abstractNumId="43"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3"/>
  </w:num>
  <w:num w:numId="2">
    <w:abstractNumId w:val="9"/>
  </w:num>
  <w:num w:numId="3">
    <w:abstractNumId w:val="40"/>
  </w:num>
  <w:num w:numId="4">
    <w:abstractNumId w:val="21"/>
  </w:num>
  <w:num w:numId="5">
    <w:abstractNumId w:val="22"/>
  </w:num>
  <w:num w:numId="6">
    <w:abstractNumId w:val="8"/>
  </w:num>
  <w:num w:numId="7">
    <w:abstractNumId w:val="44"/>
  </w:num>
  <w:num w:numId="8">
    <w:abstractNumId w:val="32"/>
  </w:num>
  <w:num w:numId="9">
    <w:abstractNumId w:val="28"/>
  </w:num>
  <w:num w:numId="10">
    <w:abstractNumId w:val="24"/>
  </w:num>
  <w:num w:numId="11">
    <w:abstractNumId w:val="37"/>
  </w:num>
  <w:num w:numId="12">
    <w:abstractNumId w:val="36"/>
  </w:num>
  <w:num w:numId="13">
    <w:abstractNumId w:val="27"/>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8"/>
  </w:num>
  <w:num w:numId="24">
    <w:abstractNumId w:val="41"/>
  </w:num>
  <w:num w:numId="25">
    <w:abstractNumId w:val="13"/>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1"/>
  </w:num>
  <w:num w:numId="32">
    <w:abstractNumId w:val="18"/>
  </w:num>
  <w:num w:numId="33">
    <w:abstractNumId w:val="20"/>
  </w:num>
  <w:num w:numId="34">
    <w:abstractNumId w:val="15"/>
  </w:num>
  <w:num w:numId="35">
    <w:abstractNumId w:val="16"/>
  </w:num>
  <w:num w:numId="36">
    <w:abstractNumId w:val="30"/>
  </w:num>
  <w:num w:numId="37">
    <w:abstractNumId w:val="39"/>
  </w:num>
  <w:num w:numId="38">
    <w:abstractNumId w:val="17"/>
  </w:num>
  <w:num w:numId="39">
    <w:abstractNumId w:val="26"/>
  </w:num>
  <w:num w:numId="40">
    <w:abstractNumId w:val="14"/>
  </w:num>
  <w:num w:numId="41">
    <w:abstractNumId w:val="25"/>
  </w:num>
  <w:num w:numId="42">
    <w:abstractNumId w:val="35"/>
  </w:num>
  <w:num w:numId="43">
    <w:abstractNumId w:val="29"/>
  </w:num>
  <w:num w:numId="44">
    <w:abstractNumId w:val="19"/>
  </w:num>
  <w:num w:numId="45">
    <w:abstractNumId w:val="10"/>
  </w:num>
  <w:num w:numId="46">
    <w:abstractNumId w:val="34"/>
  </w:num>
  <w:num w:numId="47">
    <w:abstractNumId w:val="11"/>
  </w:num>
  <w:num w:numId="48">
    <w:abstractNumId w:val="4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167CB"/>
    <w:rsid w:val="00023760"/>
    <w:rsid w:val="000362F3"/>
    <w:rsid w:val="00044CF7"/>
    <w:rsid w:val="000506EE"/>
    <w:rsid w:val="00056F9D"/>
    <w:rsid w:val="000711BA"/>
    <w:rsid w:val="00076BD2"/>
    <w:rsid w:val="00082405"/>
    <w:rsid w:val="00091A5F"/>
    <w:rsid w:val="00092A27"/>
    <w:rsid w:val="000975EE"/>
    <w:rsid w:val="000A1882"/>
    <w:rsid w:val="000A7F57"/>
    <w:rsid w:val="000B5C05"/>
    <w:rsid w:val="000C08E0"/>
    <w:rsid w:val="000C3B85"/>
    <w:rsid w:val="000C5AF1"/>
    <w:rsid w:val="000D0E81"/>
    <w:rsid w:val="000D1FA5"/>
    <w:rsid w:val="000F1973"/>
    <w:rsid w:val="00100600"/>
    <w:rsid w:val="001042D1"/>
    <w:rsid w:val="00112CE2"/>
    <w:rsid w:val="00114A93"/>
    <w:rsid w:val="0013726F"/>
    <w:rsid w:val="00137B48"/>
    <w:rsid w:val="0014102A"/>
    <w:rsid w:val="00144CB4"/>
    <w:rsid w:val="00147F76"/>
    <w:rsid w:val="00152CC8"/>
    <w:rsid w:val="00155F3B"/>
    <w:rsid w:val="00161A3F"/>
    <w:rsid w:val="0017022D"/>
    <w:rsid w:val="00170982"/>
    <w:rsid w:val="00174902"/>
    <w:rsid w:val="00180626"/>
    <w:rsid w:val="00182747"/>
    <w:rsid w:val="00184ACF"/>
    <w:rsid w:val="00191705"/>
    <w:rsid w:val="0019756E"/>
    <w:rsid w:val="001A028D"/>
    <w:rsid w:val="001B0849"/>
    <w:rsid w:val="001B25AC"/>
    <w:rsid w:val="001B6421"/>
    <w:rsid w:val="001B7645"/>
    <w:rsid w:val="001C022E"/>
    <w:rsid w:val="001C1CF3"/>
    <w:rsid w:val="001C1E0E"/>
    <w:rsid w:val="001D00A8"/>
    <w:rsid w:val="001D4E42"/>
    <w:rsid w:val="001E0F2A"/>
    <w:rsid w:val="001E1051"/>
    <w:rsid w:val="001E3B64"/>
    <w:rsid w:val="001F34EA"/>
    <w:rsid w:val="002034A0"/>
    <w:rsid w:val="0020780F"/>
    <w:rsid w:val="002231EB"/>
    <w:rsid w:val="00247105"/>
    <w:rsid w:val="00253D66"/>
    <w:rsid w:val="002625B1"/>
    <w:rsid w:val="00263DBB"/>
    <w:rsid w:val="00271731"/>
    <w:rsid w:val="00272C35"/>
    <w:rsid w:val="00274356"/>
    <w:rsid w:val="002747E3"/>
    <w:rsid w:val="00294DFB"/>
    <w:rsid w:val="002A146E"/>
    <w:rsid w:val="002A56E4"/>
    <w:rsid w:val="002A74C8"/>
    <w:rsid w:val="002C120B"/>
    <w:rsid w:val="002C2113"/>
    <w:rsid w:val="002C3E43"/>
    <w:rsid w:val="002D1F95"/>
    <w:rsid w:val="002D411F"/>
    <w:rsid w:val="002D6C57"/>
    <w:rsid w:val="002D750F"/>
    <w:rsid w:val="002D7D34"/>
    <w:rsid w:val="002E0FF9"/>
    <w:rsid w:val="002E56FD"/>
    <w:rsid w:val="002F593B"/>
    <w:rsid w:val="0031134A"/>
    <w:rsid w:val="00313DEF"/>
    <w:rsid w:val="003151B0"/>
    <w:rsid w:val="00317085"/>
    <w:rsid w:val="00324E05"/>
    <w:rsid w:val="00345DE2"/>
    <w:rsid w:val="003464AD"/>
    <w:rsid w:val="0035405C"/>
    <w:rsid w:val="003562C5"/>
    <w:rsid w:val="003616CB"/>
    <w:rsid w:val="00387FE5"/>
    <w:rsid w:val="003921DA"/>
    <w:rsid w:val="003B0F42"/>
    <w:rsid w:val="003B1D70"/>
    <w:rsid w:val="003B2374"/>
    <w:rsid w:val="003B349A"/>
    <w:rsid w:val="003C4677"/>
    <w:rsid w:val="003D0635"/>
    <w:rsid w:val="003D40D2"/>
    <w:rsid w:val="003E01D3"/>
    <w:rsid w:val="003F168D"/>
    <w:rsid w:val="003F3636"/>
    <w:rsid w:val="003F6D7C"/>
    <w:rsid w:val="00406E29"/>
    <w:rsid w:val="00422CB9"/>
    <w:rsid w:val="00426714"/>
    <w:rsid w:val="00426D86"/>
    <w:rsid w:val="004317D3"/>
    <w:rsid w:val="00440650"/>
    <w:rsid w:val="00440BAB"/>
    <w:rsid w:val="00440CAC"/>
    <w:rsid w:val="00441F51"/>
    <w:rsid w:val="0044758D"/>
    <w:rsid w:val="00461130"/>
    <w:rsid w:val="004628E8"/>
    <w:rsid w:val="00464491"/>
    <w:rsid w:val="00480BD0"/>
    <w:rsid w:val="00484A33"/>
    <w:rsid w:val="004A0ECC"/>
    <w:rsid w:val="004A5534"/>
    <w:rsid w:val="004C1FFA"/>
    <w:rsid w:val="004C7891"/>
    <w:rsid w:val="004D3CD6"/>
    <w:rsid w:val="004D45D4"/>
    <w:rsid w:val="004E0CA6"/>
    <w:rsid w:val="004E0F75"/>
    <w:rsid w:val="004E5242"/>
    <w:rsid w:val="004F000A"/>
    <w:rsid w:val="004F1C4B"/>
    <w:rsid w:val="005152E7"/>
    <w:rsid w:val="00522BFB"/>
    <w:rsid w:val="00527B2A"/>
    <w:rsid w:val="00535047"/>
    <w:rsid w:val="005350D7"/>
    <w:rsid w:val="00543117"/>
    <w:rsid w:val="00543C6D"/>
    <w:rsid w:val="00551C6C"/>
    <w:rsid w:val="00583DAC"/>
    <w:rsid w:val="005952D4"/>
    <w:rsid w:val="00595540"/>
    <w:rsid w:val="005A0983"/>
    <w:rsid w:val="005A24B4"/>
    <w:rsid w:val="005A367D"/>
    <w:rsid w:val="005B3528"/>
    <w:rsid w:val="005D480A"/>
    <w:rsid w:val="005E6ACA"/>
    <w:rsid w:val="005E7464"/>
    <w:rsid w:val="005F037D"/>
    <w:rsid w:val="005F152D"/>
    <w:rsid w:val="005F1897"/>
    <w:rsid w:val="00603BD5"/>
    <w:rsid w:val="00606D78"/>
    <w:rsid w:val="0061101D"/>
    <w:rsid w:val="00626B1D"/>
    <w:rsid w:val="00646576"/>
    <w:rsid w:val="006501C1"/>
    <w:rsid w:val="006510EB"/>
    <w:rsid w:val="0065736C"/>
    <w:rsid w:val="0066122B"/>
    <w:rsid w:val="0066221E"/>
    <w:rsid w:val="00663E4A"/>
    <w:rsid w:val="00670259"/>
    <w:rsid w:val="00675B1B"/>
    <w:rsid w:val="00676A07"/>
    <w:rsid w:val="006812CC"/>
    <w:rsid w:val="00685D96"/>
    <w:rsid w:val="0069558B"/>
    <w:rsid w:val="006955B3"/>
    <w:rsid w:val="006A30F9"/>
    <w:rsid w:val="006A7D0D"/>
    <w:rsid w:val="006B5927"/>
    <w:rsid w:val="006C2DF1"/>
    <w:rsid w:val="006C5ACA"/>
    <w:rsid w:val="006C6F88"/>
    <w:rsid w:val="006D01F0"/>
    <w:rsid w:val="006D1B5E"/>
    <w:rsid w:val="006F21A4"/>
    <w:rsid w:val="006F3A75"/>
    <w:rsid w:val="006F4CF2"/>
    <w:rsid w:val="006F7B8E"/>
    <w:rsid w:val="006F7E53"/>
    <w:rsid w:val="007012FA"/>
    <w:rsid w:val="007102D5"/>
    <w:rsid w:val="00712E66"/>
    <w:rsid w:val="00713D56"/>
    <w:rsid w:val="0071406E"/>
    <w:rsid w:val="007204A2"/>
    <w:rsid w:val="00731B0C"/>
    <w:rsid w:val="0073281D"/>
    <w:rsid w:val="00740C0D"/>
    <w:rsid w:val="00741DF2"/>
    <w:rsid w:val="00754931"/>
    <w:rsid w:val="00755977"/>
    <w:rsid w:val="00761850"/>
    <w:rsid w:val="00763DDA"/>
    <w:rsid w:val="00765318"/>
    <w:rsid w:val="0077336E"/>
    <w:rsid w:val="007771D5"/>
    <w:rsid w:val="0077761F"/>
    <w:rsid w:val="00782514"/>
    <w:rsid w:val="007825C8"/>
    <w:rsid w:val="007848DF"/>
    <w:rsid w:val="007C3083"/>
    <w:rsid w:val="007E6DA4"/>
    <w:rsid w:val="007F1250"/>
    <w:rsid w:val="007F5622"/>
    <w:rsid w:val="00807A9D"/>
    <w:rsid w:val="00814570"/>
    <w:rsid w:val="00824F1A"/>
    <w:rsid w:val="00826061"/>
    <w:rsid w:val="008303F1"/>
    <w:rsid w:val="00832115"/>
    <w:rsid w:val="00835C78"/>
    <w:rsid w:val="00844A1B"/>
    <w:rsid w:val="00847587"/>
    <w:rsid w:val="00855FAC"/>
    <w:rsid w:val="00871349"/>
    <w:rsid w:val="0087339A"/>
    <w:rsid w:val="008734A6"/>
    <w:rsid w:val="0088258A"/>
    <w:rsid w:val="00884567"/>
    <w:rsid w:val="0089304B"/>
    <w:rsid w:val="008A7B67"/>
    <w:rsid w:val="008C52AE"/>
    <w:rsid w:val="008C575C"/>
    <w:rsid w:val="008C651F"/>
    <w:rsid w:val="008C65E5"/>
    <w:rsid w:val="008E260F"/>
    <w:rsid w:val="008E73CB"/>
    <w:rsid w:val="008F1CC9"/>
    <w:rsid w:val="00900BF3"/>
    <w:rsid w:val="00901891"/>
    <w:rsid w:val="0090424A"/>
    <w:rsid w:val="00907BC7"/>
    <w:rsid w:val="00917329"/>
    <w:rsid w:val="00924A98"/>
    <w:rsid w:val="0092789B"/>
    <w:rsid w:val="0093508A"/>
    <w:rsid w:val="00942E18"/>
    <w:rsid w:val="00955502"/>
    <w:rsid w:val="00956502"/>
    <w:rsid w:val="00975F4D"/>
    <w:rsid w:val="00976882"/>
    <w:rsid w:val="00984CE3"/>
    <w:rsid w:val="00992025"/>
    <w:rsid w:val="00992913"/>
    <w:rsid w:val="009954EB"/>
    <w:rsid w:val="0099682E"/>
    <w:rsid w:val="009A25B4"/>
    <w:rsid w:val="009A3016"/>
    <w:rsid w:val="009A5EBB"/>
    <w:rsid w:val="009C4322"/>
    <w:rsid w:val="009C550C"/>
    <w:rsid w:val="009D1266"/>
    <w:rsid w:val="009D3F38"/>
    <w:rsid w:val="009D4B9A"/>
    <w:rsid w:val="009D7BA2"/>
    <w:rsid w:val="009E45FA"/>
    <w:rsid w:val="009E52E7"/>
    <w:rsid w:val="00A03535"/>
    <w:rsid w:val="00A0653A"/>
    <w:rsid w:val="00A11174"/>
    <w:rsid w:val="00A34D97"/>
    <w:rsid w:val="00A4174D"/>
    <w:rsid w:val="00A476CE"/>
    <w:rsid w:val="00A5157F"/>
    <w:rsid w:val="00A561FB"/>
    <w:rsid w:val="00A60B29"/>
    <w:rsid w:val="00A6534E"/>
    <w:rsid w:val="00A72209"/>
    <w:rsid w:val="00A7279E"/>
    <w:rsid w:val="00A72DB3"/>
    <w:rsid w:val="00A73051"/>
    <w:rsid w:val="00A848C3"/>
    <w:rsid w:val="00A84AC8"/>
    <w:rsid w:val="00AA2AF8"/>
    <w:rsid w:val="00AB0D8E"/>
    <w:rsid w:val="00AB5673"/>
    <w:rsid w:val="00AD0A1F"/>
    <w:rsid w:val="00AD0E93"/>
    <w:rsid w:val="00AD298F"/>
    <w:rsid w:val="00AD72FC"/>
    <w:rsid w:val="00AE53BE"/>
    <w:rsid w:val="00AF1841"/>
    <w:rsid w:val="00AF5C78"/>
    <w:rsid w:val="00B0760C"/>
    <w:rsid w:val="00B129CE"/>
    <w:rsid w:val="00B14525"/>
    <w:rsid w:val="00B205B5"/>
    <w:rsid w:val="00B316B3"/>
    <w:rsid w:val="00B42CA2"/>
    <w:rsid w:val="00B51695"/>
    <w:rsid w:val="00B55562"/>
    <w:rsid w:val="00B601E6"/>
    <w:rsid w:val="00B616AF"/>
    <w:rsid w:val="00B61B2F"/>
    <w:rsid w:val="00B7278D"/>
    <w:rsid w:val="00B81EF9"/>
    <w:rsid w:val="00B87C01"/>
    <w:rsid w:val="00B87F39"/>
    <w:rsid w:val="00B9061D"/>
    <w:rsid w:val="00B97EA1"/>
    <w:rsid w:val="00BA12E2"/>
    <w:rsid w:val="00BC227D"/>
    <w:rsid w:val="00BC712E"/>
    <w:rsid w:val="00BD650F"/>
    <w:rsid w:val="00BD7072"/>
    <w:rsid w:val="00BE06C8"/>
    <w:rsid w:val="00BE39EF"/>
    <w:rsid w:val="00BE7C70"/>
    <w:rsid w:val="00C052D1"/>
    <w:rsid w:val="00C0573F"/>
    <w:rsid w:val="00C0742B"/>
    <w:rsid w:val="00C118B2"/>
    <w:rsid w:val="00C14D93"/>
    <w:rsid w:val="00C36C11"/>
    <w:rsid w:val="00C42E59"/>
    <w:rsid w:val="00C444A9"/>
    <w:rsid w:val="00C4452D"/>
    <w:rsid w:val="00C51486"/>
    <w:rsid w:val="00C51C4A"/>
    <w:rsid w:val="00C54DF3"/>
    <w:rsid w:val="00C61D3B"/>
    <w:rsid w:val="00C65476"/>
    <w:rsid w:val="00C662C0"/>
    <w:rsid w:val="00C66E51"/>
    <w:rsid w:val="00C6738A"/>
    <w:rsid w:val="00C8105C"/>
    <w:rsid w:val="00C84155"/>
    <w:rsid w:val="00C850EA"/>
    <w:rsid w:val="00C87B1B"/>
    <w:rsid w:val="00C9596D"/>
    <w:rsid w:val="00CA455D"/>
    <w:rsid w:val="00CB0D8D"/>
    <w:rsid w:val="00CB5EE8"/>
    <w:rsid w:val="00CB62F2"/>
    <w:rsid w:val="00CC1EB2"/>
    <w:rsid w:val="00CC22F1"/>
    <w:rsid w:val="00CD5012"/>
    <w:rsid w:val="00CE1085"/>
    <w:rsid w:val="00CF1592"/>
    <w:rsid w:val="00CF6B07"/>
    <w:rsid w:val="00D15AE4"/>
    <w:rsid w:val="00D16C52"/>
    <w:rsid w:val="00D2130E"/>
    <w:rsid w:val="00D26480"/>
    <w:rsid w:val="00D3078C"/>
    <w:rsid w:val="00D40A4A"/>
    <w:rsid w:val="00D42AD8"/>
    <w:rsid w:val="00D45615"/>
    <w:rsid w:val="00D47BCC"/>
    <w:rsid w:val="00D53B5E"/>
    <w:rsid w:val="00D573BA"/>
    <w:rsid w:val="00D66DF4"/>
    <w:rsid w:val="00D674EF"/>
    <w:rsid w:val="00D72BD5"/>
    <w:rsid w:val="00D769F8"/>
    <w:rsid w:val="00D97241"/>
    <w:rsid w:val="00DA3E30"/>
    <w:rsid w:val="00DC2200"/>
    <w:rsid w:val="00DD07C4"/>
    <w:rsid w:val="00DD400C"/>
    <w:rsid w:val="00DD4A21"/>
    <w:rsid w:val="00DE0201"/>
    <w:rsid w:val="00DE1217"/>
    <w:rsid w:val="00DF5C07"/>
    <w:rsid w:val="00DF6E4D"/>
    <w:rsid w:val="00E04B8E"/>
    <w:rsid w:val="00E068D5"/>
    <w:rsid w:val="00E14966"/>
    <w:rsid w:val="00E15D90"/>
    <w:rsid w:val="00E253B2"/>
    <w:rsid w:val="00E309C2"/>
    <w:rsid w:val="00E31888"/>
    <w:rsid w:val="00E34296"/>
    <w:rsid w:val="00E3460D"/>
    <w:rsid w:val="00E4191E"/>
    <w:rsid w:val="00E53ECD"/>
    <w:rsid w:val="00E6793A"/>
    <w:rsid w:val="00E711EA"/>
    <w:rsid w:val="00E72815"/>
    <w:rsid w:val="00E9266F"/>
    <w:rsid w:val="00E94E92"/>
    <w:rsid w:val="00EA1B92"/>
    <w:rsid w:val="00EA275D"/>
    <w:rsid w:val="00EB1F6F"/>
    <w:rsid w:val="00EB21ED"/>
    <w:rsid w:val="00EB6CAD"/>
    <w:rsid w:val="00EB7F04"/>
    <w:rsid w:val="00EC4160"/>
    <w:rsid w:val="00ED25CF"/>
    <w:rsid w:val="00ED5322"/>
    <w:rsid w:val="00ED55E0"/>
    <w:rsid w:val="00EF76E3"/>
    <w:rsid w:val="00F03CB1"/>
    <w:rsid w:val="00F056A5"/>
    <w:rsid w:val="00F13453"/>
    <w:rsid w:val="00F13965"/>
    <w:rsid w:val="00F16516"/>
    <w:rsid w:val="00F36062"/>
    <w:rsid w:val="00F37C71"/>
    <w:rsid w:val="00F41969"/>
    <w:rsid w:val="00F44C7B"/>
    <w:rsid w:val="00F47C49"/>
    <w:rsid w:val="00F51822"/>
    <w:rsid w:val="00F66EB7"/>
    <w:rsid w:val="00F7310B"/>
    <w:rsid w:val="00F7387F"/>
    <w:rsid w:val="00F7572F"/>
    <w:rsid w:val="00F80753"/>
    <w:rsid w:val="00FA0025"/>
    <w:rsid w:val="00FA1FF7"/>
    <w:rsid w:val="00FA37DE"/>
    <w:rsid w:val="00FC06EE"/>
    <w:rsid w:val="00FC458E"/>
    <w:rsid w:val="00FD1EF7"/>
    <w:rsid w:val="00FD2C86"/>
    <w:rsid w:val="00FD4568"/>
    <w:rsid w:val="00FD69E2"/>
    <w:rsid w:val="00FD7010"/>
    <w:rsid w:val="00FD72F8"/>
    <w:rsid w:val="00FF5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6FEFB"/>
  <w15:docId w15:val="{6BD2F0E5-5A02-44FA-BEE8-C4283FF1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UnresolvedMention1">
    <w:name w:val="Unresolved Mention1"/>
    <w:basedOn w:val="DefaultParagraphFont"/>
    <w:uiPriority w:val="99"/>
    <w:semiHidden/>
    <w:unhideWhenUsed/>
    <w:rsid w:val="000167CB"/>
    <w:rPr>
      <w:color w:val="605E5C"/>
      <w:shd w:val="clear" w:color="auto" w:fill="E1DFDD"/>
    </w:rPr>
  </w:style>
  <w:style w:type="character" w:styleId="CommentReference">
    <w:name w:val="annotation reference"/>
    <w:basedOn w:val="DefaultParagraphFont"/>
    <w:semiHidden/>
    <w:unhideWhenUsed/>
    <w:rsid w:val="00824F1A"/>
    <w:rPr>
      <w:sz w:val="16"/>
      <w:szCs w:val="16"/>
    </w:rPr>
  </w:style>
  <w:style w:type="paragraph" w:styleId="CommentText">
    <w:name w:val="annotation text"/>
    <w:basedOn w:val="Normal"/>
    <w:link w:val="CommentTextChar"/>
    <w:semiHidden/>
    <w:unhideWhenUsed/>
    <w:rsid w:val="00824F1A"/>
    <w:rPr>
      <w:sz w:val="20"/>
      <w:szCs w:val="20"/>
    </w:rPr>
  </w:style>
  <w:style w:type="character" w:customStyle="1" w:styleId="CommentTextChar">
    <w:name w:val="Comment Text Char"/>
    <w:basedOn w:val="DefaultParagraphFont"/>
    <w:link w:val="CommentText"/>
    <w:semiHidden/>
    <w:rsid w:val="00824F1A"/>
  </w:style>
  <w:style w:type="paragraph" w:styleId="CommentSubject">
    <w:name w:val="annotation subject"/>
    <w:basedOn w:val="CommentText"/>
    <w:next w:val="CommentText"/>
    <w:link w:val="CommentSubjectChar"/>
    <w:semiHidden/>
    <w:unhideWhenUsed/>
    <w:rsid w:val="00824F1A"/>
    <w:rPr>
      <w:b/>
      <w:bCs/>
    </w:rPr>
  </w:style>
  <w:style w:type="character" w:customStyle="1" w:styleId="CommentSubjectChar">
    <w:name w:val="Comment Subject Char"/>
    <w:basedOn w:val="CommentTextChar"/>
    <w:link w:val="CommentSubject"/>
    <w:semiHidden/>
    <w:rsid w:val="00824F1A"/>
    <w:rPr>
      <w:b/>
      <w:bCs/>
    </w:rPr>
  </w:style>
  <w:style w:type="paragraph" w:styleId="Revision">
    <w:name w:val="Revision"/>
    <w:hidden/>
    <w:uiPriority w:val="99"/>
    <w:semiHidden/>
    <w:rsid w:val="00EF76E3"/>
    <w:rPr>
      <w:sz w:val="24"/>
      <w:szCs w:val="24"/>
    </w:rPr>
  </w:style>
  <w:style w:type="character" w:customStyle="1" w:styleId="UnresolvedMention2">
    <w:name w:val="Unresolved Mention2"/>
    <w:basedOn w:val="DefaultParagraphFont"/>
    <w:uiPriority w:val="99"/>
    <w:semiHidden/>
    <w:unhideWhenUsed/>
    <w:rsid w:val="00317085"/>
    <w:rPr>
      <w:color w:val="605E5C"/>
      <w:shd w:val="clear" w:color="auto" w:fill="E1DFDD"/>
    </w:rPr>
  </w:style>
  <w:style w:type="character" w:customStyle="1" w:styleId="UnresolvedMention3">
    <w:name w:val="Unresolved Mention3"/>
    <w:basedOn w:val="DefaultParagraphFont"/>
    <w:uiPriority w:val="99"/>
    <w:semiHidden/>
    <w:unhideWhenUsed/>
    <w:rsid w:val="006510EB"/>
    <w:rPr>
      <w:color w:val="605E5C"/>
      <w:shd w:val="clear" w:color="auto" w:fill="E1DFDD"/>
    </w:rPr>
  </w:style>
  <w:style w:type="character" w:styleId="FollowedHyperlink">
    <w:name w:val="FollowedHyperlink"/>
    <w:basedOn w:val="DefaultParagraphFont"/>
    <w:semiHidden/>
    <w:unhideWhenUsed/>
    <w:rsid w:val="00440650"/>
    <w:rPr>
      <w:color w:val="800080" w:themeColor="followedHyperlink"/>
      <w:u w:val="single"/>
    </w:rPr>
  </w:style>
  <w:style w:type="character" w:customStyle="1" w:styleId="UnresolvedMention4">
    <w:name w:val="Unresolved Mention4"/>
    <w:basedOn w:val="DefaultParagraphFont"/>
    <w:uiPriority w:val="99"/>
    <w:semiHidden/>
    <w:unhideWhenUsed/>
    <w:rsid w:val="00984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702098970">
      <w:bodyDiv w:val="1"/>
      <w:marLeft w:val="0"/>
      <w:marRight w:val="0"/>
      <w:marTop w:val="0"/>
      <w:marBottom w:val="0"/>
      <w:divBdr>
        <w:top w:val="none" w:sz="0" w:space="0" w:color="auto"/>
        <w:left w:val="none" w:sz="0" w:space="0" w:color="auto"/>
        <w:bottom w:val="none" w:sz="0" w:space="0" w:color="auto"/>
        <w:right w:val="none" w:sz="0" w:space="0" w:color="auto"/>
      </w:divBdr>
    </w:div>
    <w:div w:id="772476655">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doe.mass.edu/sped/advisories/2019-1.html" TargetMode="External"/><Relationship Id="rId3" Type="http://schemas.openxmlformats.org/officeDocument/2006/relationships/customXml" Target="../customXml/item3.xml"/><Relationship Id="rId21" Type="http://schemas.openxmlformats.org/officeDocument/2006/relationships/hyperlink" Target="http://profiles.doe.mass.edu/profiles/student.aspx?orgcode=00000000&amp;orgtypecode=0&amp;leftNavId=305&amp;"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malegislature.gov/Laws/GeneralLaws/PartI/TitleXII/Chapter71/Section91"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Section91" TargetMode="External"/><Relationship Id="rId20" Type="http://schemas.openxmlformats.org/officeDocument/2006/relationships/hyperlink" Target="https://budget.digital.mass.gov/bb/h1/fy19h1/brec_19/act_19/h70619607.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mantha.graham@doe.mass.ed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lawsregs/603cmr5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DESE-231-52415</_dlc_DocId>
    <_dlc_DocIdUrl xmlns="733efe1c-5bbe-4968-87dc-d400e65c879f">
      <Url>https://sharepoint.doemass.org/ese/webteam/cps/_layouts/DocIdRedir.aspx?ID=DESE-231-52415</Url>
      <Description>DESE-231-52415</Description>
    </_dlc_DocIdUrl>
    <_vti_RoutingExistingProperties xmlns="0a4e05da-b9bc-4326-ad73-01ef31b9556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2.xml><?xml version="1.0" encoding="utf-8"?>
<ds:datastoreItem xmlns:ds="http://schemas.openxmlformats.org/officeDocument/2006/customXml" ds:itemID="{3A0F3E55-F903-4642-86B3-C4983E32B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CDD52-B136-4A21-9451-BDB83311ADEA}">
  <ds:schemaRefs>
    <ds:schemaRef ds:uri="http://schemas.microsoft.com/sharepoint/v3/contenttype/forms"/>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E17346F9-2CC5-4C3C-A62E-E2EF558B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Recovery High Schools Legislative Report FY19</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High Schools Legislative Report FY19</dc:title>
  <dc:creator>DESE</dc:creator>
  <cp:lastModifiedBy>Zou, Dong (EOE)</cp:lastModifiedBy>
  <cp:revision>4</cp:revision>
  <cp:lastPrinted>2019-04-23T17:51:00Z</cp:lastPrinted>
  <dcterms:created xsi:type="dcterms:W3CDTF">2019-06-21T13:12:00Z</dcterms:created>
  <dcterms:modified xsi:type="dcterms:W3CDTF">2019-06-21T16:39:00Z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2019</vt:lpwstr>
  </property>
</Properties>
</file>