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810" w:type="dxa"/>
        <w:tblLayout w:type="fixed"/>
        <w:tblCellMar>
          <w:left w:w="115" w:type="dxa"/>
          <w:right w:w="115" w:type="dxa"/>
        </w:tblCellMar>
        <w:tblLook w:val="00A0" w:firstRow="1" w:lastRow="0" w:firstColumn="1" w:lastColumn="0" w:noHBand="0" w:noVBand="0"/>
      </w:tblPr>
      <w:tblGrid>
        <w:gridCol w:w="990"/>
        <w:gridCol w:w="7020"/>
        <w:gridCol w:w="1530"/>
      </w:tblGrid>
      <w:tr w:rsidR="00BA7F5A" w14:paraId="51176FEE" w14:textId="77777777" w:rsidTr="00C22344">
        <w:trPr>
          <w:gridAfter w:val="1"/>
          <w:wAfter w:w="1530" w:type="dxa"/>
          <w:trHeight w:val="5040"/>
        </w:trPr>
        <w:tc>
          <w:tcPr>
            <w:tcW w:w="8010" w:type="dxa"/>
            <w:gridSpan w:val="2"/>
          </w:tcPr>
          <w:p w14:paraId="1BE7D8EA" w14:textId="77777777" w:rsidR="00BA7F5A" w:rsidRDefault="00BA7F5A" w:rsidP="00C22344">
            <w:pPr>
              <w:keepNext/>
            </w:pPr>
          </w:p>
          <w:p w14:paraId="287950A4" w14:textId="77777777" w:rsidR="00BA7F5A" w:rsidRDefault="00BA7F5A" w:rsidP="00C22344">
            <w:r>
              <w:rPr>
                <w:noProof/>
              </w:rPr>
              <w:drawing>
                <wp:inline distT="0" distB="0" distL="0" distR="0" wp14:anchorId="16E96D32" wp14:editId="140ECC84">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1"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BA7F5A" w14:paraId="5726E231" w14:textId="77777777" w:rsidTr="00C22344">
        <w:trPr>
          <w:gridAfter w:val="1"/>
          <w:wAfter w:w="1530" w:type="dxa"/>
          <w:cantSplit/>
          <w:trHeight w:val="200"/>
        </w:trPr>
        <w:tc>
          <w:tcPr>
            <w:tcW w:w="990" w:type="dxa"/>
            <w:vMerge w:val="restart"/>
            <w:vAlign w:val="bottom"/>
          </w:tcPr>
          <w:p w14:paraId="0B2DDAD3" w14:textId="77777777" w:rsidR="00BA7F5A" w:rsidRPr="00274356" w:rsidRDefault="00BA7F5A" w:rsidP="00C22344"/>
        </w:tc>
        <w:tc>
          <w:tcPr>
            <w:tcW w:w="7020" w:type="dxa"/>
            <w:vAlign w:val="bottom"/>
          </w:tcPr>
          <w:p w14:paraId="79309090" w14:textId="77777777" w:rsidR="00BA7F5A" w:rsidRPr="0098634D" w:rsidRDefault="00BA7F5A" w:rsidP="00C22344">
            <w:pPr>
              <w:pStyle w:val="xesereportname"/>
              <w:spacing w:line="200" w:lineRule="atLeast"/>
              <w:rPr>
                <w:rFonts w:cs="Arial"/>
                <w:bCs/>
                <w:szCs w:val="36"/>
              </w:rPr>
            </w:pPr>
            <w:r>
              <w:rPr>
                <w:b/>
                <w:bCs/>
                <w:color w:val="000000"/>
                <w:sz w:val="40"/>
                <w:szCs w:val="40"/>
                <w:bdr w:val="none" w:sz="0" w:space="0" w:color="auto" w:frame="1"/>
              </w:rPr>
              <w:t xml:space="preserve">The Average Cost Per Pupil at Recovery High Schools </w:t>
            </w:r>
          </w:p>
        </w:tc>
      </w:tr>
      <w:tr w:rsidR="00BA7F5A" w14:paraId="0F051BE5" w14:textId="77777777" w:rsidTr="00C22344">
        <w:trPr>
          <w:gridAfter w:val="1"/>
          <w:wAfter w:w="1530" w:type="dxa"/>
          <w:cantSplit/>
          <w:trHeight w:val="240"/>
        </w:trPr>
        <w:tc>
          <w:tcPr>
            <w:tcW w:w="990" w:type="dxa"/>
            <w:vMerge/>
            <w:vAlign w:val="bottom"/>
          </w:tcPr>
          <w:p w14:paraId="09C051A3" w14:textId="77777777" w:rsidR="00BA7F5A" w:rsidRDefault="00BA7F5A" w:rsidP="00C22344">
            <w:pPr>
              <w:spacing w:line="400" w:lineRule="exact"/>
              <w:rPr>
                <w:rFonts w:ascii="Arial" w:hAnsi="Arial"/>
                <w:color w:val="000000"/>
              </w:rPr>
            </w:pPr>
          </w:p>
        </w:tc>
        <w:tc>
          <w:tcPr>
            <w:tcW w:w="7020" w:type="dxa"/>
          </w:tcPr>
          <w:p w14:paraId="320899E8" w14:textId="77777777" w:rsidR="00BA7F5A" w:rsidRPr="00EB1F6F" w:rsidRDefault="00CC30CD" w:rsidP="00C22344">
            <w:r>
              <w:pict w14:anchorId="50886718">
                <v:rect id="_x0000_i1025" style="width:0;height:1.5pt" o:hrstd="t" o:hr="t" fillcolor="#aaa" stroked="f"/>
              </w:pict>
            </w:r>
          </w:p>
        </w:tc>
      </w:tr>
      <w:tr w:rsidR="00BA7F5A" w14:paraId="4FBFB79E" w14:textId="77777777" w:rsidTr="00C22344">
        <w:trPr>
          <w:gridAfter w:val="1"/>
          <w:wAfter w:w="1530" w:type="dxa"/>
          <w:cantSplit/>
          <w:trHeight w:val="760"/>
        </w:trPr>
        <w:tc>
          <w:tcPr>
            <w:tcW w:w="990" w:type="dxa"/>
            <w:vMerge/>
            <w:vAlign w:val="bottom"/>
          </w:tcPr>
          <w:p w14:paraId="520BE606" w14:textId="77777777" w:rsidR="00BA7F5A" w:rsidRDefault="00BA7F5A" w:rsidP="00C22344">
            <w:pPr>
              <w:spacing w:line="400" w:lineRule="exact"/>
              <w:rPr>
                <w:rFonts w:ascii="Arial" w:hAnsi="Arial"/>
                <w:color w:val="000000"/>
              </w:rPr>
            </w:pPr>
          </w:p>
        </w:tc>
        <w:tc>
          <w:tcPr>
            <w:tcW w:w="7020" w:type="dxa"/>
          </w:tcPr>
          <w:p w14:paraId="2D84591C" w14:textId="77777777" w:rsidR="00BA7F5A" w:rsidRPr="0098634D" w:rsidRDefault="00BA7F5A" w:rsidP="00C22344">
            <w:pPr>
              <w:pStyle w:val="arial9"/>
              <w:rPr>
                <w:rFonts w:ascii="Times New Roman" w:hAnsi="Times New Roman"/>
                <w:sz w:val="20"/>
                <w:szCs w:val="20"/>
              </w:rPr>
            </w:pPr>
            <w:r w:rsidRPr="0098634D">
              <w:rPr>
                <w:rFonts w:ascii="Times New Roman" w:hAnsi="Times New Roman"/>
                <w:color w:val="201F1E"/>
                <w:sz w:val="20"/>
                <w:szCs w:val="20"/>
                <w:shd w:val="clear" w:color="auto" w:fill="FFFFFF"/>
              </w:rPr>
              <w:t>This report is submitted pursuant to Chapter 132 of the Acts of 2019</w:t>
            </w:r>
            <w:r>
              <w:rPr>
                <w:rFonts w:ascii="Times New Roman" w:hAnsi="Times New Roman"/>
                <w:color w:val="201F1E"/>
                <w:sz w:val="20"/>
                <w:szCs w:val="20"/>
                <w:shd w:val="clear" w:color="auto" w:fill="FFFFFF"/>
              </w:rPr>
              <w:t>, An Act Relative to Educational Opportunity f</w:t>
            </w:r>
            <w:r w:rsidRPr="0098634D">
              <w:rPr>
                <w:rFonts w:ascii="Times New Roman" w:hAnsi="Times New Roman"/>
                <w:color w:val="201F1E"/>
                <w:sz w:val="20"/>
                <w:szCs w:val="20"/>
                <w:shd w:val="clear" w:color="auto" w:fill="FFFFFF"/>
              </w:rPr>
              <w:t>or Students</w:t>
            </w:r>
            <w:r>
              <w:rPr>
                <w:rFonts w:ascii="Times New Roman" w:hAnsi="Times New Roman"/>
                <w:color w:val="201F1E"/>
                <w:sz w:val="20"/>
                <w:szCs w:val="20"/>
                <w:shd w:val="clear" w:color="auto" w:fill="FFFFFF"/>
              </w:rPr>
              <w:t>, examining the per pupil costs associated with sending students to Recovery High Schools</w:t>
            </w:r>
            <w:r w:rsidRPr="0098634D">
              <w:rPr>
                <w:rFonts w:ascii="Times New Roman" w:hAnsi="Times New Roman"/>
                <w:color w:val="201F1E"/>
                <w:sz w:val="20"/>
                <w:szCs w:val="20"/>
                <w:shd w:val="clear" w:color="auto" w:fill="FFFFFF"/>
              </w:rPr>
              <w:t>.</w:t>
            </w:r>
            <w:r w:rsidRPr="0098634D">
              <w:rPr>
                <w:rFonts w:ascii="Times New Roman" w:hAnsi="Times New Roman"/>
                <w:sz w:val="20"/>
                <w:szCs w:val="20"/>
              </w:rPr>
              <w:t xml:space="preserve"> </w:t>
            </w:r>
          </w:p>
          <w:p w14:paraId="495B5459" w14:textId="77777777" w:rsidR="00BA7F5A" w:rsidRPr="009A5EBB" w:rsidRDefault="00BA7F5A" w:rsidP="00C22344">
            <w:pPr>
              <w:pStyle w:val="arial9"/>
              <w:rPr>
                <w:rFonts w:ascii="Times New Roman" w:hAnsi="Times New Roman"/>
                <w:sz w:val="20"/>
                <w:szCs w:val="20"/>
              </w:rPr>
            </w:pPr>
            <w:r>
              <w:rPr>
                <w:rFonts w:ascii="Times New Roman" w:hAnsi="Times New Roman"/>
                <w:sz w:val="20"/>
                <w:szCs w:val="20"/>
              </w:rPr>
              <w:br/>
              <w:t>March 2020</w:t>
            </w:r>
          </w:p>
        </w:tc>
      </w:tr>
      <w:tr w:rsidR="00BA7F5A" w14:paraId="0085E7A7" w14:textId="77777777" w:rsidTr="00C22344">
        <w:trPr>
          <w:gridAfter w:val="1"/>
          <w:wAfter w:w="1530" w:type="dxa"/>
          <w:cantSplit/>
          <w:trHeight w:val="5724"/>
        </w:trPr>
        <w:tc>
          <w:tcPr>
            <w:tcW w:w="990" w:type="dxa"/>
            <w:vMerge/>
            <w:vAlign w:val="bottom"/>
          </w:tcPr>
          <w:p w14:paraId="08F407B6" w14:textId="77777777" w:rsidR="00BA7F5A" w:rsidRDefault="00BA7F5A" w:rsidP="00C22344">
            <w:pPr>
              <w:spacing w:line="400" w:lineRule="exact"/>
              <w:rPr>
                <w:rFonts w:ascii="Arial" w:hAnsi="Arial"/>
                <w:color w:val="000000"/>
              </w:rPr>
            </w:pPr>
          </w:p>
        </w:tc>
        <w:tc>
          <w:tcPr>
            <w:tcW w:w="7020" w:type="dxa"/>
            <w:vAlign w:val="bottom"/>
          </w:tcPr>
          <w:p w14:paraId="14D88665" w14:textId="77777777" w:rsidR="00BA7F5A" w:rsidRPr="009A5EBB" w:rsidRDefault="00BA7F5A" w:rsidP="00C22344">
            <w:pPr>
              <w:pStyle w:val="AgencyTitle"/>
              <w:rPr>
                <w:rFonts w:ascii="Times New Roman" w:hAnsi="Times New Roman"/>
                <w:sz w:val="20"/>
                <w:szCs w:val="20"/>
              </w:rPr>
            </w:pPr>
            <w:r w:rsidRPr="009A5EBB">
              <w:rPr>
                <w:rFonts w:ascii="Times New Roman" w:hAnsi="Times New Roman"/>
                <w:sz w:val="20"/>
                <w:szCs w:val="20"/>
              </w:rPr>
              <w:t>Massachusetts Department of Elementary and Secondary Education</w:t>
            </w:r>
          </w:p>
          <w:p w14:paraId="51A889C9" w14:textId="77777777" w:rsidR="00BA7F5A" w:rsidRPr="009A5EBB" w:rsidRDefault="00BA7F5A" w:rsidP="00C22344">
            <w:pPr>
              <w:pStyle w:val="arial9"/>
              <w:rPr>
                <w:rFonts w:ascii="Times New Roman" w:hAnsi="Times New Roman"/>
                <w:snapToGrid w:val="0"/>
                <w:sz w:val="20"/>
                <w:szCs w:val="20"/>
              </w:rPr>
            </w:pPr>
            <w:r w:rsidRPr="009A5EBB">
              <w:rPr>
                <w:rFonts w:ascii="Times New Roman" w:hAnsi="Times New Roman"/>
                <w:snapToGrid w:val="0"/>
                <w:sz w:val="20"/>
                <w:szCs w:val="20"/>
              </w:rPr>
              <w:t>75 Pleasant Street, Malden, MA 02148-4906</w:t>
            </w:r>
          </w:p>
          <w:p w14:paraId="49BACD98" w14:textId="77777777" w:rsidR="00BA7F5A" w:rsidRPr="009A5EBB" w:rsidRDefault="00BA7F5A" w:rsidP="00C22344">
            <w:pPr>
              <w:pStyle w:val="arial9"/>
              <w:rPr>
                <w:rFonts w:ascii="Times New Roman" w:hAnsi="Times New Roman"/>
                <w:snapToGrid w:val="0"/>
                <w:sz w:val="20"/>
                <w:szCs w:val="20"/>
              </w:rPr>
            </w:pPr>
            <w:r w:rsidRPr="009A5EBB">
              <w:rPr>
                <w:rFonts w:ascii="Times New Roman" w:hAnsi="Times New Roman"/>
                <w:snapToGrid w:val="0"/>
                <w:sz w:val="20"/>
                <w:szCs w:val="20"/>
              </w:rPr>
              <w:t>Phone 781-338-3000  TTY: N.E.T. Relay 800-439-2370</w:t>
            </w:r>
          </w:p>
          <w:p w14:paraId="1E6E1770" w14:textId="77777777" w:rsidR="00BA7F5A" w:rsidRDefault="00BA7F5A" w:rsidP="00C22344">
            <w:pPr>
              <w:pStyle w:val="arial9"/>
            </w:pPr>
            <w:r w:rsidRPr="009A5EBB">
              <w:rPr>
                <w:rFonts w:ascii="Times New Roman" w:hAnsi="Times New Roman"/>
                <w:snapToGrid w:val="0"/>
                <w:sz w:val="20"/>
                <w:szCs w:val="20"/>
              </w:rPr>
              <w:t>www.doe.mass.edu</w:t>
            </w:r>
          </w:p>
        </w:tc>
      </w:tr>
      <w:tr w:rsidR="00BA7F5A" w14:paraId="05709C53" w14:textId="77777777" w:rsidTr="00C22344">
        <w:tblPrEx>
          <w:tblCellMar>
            <w:left w:w="108" w:type="dxa"/>
            <w:right w:w="108" w:type="dxa"/>
          </w:tblCellMar>
        </w:tblPrEx>
        <w:trPr>
          <w:trHeight w:val="8235"/>
        </w:trPr>
        <w:tc>
          <w:tcPr>
            <w:tcW w:w="9540" w:type="dxa"/>
            <w:gridSpan w:val="3"/>
          </w:tcPr>
          <w:p w14:paraId="2C149B7B" w14:textId="77777777" w:rsidR="00BA7F5A" w:rsidRPr="00345DE2" w:rsidRDefault="00BA7F5A" w:rsidP="00C22344">
            <w:pPr>
              <w:jc w:val="center"/>
            </w:pPr>
            <w:r>
              <w:rPr>
                <w:noProof/>
              </w:rPr>
              <w:lastRenderedPageBreak/>
              <w:drawing>
                <wp:inline distT="0" distB="0" distL="0" distR="0" wp14:anchorId="16C8A405" wp14:editId="2A4912E8">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1"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2D9D7ECD" w14:textId="77777777" w:rsidR="00BA7F5A" w:rsidRPr="00345DE2" w:rsidRDefault="00BA7F5A" w:rsidP="00C22344"/>
          <w:p w14:paraId="0E163789" w14:textId="77777777" w:rsidR="00BA7F5A" w:rsidRPr="00345DE2" w:rsidRDefault="00BA7F5A" w:rsidP="00C22344"/>
          <w:p w14:paraId="055D2F51" w14:textId="77777777" w:rsidR="00BA7F5A" w:rsidRPr="009A5EBB" w:rsidRDefault="00BA7F5A" w:rsidP="00C22344">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Massachusetts Department of Elementary and Secondary Education</w:t>
            </w:r>
          </w:p>
          <w:p w14:paraId="62ECFC85" w14:textId="77777777" w:rsidR="00BA7F5A" w:rsidRPr="009A5EBB" w:rsidRDefault="00BA7F5A" w:rsidP="00C22344">
            <w:pPr>
              <w:pStyle w:val="BoardMembers"/>
              <w:rPr>
                <w:rFonts w:ascii="Times New Roman" w:hAnsi="Times New Roman"/>
                <w:sz w:val="20"/>
              </w:rPr>
            </w:pPr>
            <w:r>
              <w:rPr>
                <w:rFonts w:ascii="Times New Roman" w:hAnsi="Times New Roman"/>
                <w:sz w:val="20"/>
              </w:rPr>
              <w:t>Jeffrey C. Riley</w:t>
            </w:r>
          </w:p>
          <w:p w14:paraId="38A06474" w14:textId="77777777" w:rsidR="00BA7F5A" w:rsidRPr="009A5EBB" w:rsidRDefault="00BA7F5A" w:rsidP="00C22344">
            <w:pPr>
              <w:pStyle w:val="BoardMembers"/>
              <w:rPr>
                <w:rFonts w:ascii="Times New Roman" w:hAnsi="Times New Roman"/>
                <w:sz w:val="20"/>
              </w:rPr>
            </w:pPr>
            <w:r>
              <w:rPr>
                <w:rFonts w:ascii="Times New Roman" w:hAnsi="Times New Roman"/>
                <w:sz w:val="20"/>
              </w:rPr>
              <w:t>Commissioner</w:t>
            </w:r>
          </w:p>
          <w:p w14:paraId="7C3A881C" w14:textId="77777777" w:rsidR="00BA7F5A" w:rsidRDefault="00BA7F5A" w:rsidP="00C22344">
            <w:pPr>
              <w:autoSpaceDE w:val="0"/>
              <w:autoSpaceDN w:val="0"/>
              <w:adjustRightInd w:val="0"/>
              <w:jc w:val="center"/>
              <w:rPr>
                <w:bCs/>
                <w:sz w:val="22"/>
                <w:szCs w:val="22"/>
              </w:rPr>
            </w:pPr>
            <w:r>
              <w:rPr>
                <w:bCs/>
                <w:sz w:val="22"/>
                <w:szCs w:val="22"/>
              </w:rPr>
              <w:t xml:space="preserve"> </w:t>
            </w:r>
          </w:p>
          <w:p w14:paraId="6C848F6F" w14:textId="77777777" w:rsidR="00BA7F5A" w:rsidRDefault="00BA7F5A" w:rsidP="00C22344">
            <w:pPr>
              <w:autoSpaceDE w:val="0"/>
              <w:autoSpaceDN w:val="0"/>
              <w:adjustRightInd w:val="0"/>
              <w:jc w:val="center"/>
              <w:rPr>
                <w:bCs/>
                <w:sz w:val="22"/>
                <w:szCs w:val="22"/>
              </w:rPr>
            </w:pPr>
          </w:p>
          <w:p w14:paraId="347F7981" w14:textId="77777777" w:rsidR="00BA7F5A" w:rsidRPr="00C87B1B" w:rsidRDefault="00BA7F5A" w:rsidP="00C22344">
            <w:pPr>
              <w:autoSpaceDE w:val="0"/>
              <w:autoSpaceDN w:val="0"/>
              <w:adjustRightInd w:val="0"/>
              <w:jc w:val="center"/>
              <w:rPr>
                <w:b/>
                <w:bCs/>
                <w:sz w:val="22"/>
                <w:szCs w:val="22"/>
              </w:rPr>
            </w:pPr>
            <w:r w:rsidRPr="00C87B1B">
              <w:rPr>
                <w:b/>
                <w:bCs/>
                <w:sz w:val="22"/>
                <w:szCs w:val="22"/>
              </w:rPr>
              <w:t>Board of Elementary and Secondary Education Members</w:t>
            </w:r>
          </w:p>
          <w:p w14:paraId="19651E29" w14:textId="77777777" w:rsidR="00BA7F5A" w:rsidRDefault="00BA7F5A" w:rsidP="00C22344">
            <w:pPr>
              <w:jc w:val="center"/>
              <w:rPr>
                <w:sz w:val="20"/>
                <w:szCs w:val="20"/>
              </w:rPr>
            </w:pPr>
            <w:r>
              <w:rPr>
                <w:sz w:val="20"/>
                <w:szCs w:val="20"/>
              </w:rPr>
              <w:t>Ms. Katherine Craven</w:t>
            </w:r>
            <w:r w:rsidRPr="00522BFB">
              <w:rPr>
                <w:sz w:val="20"/>
                <w:szCs w:val="20"/>
              </w:rPr>
              <w:t xml:space="preserve">, Chair, </w:t>
            </w:r>
            <w:r>
              <w:rPr>
                <w:sz w:val="20"/>
                <w:szCs w:val="20"/>
              </w:rPr>
              <w:t>Brookline</w:t>
            </w:r>
          </w:p>
          <w:p w14:paraId="5742CBA2" w14:textId="77777777" w:rsidR="00BA7F5A" w:rsidRPr="00522BFB" w:rsidRDefault="00BA7F5A" w:rsidP="00C22344">
            <w:pPr>
              <w:jc w:val="center"/>
              <w:rPr>
                <w:sz w:val="20"/>
                <w:szCs w:val="20"/>
              </w:rPr>
            </w:pPr>
            <w:r w:rsidRPr="00522BFB">
              <w:rPr>
                <w:sz w:val="20"/>
                <w:szCs w:val="20"/>
              </w:rPr>
              <w:t>Mr. James Morton, Vice Chair, Springfield</w:t>
            </w:r>
          </w:p>
          <w:p w14:paraId="388ADD4B" w14:textId="77777777" w:rsidR="00BA7F5A" w:rsidRDefault="00BA7F5A" w:rsidP="00C22344">
            <w:pPr>
              <w:jc w:val="center"/>
              <w:rPr>
                <w:sz w:val="20"/>
                <w:szCs w:val="20"/>
              </w:rPr>
            </w:pPr>
            <w:r w:rsidRPr="00522BFB">
              <w:rPr>
                <w:sz w:val="20"/>
                <w:szCs w:val="20"/>
              </w:rPr>
              <w:t>Ms. Amanda Fernández, Belmont</w:t>
            </w:r>
          </w:p>
          <w:p w14:paraId="42585F1C" w14:textId="77777777" w:rsidR="00BA7F5A" w:rsidRDefault="00BA7F5A" w:rsidP="00C22344">
            <w:pPr>
              <w:jc w:val="center"/>
              <w:rPr>
                <w:sz w:val="20"/>
                <w:szCs w:val="20"/>
              </w:rPr>
            </w:pPr>
            <w:r>
              <w:rPr>
                <w:sz w:val="20"/>
                <w:szCs w:val="20"/>
              </w:rPr>
              <w:t>Mr. Matthew Hills, Newton</w:t>
            </w:r>
          </w:p>
          <w:p w14:paraId="53459F58" w14:textId="77777777" w:rsidR="00BA7F5A" w:rsidRPr="00522BFB" w:rsidRDefault="00BA7F5A" w:rsidP="00C22344">
            <w:pPr>
              <w:jc w:val="center"/>
              <w:rPr>
                <w:sz w:val="20"/>
                <w:szCs w:val="20"/>
              </w:rPr>
            </w:pPr>
            <w:r w:rsidRPr="00522BFB">
              <w:rPr>
                <w:sz w:val="20"/>
                <w:szCs w:val="20"/>
              </w:rPr>
              <w:t>Mr. Michael Moriarty, Holyoke</w:t>
            </w:r>
          </w:p>
          <w:p w14:paraId="30FEDB92" w14:textId="77777777" w:rsidR="00BA7F5A" w:rsidRDefault="00BA7F5A" w:rsidP="00C22344">
            <w:pPr>
              <w:jc w:val="center"/>
              <w:rPr>
                <w:sz w:val="20"/>
                <w:szCs w:val="20"/>
              </w:rPr>
            </w:pPr>
            <w:r w:rsidRPr="00522BFB">
              <w:rPr>
                <w:sz w:val="20"/>
                <w:szCs w:val="20"/>
              </w:rPr>
              <w:t>Mr. James Peyser, Secretary of Education, Milton</w:t>
            </w:r>
          </w:p>
          <w:p w14:paraId="3C3A3965" w14:textId="77777777" w:rsidR="00BA7F5A" w:rsidRPr="00522BFB" w:rsidRDefault="00BA7F5A" w:rsidP="00C22344">
            <w:pPr>
              <w:jc w:val="center"/>
              <w:rPr>
                <w:sz w:val="20"/>
                <w:szCs w:val="20"/>
              </w:rPr>
            </w:pPr>
            <w:r>
              <w:rPr>
                <w:sz w:val="20"/>
                <w:szCs w:val="20"/>
              </w:rPr>
              <w:t>Mr. Paymon Rouhanifard, Brookline</w:t>
            </w:r>
          </w:p>
          <w:p w14:paraId="20B8AADD" w14:textId="77777777" w:rsidR="00BA7F5A" w:rsidRDefault="00BA7F5A" w:rsidP="00C22344">
            <w:pPr>
              <w:jc w:val="center"/>
              <w:rPr>
                <w:sz w:val="20"/>
                <w:szCs w:val="20"/>
              </w:rPr>
            </w:pPr>
            <w:r w:rsidRPr="00522BFB">
              <w:rPr>
                <w:sz w:val="20"/>
                <w:szCs w:val="20"/>
              </w:rPr>
              <w:t>Ms. Mary Ann Stewart, Lexington</w:t>
            </w:r>
          </w:p>
          <w:p w14:paraId="677FAB96" w14:textId="77777777" w:rsidR="00BA7F5A" w:rsidRPr="00522BFB" w:rsidRDefault="00BA7F5A" w:rsidP="00C22344">
            <w:pPr>
              <w:jc w:val="center"/>
              <w:rPr>
                <w:sz w:val="20"/>
                <w:szCs w:val="20"/>
              </w:rPr>
            </w:pPr>
            <w:r>
              <w:rPr>
                <w:sz w:val="20"/>
                <w:szCs w:val="20"/>
              </w:rPr>
              <w:t>Mr</w:t>
            </w:r>
            <w:r w:rsidRPr="007848DF">
              <w:rPr>
                <w:sz w:val="20"/>
                <w:szCs w:val="20"/>
              </w:rPr>
              <w:t xml:space="preserve">. </w:t>
            </w:r>
            <w:r>
              <w:rPr>
                <w:sz w:val="20"/>
                <w:szCs w:val="20"/>
              </w:rPr>
              <w:t>Mathew Tibbitts</w:t>
            </w:r>
            <w:r w:rsidRPr="007848DF">
              <w:rPr>
                <w:sz w:val="20"/>
                <w:szCs w:val="20"/>
              </w:rPr>
              <w:t xml:space="preserve">, Student Advisory Council, </w:t>
            </w:r>
            <w:r>
              <w:rPr>
                <w:sz w:val="20"/>
                <w:szCs w:val="20"/>
              </w:rPr>
              <w:t>Ludlow</w:t>
            </w:r>
          </w:p>
          <w:p w14:paraId="27E68863" w14:textId="77777777" w:rsidR="00BA7F5A" w:rsidRPr="00522BFB" w:rsidRDefault="00BA7F5A" w:rsidP="00C22344">
            <w:pPr>
              <w:jc w:val="center"/>
              <w:rPr>
                <w:sz w:val="20"/>
                <w:szCs w:val="20"/>
              </w:rPr>
            </w:pPr>
            <w:r w:rsidRPr="00522BFB">
              <w:rPr>
                <w:sz w:val="20"/>
                <w:szCs w:val="20"/>
              </w:rPr>
              <w:t>Dr. Martin West, Newton</w:t>
            </w:r>
          </w:p>
          <w:p w14:paraId="520B1136" w14:textId="77777777" w:rsidR="00BA7F5A" w:rsidRPr="00522BFB" w:rsidRDefault="00BA7F5A" w:rsidP="00C22344">
            <w:pPr>
              <w:jc w:val="center"/>
              <w:rPr>
                <w:sz w:val="20"/>
                <w:szCs w:val="20"/>
              </w:rPr>
            </w:pPr>
          </w:p>
          <w:p w14:paraId="0DA016E4" w14:textId="77777777" w:rsidR="00BA7F5A" w:rsidRPr="007E6DA4" w:rsidRDefault="00BA7F5A" w:rsidP="00C22344">
            <w:pPr>
              <w:jc w:val="center"/>
              <w:rPr>
                <w:sz w:val="20"/>
                <w:szCs w:val="20"/>
              </w:rPr>
            </w:pPr>
            <w:r w:rsidRPr="007E6DA4">
              <w:rPr>
                <w:sz w:val="20"/>
                <w:szCs w:val="20"/>
              </w:rPr>
              <w:t>Jeffrey C. Riley, Commissioner</w:t>
            </w:r>
          </w:p>
          <w:p w14:paraId="519AED3D" w14:textId="77777777" w:rsidR="00BA7F5A" w:rsidRPr="007E6DA4" w:rsidRDefault="00BA7F5A" w:rsidP="00C22344">
            <w:pPr>
              <w:jc w:val="center"/>
              <w:rPr>
                <w:sz w:val="20"/>
                <w:szCs w:val="20"/>
              </w:rPr>
            </w:pPr>
            <w:r w:rsidRPr="007E6DA4">
              <w:rPr>
                <w:sz w:val="20"/>
                <w:szCs w:val="20"/>
              </w:rPr>
              <w:t>Secretary to the Board</w:t>
            </w:r>
          </w:p>
          <w:p w14:paraId="3F8C10C8" w14:textId="77777777" w:rsidR="00BA7F5A" w:rsidRPr="00522BFB" w:rsidRDefault="00BA7F5A" w:rsidP="00C22344">
            <w:pPr>
              <w:jc w:val="center"/>
              <w:rPr>
                <w:sz w:val="20"/>
                <w:szCs w:val="20"/>
              </w:rPr>
            </w:pPr>
          </w:p>
          <w:p w14:paraId="7B6C9767" w14:textId="77777777" w:rsidR="00BA7F5A" w:rsidRPr="009A5EBB" w:rsidRDefault="00BA7F5A" w:rsidP="00C22344">
            <w:pPr>
              <w:pStyle w:val="BoardMembers"/>
              <w:rPr>
                <w:rFonts w:ascii="Times New Roman" w:hAnsi="Times New Roman"/>
                <w:szCs w:val="18"/>
              </w:rPr>
            </w:pPr>
            <w:r w:rsidRPr="009A5EBB">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14:paraId="0FF946F4" w14:textId="77777777" w:rsidR="00BA7F5A" w:rsidRPr="009A5EBB" w:rsidRDefault="00BA7F5A" w:rsidP="00C22344">
            <w:pPr>
              <w:pStyle w:val="BoardMembers"/>
              <w:rPr>
                <w:rFonts w:ascii="Times New Roman" w:hAnsi="Times New Roman"/>
                <w:szCs w:val="18"/>
              </w:rPr>
            </w:pPr>
            <w:r w:rsidRPr="009A5EBB">
              <w:rPr>
                <w:rFonts w:ascii="Times New Roman" w:hAnsi="Times New Roman"/>
                <w:szCs w:val="18"/>
              </w:rPr>
              <w:t xml:space="preserve">We do not discriminate on the basis of age, color, disability, national origin, race, religion, sex, gender identity, or sexual orientation. </w:t>
            </w:r>
          </w:p>
          <w:p w14:paraId="6923ADEB" w14:textId="77777777" w:rsidR="00BA7F5A" w:rsidRPr="009A5EBB" w:rsidRDefault="00BA7F5A" w:rsidP="00C22344">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18D401D1" w14:textId="77777777" w:rsidR="00BA7F5A" w:rsidRPr="009A5EBB" w:rsidRDefault="00BA7F5A" w:rsidP="00C22344">
            <w:pPr>
              <w:pStyle w:val="BoardMembers"/>
              <w:rPr>
                <w:rFonts w:ascii="Times New Roman" w:hAnsi="Times New Roman"/>
                <w:szCs w:val="18"/>
              </w:rPr>
            </w:pPr>
            <w:r w:rsidRPr="009A5EBB">
              <w:rPr>
                <w:rFonts w:ascii="Times New Roman" w:hAnsi="Times New Roman"/>
                <w:szCs w:val="18"/>
              </w:rPr>
              <w:t xml:space="preserve">Human Resources Director, </w:t>
            </w:r>
            <w:r w:rsidRPr="009A5EBB">
              <w:rPr>
                <w:rFonts w:ascii="Times New Roman" w:hAnsi="Times New Roman"/>
                <w:snapToGrid w:val="0"/>
                <w:szCs w:val="18"/>
              </w:rPr>
              <w:t xml:space="preserve">75 Pleasant </w:t>
            </w:r>
            <w:r w:rsidRPr="009A5EBB">
              <w:rPr>
                <w:rFonts w:ascii="Times New Roman" w:hAnsi="Times New Roman"/>
                <w:szCs w:val="18"/>
              </w:rPr>
              <w:t>St., Malden, MA 02148-4906. Phone: 781-338-6105.</w:t>
            </w:r>
          </w:p>
          <w:p w14:paraId="1856628E" w14:textId="77777777" w:rsidR="00BA7F5A" w:rsidRPr="009A5EBB" w:rsidRDefault="00BA7F5A" w:rsidP="00C22344">
            <w:pPr>
              <w:rPr>
                <w:sz w:val="18"/>
                <w:szCs w:val="18"/>
              </w:rPr>
            </w:pPr>
          </w:p>
          <w:p w14:paraId="450F9AD5" w14:textId="77777777" w:rsidR="00BA7F5A" w:rsidRPr="009A5EBB" w:rsidRDefault="00BA7F5A" w:rsidP="00C22344">
            <w:pPr>
              <w:rPr>
                <w:sz w:val="18"/>
                <w:szCs w:val="18"/>
              </w:rPr>
            </w:pPr>
          </w:p>
          <w:p w14:paraId="02B3AE88" w14:textId="77777777" w:rsidR="00BA7F5A" w:rsidRPr="009A5EBB" w:rsidRDefault="00BA7F5A" w:rsidP="00C22344">
            <w:pPr>
              <w:pStyle w:val="BoardMembers"/>
              <w:rPr>
                <w:rFonts w:ascii="Times New Roman" w:hAnsi="Times New Roman"/>
                <w:szCs w:val="18"/>
              </w:rPr>
            </w:pPr>
            <w:r w:rsidRPr="009A5EBB">
              <w:rPr>
                <w:rFonts w:ascii="Times New Roman" w:hAnsi="Times New Roman"/>
                <w:szCs w:val="18"/>
              </w:rPr>
              <w:t>© 20</w:t>
            </w:r>
            <w:r>
              <w:rPr>
                <w:rFonts w:ascii="Times New Roman" w:hAnsi="Times New Roman"/>
                <w:szCs w:val="18"/>
              </w:rPr>
              <w:t>20</w:t>
            </w:r>
            <w:r w:rsidRPr="009A5EBB">
              <w:rPr>
                <w:rFonts w:ascii="Times New Roman" w:hAnsi="Times New Roman"/>
                <w:szCs w:val="18"/>
              </w:rPr>
              <w:t xml:space="preserve"> Massachusetts Department of Elementary and Secondary Education</w:t>
            </w:r>
          </w:p>
          <w:p w14:paraId="423B4005" w14:textId="77777777" w:rsidR="00BA7F5A" w:rsidRPr="009A5EBB" w:rsidRDefault="00BA7F5A" w:rsidP="00C22344">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14:paraId="7613C486" w14:textId="77777777" w:rsidR="00BA7F5A" w:rsidRPr="009A5EBB" w:rsidRDefault="00BA7F5A" w:rsidP="00C22344">
            <w:pPr>
              <w:rPr>
                <w:sz w:val="18"/>
                <w:szCs w:val="18"/>
              </w:rPr>
            </w:pPr>
          </w:p>
          <w:p w14:paraId="6F674F2C" w14:textId="77777777" w:rsidR="00BA7F5A" w:rsidRPr="009A5EBB" w:rsidRDefault="00BA7F5A" w:rsidP="00C22344">
            <w:pPr>
              <w:pStyle w:val="Permission"/>
              <w:rPr>
                <w:rFonts w:ascii="Times New Roman" w:hAnsi="Times New Roman"/>
                <w:szCs w:val="18"/>
              </w:rPr>
            </w:pPr>
            <w:r w:rsidRPr="009A5EBB">
              <w:rPr>
                <w:rFonts w:ascii="Times New Roman" w:hAnsi="Times New Roman"/>
                <w:szCs w:val="18"/>
              </w:rPr>
              <w:t>This document printed on recycled paper</w:t>
            </w:r>
          </w:p>
          <w:p w14:paraId="69554CFC" w14:textId="77777777" w:rsidR="00BA7F5A" w:rsidRDefault="00BA7F5A" w:rsidP="00C22344">
            <w:pPr>
              <w:rPr>
                <w:sz w:val="18"/>
                <w:szCs w:val="18"/>
              </w:rPr>
            </w:pPr>
          </w:p>
          <w:p w14:paraId="08773F16" w14:textId="77777777" w:rsidR="00BA7F5A" w:rsidRDefault="00BA7F5A" w:rsidP="00C22344">
            <w:pPr>
              <w:rPr>
                <w:sz w:val="18"/>
                <w:szCs w:val="18"/>
              </w:rPr>
            </w:pPr>
          </w:p>
          <w:p w14:paraId="61BBD2CE" w14:textId="77777777" w:rsidR="00BA7F5A" w:rsidRPr="009A5EBB" w:rsidRDefault="00BA7F5A" w:rsidP="00C22344">
            <w:pPr>
              <w:rPr>
                <w:sz w:val="18"/>
                <w:szCs w:val="18"/>
              </w:rPr>
            </w:pPr>
          </w:p>
          <w:p w14:paraId="7D93224B" w14:textId="77777777" w:rsidR="00BA7F5A" w:rsidRPr="009A5EBB" w:rsidRDefault="00BA7F5A" w:rsidP="00C22344">
            <w:pPr>
              <w:pStyle w:val="BoardMembers"/>
              <w:rPr>
                <w:rFonts w:ascii="Times New Roman" w:hAnsi="Times New Roman"/>
                <w:szCs w:val="18"/>
              </w:rPr>
            </w:pPr>
            <w:r w:rsidRPr="009A5EBB">
              <w:rPr>
                <w:rFonts w:ascii="Times New Roman" w:hAnsi="Times New Roman"/>
                <w:szCs w:val="18"/>
              </w:rPr>
              <w:t>Massachusetts Department of Elementary and Secondary Education</w:t>
            </w:r>
          </w:p>
          <w:p w14:paraId="109781F2" w14:textId="77777777" w:rsidR="00BA7F5A" w:rsidRPr="009A5EBB" w:rsidRDefault="00BA7F5A" w:rsidP="00C22344">
            <w:pPr>
              <w:pStyle w:val="BoardMembers"/>
              <w:rPr>
                <w:rFonts w:ascii="Times New Roman" w:hAnsi="Times New Roman"/>
                <w:szCs w:val="18"/>
              </w:rPr>
            </w:pPr>
            <w:r w:rsidRPr="009A5EBB">
              <w:rPr>
                <w:rFonts w:ascii="Times New Roman" w:hAnsi="Times New Roman"/>
                <w:snapToGrid w:val="0"/>
                <w:szCs w:val="18"/>
              </w:rPr>
              <w:t xml:space="preserve">75 Pleasant </w:t>
            </w:r>
            <w:r w:rsidRPr="009A5EBB">
              <w:rPr>
                <w:rFonts w:ascii="Times New Roman" w:hAnsi="Times New Roman"/>
                <w:szCs w:val="18"/>
              </w:rPr>
              <w:t>Street, Malden, MA 02148-4906</w:t>
            </w:r>
          </w:p>
          <w:p w14:paraId="1F60ED91" w14:textId="77777777" w:rsidR="00BA7F5A" w:rsidRPr="009A5EBB" w:rsidRDefault="00BA7F5A" w:rsidP="00C22344">
            <w:pPr>
              <w:pStyle w:val="BoardMembers"/>
              <w:rPr>
                <w:rFonts w:ascii="Times New Roman" w:hAnsi="Times New Roman"/>
                <w:szCs w:val="18"/>
              </w:rPr>
            </w:pPr>
            <w:r w:rsidRPr="009A5EBB">
              <w:rPr>
                <w:rFonts w:ascii="Times New Roman" w:hAnsi="Times New Roman"/>
                <w:szCs w:val="18"/>
              </w:rPr>
              <w:t>Phone 781-338-3000  TTY: N.E.T. Relay 800-439-2370</w:t>
            </w:r>
          </w:p>
          <w:p w14:paraId="6486A68B" w14:textId="77777777" w:rsidR="00BA7F5A" w:rsidRPr="009A5EBB" w:rsidRDefault="00BA7F5A" w:rsidP="00C22344">
            <w:pPr>
              <w:pStyle w:val="BoardMembers"/>
              <w:rPr>
                <w:rFonts w:ascii="Times New Roman" w:hAnsi="Times New Roman"/>
                <w:szCs w:val="18"/>
              </w:rPr>
            </w:pPr>
            <w:r w:rsidRPr="009A5EBB">
              <w:rPr>
                <w:rFonts w:ascii="Times New Roman" w:hAnsi="Times New Roman"/>
                <w:szCs w:val="18"/>
              </w:rPr>
              <w:t>www.doe.mass.edu</w:t>
            </w:r>
          </w:p>
          <w:p w14:paraId="1CB01EA8" w14:textId="77777777" w:rsidR="00BA7F5A" w:rsidRPr="00345DE2" w:rsidRDefault="00BA7F5A" w:rsidP="00C22344"/>
          <w:p w14:paraId="2B94C5AF" w14:textId="77777777" w:rsidR="00BA7F5A" w:rsidRDefault="00BA7F5A" w:rsidP="00C22344">
            <w:pPr>
              <w:jc w:val="center"/>
              <w:rPr>
                <w:sz w:val="18"/>
              </w:rPr>
            </w:pPr>
            <w:r>
              <w:rPr>
                <w:noProof/>
              </w:rPr>
              <w:drawing>
                <wp:inline distT="0" distB="0" distL="0" distR="0" wp14:anchorId="506725DF" wp14:editId="2024C2D1">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4C29D625" w14:textId="77777777" w:rsidR="00BA7F5A" w:rsidRDefault="00BA7F5A" w:rsidP="00BA7F5A">
      <w:pPr>
        <w:ind w:right="720"/>
      </w:pPr>
    </w:p>
    <w:p w14:paraId="7C0939E8" w14:textId="77777777" w:rsidR="00BA7F5A" w:rsidRPr="00C974A6" w:rsidRDefault="00BA7F5A" w:rsidP="00BA7F5A">
      <w:pPr>
        <w:spacing w:line="192" w:lineRule="auto"/>
        <w:outlineLvl w:val="0"/>
        <w:rPr>
          <w:sz w:val="16"/>
          <w:szCs w:val="16"/>
        </w:rPr>
      </w:pPr>
      <w:r>
        <w:br w:type="page"/>
      </w:r>
    </w:p>
    <w:p w14:paraId="08FF6BC6" w14:textId="77777777" w:rsidR="00BA7F5A" w:rsidRDefault="00BA7F5A" w:rsidP="00BA7F5A">
      <w:pPr>
        <w:sectPr w:rsidR="00BA7F5A" w:rsidSect="00BA7F5A">
          <w:endnotePr>
            <w:numFmt w:val="decimal"/>
          </w:endnotePr>
          <w:pgSz w:w="12240" w:h="15840"/>
          <w:pgMar w:top="864" w:right="432" w:bottom="1440" w:left="432" w:header="1440" w:footer="1440" w:gutter="0"/>
          <w:cols w:space="720"/>
          <w:noEndnote/>
        </w:sectPr>
      </w:pPr>
    </w:p>
    <w:p w14:paraId="49D65363" w14:textId="77777777" w:rsidR="00BA7F5A" w:rsidRPr="00CB6781" w:rsidRDefault="00BA7F5A" w:rsidP="00BA7F5A">
      <w:pPr>
        <w:rPr>
          <w:rFonts w:ascii="Arial" w:hAnsi="Arial" w:cs="Arial"/>
          <w:b/>
          <w:i/>
          <w:sz w:val="40"/>
          <w:szCs w:val="40"/>
        </w:rPr>
      </w:pPr>
      <w:r w:rsidRPr="00CB6781">
        <w:rPr>
          <w:rFonts w:ascii="Arial" w:hAnsi="Arial" w:cs="Arial"/>
          <w:b/>
          <w:i/>
          <w:noProof/>
          <w:sz w:val="40"/>
          <w:szCs w:val="40"/>
        </w:rPr>
        <w:lastRenderedPageBreak/>
        <w:drawing>
          <wp:anchor distT="0" distB="0" distL="114300" distR="274320" simplePos="0" relativeHeight="251661312" behindDoc="0" locked="0" layoutInCell="0" allowOverlap="1" wp14:anchorId="3D52877F" wp14:editId="37B608C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anchor>
        </w:drawing>
      </w:r>
      <w:r w:rsidRPr="00CB6781">
        <w:rPr>
          <w:rFonts w:ascii="Arial" w:hAnsi="Arial" w:cs="Arial"/>
          <w:b/>
          <w:i/>
          <w:sz w:val="40"/>
          <w:szCs w:val="40"/>
        </w:rPr>
        <w:t>Massachusetts Department of</w:t>
      </w:r>
    </w:p>
    <w:p w14:paraId="3E49C93E" w14:textId="77777777" w:rsidR="00BA7F5A" w:rsidRPr="00CB6781" w:rsidRDefault="00BA7F5A" w:rsidP="00BA7F5A">
      <w:pPr>
        <w:rPr>
          <w:rFonts w:ascii="Arial" w:hAnsi="Arial" w:cs="Arial"/>
          <w:b/>
          <w:i/>
          <w:sz w:val="40"/>
          <w:szCs w:val="40"/>
        </w:rPr>
      </w:pPr>
      <w:r w:rsidRPr="00CB6781">
        <w:rPr>
          <w:rFonts w:ascii="Arial" w:hAnsi="Arial" w:cs="Arial"/>
          <w:b/>
          <w:i/>
          <w:sz w:val="40"/>
          <w:szCs w:val="40"/>
        </w:rPr>
        <w:t>Elementary and Secondary Education</w:t>
      </w:r>
    </w:p>
    <w:p w14:paraId="2FBA25EB" w14:textId="77777777" w:rsidR="00BA7F5A" w:rsidRPr="00BB2B16" w:rsidRDefault="00BA7F5A" w:rsidP="00BA7F5A">
      <w:pPr>
        <w:widowControl w:val="0"/>
        <w:snapToGrid w:val="0"/>
        <w:rPr>
          <w:rFonts w:ascii="Arial" w:hAnsi="Arial"/>
          <w:i/>
          <w:szCs w:val="20"/>
        </w:rPr>
      </w:pPr>
      <w:r>
        <w:rPr>
          <w:noProof/>
          <w:szCs w:val="20"/>
        </w:rPr>
        <mc:AlternateContent>
          <mc:Choice Requires="wps">
            <w:drawing>
              <wp:anchor distT="4294967294" distB="4294967294" distL="114300" distR="114300" simplePos="0" relativeHeight="251659264" behindDoc="0" locked="0" layoutInCell="0" allowOverlap="1" wp14:anchorId="7A374BEF" wp14:editId="5D7A7CA6">
                <wp:simplePos x="0" y="0"/>
                <wp:positionH relativeFrom="column">
                  <wp:posOffset>880110</wp:posOffset>
                </wp:positionH>
                <wp:positionV relativeFrom="paragraph">
                  <wp:posOffset>67945</wp:posOffset>
                </wp:positionV>
                <wp:extent cx="4800600" cy="0"/>
                <wp:effectExtent l="0" t="0" r="19050" b="1905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CA6A2"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3pt,5.35pt" to="447.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" o:allowincell="f" strokeweight="1pt"/>
            </w:pict>
          </mc:Fallback>
        </mc:AlternateContent>
      </w:r>
    </w:p>
    <w:p w14:paraId="134D6C69" w14:textId="77777777" w:rsidR="00BA7F5A" w:rsidRPr="00CB6781" w:rsidRDefault="00BA7F5A" w:rsidP="00BA7F5A">
      <w:pPr>
        <w:rPr>
          <w:rFonts w:ascii="Arial" w:hAnsi="Arial" w:cs="Arial"/>
          <w:i/>
          <w:sz w:val="16"/>
          <w:szCs w:val="16"/>
        </w:rPr>
      </w:pPr>
      <w:r w:rsidRPr="00CB6781">
        <w:rPr>
          <w:rFonts w:ascii="Arial" w:hAnsi="Arial" w:cs="Arial"/>
          <w:i/>
          <w:sz w:val="16"/>
          <w:szCs w:val="16"/>
        </w:rPr>
        <w:t xml:space="preserve">75 Pleasant Street, Malden, Massachusetts 02148-4906 </w:t>
      </w:r>
      <w:r w:rsidRPr="00CB6781">
        <w:rPr>
          <w:rFonts w:ascii="Arial" w:hAnsi="Arial" w:cs="Arial"/>
          <w:i/>
          <w:sz w:val="16"/>
          <w:szCs w:val="16"/>
        </w:rPr>
        <w:tab/>
        <w:t xml:space="preserve">       </w:t>
      </w:r>
      <w:r>
        <w:rPr>
          <w:rFonts w:ascii="Arial" w:hAnsi="Arial" w:cs="Arial"/>
          <w:i/>
          <w:sz w:val="16"/>
          <w:szCs w:val="16"/>
        </w:rPr>
        <w:t xml:space="preserve">                      </w:t>
      </w:r>
      <w:r w:rsidRPr="00CB6781">
        <w:rPr>
          <w:rFonts w:ascii="Arial" w:hAnsi="Arial" w:cs="Arial"/>
          <w:i/>
          <w:sz w:val="16"/>
          <w:szCs w:val="16"/>
        </w:rPr>
        <w:t xml:space="preserve">Telephone: (781) 338-3000                                                                                                                 </w:t>
      </w:r>
      <w:r>
        <w:rPr>
          <w:rFonts w:ascii="Arial" w:hAnsi="Arial" w:cs="Arial"/>
          <w:i/>
          <w:sz w:val="16"/>
          <w:szCs w:val="16"/>
        </w:rPr>
        <w:t xml:space="preserve">                   </w:t>
      </w:r>
      <w:r>
        <w:rPr>
          <w:rFonts w:ascii="Arial" w:hAnsi="Arial" w:cs="Arial"/>
          <w:i/>
          <w:sz w:val="16"/>
          <w:szCs w:val="16"/>
        </w:rPr>
        <w:br/>
        <w:t xml:space="preserve">                                                                                                                  </w:t>
      </w:r>
      <w:r w:rsidRPr="00CB6781">
        <w:rPr>
          <w:rFonts w:ascii="Arial" w:hAnsi="Arial" w:cs="Arial"/>
          <w:i/>
          <w:sz w:val="16"/>
          <w:szCs w:val="16"/>
        </w:rPr>
        <w:t>TTY: N.E.T. Relay 1-800-439-2370</w:t>
      </w:r>
    </w:p>
    <w:p w14:paraId="1C44A8ED" w14:textId="77777777" w:rsidR="00BA7F5A" w:rsidRPr="00CB6781" w:rsidRDefault="00BA7F5A" w:rsidP="00BA7F5A"/>
    <w:p w14:paraId="11114918" w14:textId="77777777" w:rsidR="00BA7F5A" w:rsidRPr="00BB2B16" w:rsidRDefault="00BA7F5A" w:rsidP="00BA7F5A">
      <w:pPr>
        <w:rPr>
          <w:rFonts w:ascii="Arial" w:hAnsi="Arial"/>
          <w:i/>
          <w:snapToGrid w:val="0"/>
          <w:sz w:val="18"/>
          <w:szCs w:val="20"/>
        </w:rPr>
        <w:sectPr w:rsidR="00BA7F5A" w:rsidRPr="00BB2B16">
          <w:endnotePr>
            <w:numFmt w:val="decimal"/>
          </w:endnotePr>
          <w:pgSz w:w="12240" w:h="15840"/>
          <w:pgMar w:top="864" w:right="1080" w:bottom="1440" w:left="1800" w:header="1440" w:footer="1440" w:gutter="0"/>
          <w:cols w:space="720"/>
        </w:sectPr>
      </w:pPr>
    </w:p>
    <w:p w14:paraId="5F2DCBA6" w14:textId="77777777" w:rsidR="00BA7F5A" w:rsidRPr="00D0485D" w:rsidRDefault="00BA7F5A" w:rsidP="00BA7F5A">
      <w:pPr>
        <w:widowControl w:val="0"/>
        <w:snapToGrid w:val="0"/>
        <w:ind w:left="720"/>
        <w:jc w:val="center"/>
        <w:rPr>
          <w:rFonts w:ascii="Arial" w:hAnsi="Arial" w:cs="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BA7F5A" w:rsidRPr="00D0485D" w14:paraId="48ABD515" w14:textId="77777777" w:rsidTr="00C22344">
        <w:tc>
          <w:tcPr>
            <w:tcW w:w="2988" w:type="dxa"/>
            <w:hideMark/>
          </w:tcPr>
          <w:p w14:paraId="7AEA8667" w14:textId="77777777" w:rsidR="00BA7F5A" w:rsidRPr="00D0485D" w:rsidRDefault="00BA7F5A" w:rsidP="00C22344">
            <w:pPr>
              <w:snapToGrid w:val="0"/>
              <w:jc w:val="center"/>
              <w:rPr>
                <w:rFonts w:ascii="Arial" w:hAnsi="Arial" w:cs="Arial"/>
                <w:sz w:val="16"/>
                <w:szCs w:val="16"/>
              </w:rPr>
            </w:pPr>
            <w:r w:rsidRPr="00D0485D">
              <w:rPr>
                <w:rFonts w:ascii="Arial" w:hAnsi="Arial" w:cs="Arial"/>
                <w:sz w:val="16"/>
                <w:szCs w:val="16"/>
              </w:rPr>
              <w:t>Jeffrey C. Riley</w:t>
            </w:r>
          </w:p>
          <w:p w14:paraId="12331B3A" w14:textId="77777777" w:rsidR="00BA7F5A" w:rsidRPr="00D0485D" w:rsidRDefault="00BA7F5A" w:rsidP="00C22344">
            <w:pPr>
              <w:snapToGrid w:val="0"/>
              <w:jc w:val="center"/>
              <w:rPr>
                <w:rFonts w:ascii="Arial" w:hAnsi="Arial" w:cs="Arial"/>
                <w:i/>
                <w:sz w:val="16"/>
                <w:szCs w:val="16"/>
              </w:rPr>
            </w:pPr>
            <w:r w:rsidRPr="00D0485D">
              <w:rPr>
                <w:rFonts w:ascii="Arial" w:hAnsi="Arial" w:cs="Arial"/>
                <w:i/>
                <w:sz w:val="16"/>
                <w:szCs w:val="16"/>
              </w:rPr>
              <w:t>Commissioner</w:t>
            </w:r>
          </w:p>
        </w:tc>
        <w:tc>
          <w:tcPr>
            <w:tcW w:w="8604" w:type="dxa"/>
          </w:tcPr>
          <w:p w14:paraId="4DA832A5" w14:textId="77777777" w:rsidR="00BA7F5A" w:rsidRPr="00D0485D" w:rsidRDefault="00BA7F5A" w:rsidP="00C22344">
            <w:pPr>
              <w:snapToGrid w:val="0"/>
              <w:jc w:val="center"/>
              <w:rPr>
                <w:rFonts w:ascii="Arial" w:hAnsi="Arial" w:cs="Arial"/>
                <w:i/>
                <w:sz w:val="16"/>
                <w:szCs w:val="16"/>
              </w:rPr>
            </w:pPr>
          </w:p>
        </w:tc>
      </w:tr>
    </w:tbl>
    <w:p w14:paraId="031A6B1D" w14:textId="77777777" w:rsidR="00BA7F5A" w:rsidRPr="00BB2B16" w:rsidRDefault="00BA7F5A" w:rsidP="00BA7F5A">
      <w:pPr>
        <w:widowControl w:val="0"/>
        <w:snapToGrid w:val="0"/>
        <w:rPr>
          <w:rFonts w:ascii="Arial" w:hAnsi="Arial"/>
          <w:i/>
          <w:sz w:val="18"/>
          <w:szCs w:val="20"/>
        </w:rPr>
      </w:pPr>
    </w:p>
    <w:p w14:paraId="278BDAE7" w14:textId="77777777" w:rsidR="00BA7F5A" w:rsidRPr="00BB2B16" w:rsidRDefault="00BA7F5A" w:rsidP="00BA7F5A">
      <w:pPr>
        <w:rPr>
          <w:snapToGrid w:val="0"/>
          <w:szCs w:val="20"/>
        </w:rPr>
        <w:sectPr w:rsidR="00BA7F5A" w:rsidRPr="00BB2B16">
          <w:endnotePr>
            <w:numFmt w:val="decimal"/>
          </w:endnotePr>
          <w:type w:val="continuous"/>
          <w:pgSz w:w="12240" w:h="15840"/>
          <w:pgMar w:top="864" w:right="432" w:bottom="1440" w:left="432" w:header="1440" w:footer="1440" w:gutter="0"/>
          <w:cols w:space="720"/>
        </w:sectPr>
      </w:pPr>
    </w:p>
    <w:p w14:paraId="3B599F92" w14:textId="77777777" w:rsidR="00BA7F5A" w:rsidRPr="00BB2B16" w:rsidRDefault="00BA7F5A" w:rsidP="00BA7F5A">
      <w:pPr>
        <w:widowControl w:val="0"/>
        <w:snapToGrid w:val="0"/>
        <w:rPr>
          <w:szCs w:val="20"/>
        </w:rPr>
      </w:pPr>
    </w:p>
    <w:p w14:paraId="784B71BD" w14:textId="77777777" w:rsidR="00BA7F5A" w:rsidRDefault="00BA7F5A" w:rsidP="00BA7F5A">
      <w:pPr>
        <w:rPr>
          <w:rFonts w:ascii="Arial" w:hAnsi="Arial"/>
          <w:i/>
          <w:sz w:val="18"/>
        </w:rPr>
      </w:pPr>
    </w:p>
    <w:p w14:paraId="0157475D" w14:textId="77777777" w:rsidR="00BA7F5A" w:rsidRPr="0098634D" w:rsidRDefault="00BA7F5A" w:rsidP="00BA7F5A">
      <w:pPr>
        <w:pStyle w:val="xmsonormal"/>
        <w:shd w:val="clear" w:color="auto" w:fill="FFFFFF"/>
        <w:spacing w:before="0" w:beforeAutospacing="0" w:after="0" w:afterAutospacing="0"/>
        <w:textAlignment w:val="baseline"/>
        <w:rPr>
          <w:color w:val="201F1E"/>
        </w:rPr>
      </w:pPr>
      <w:r w:rsidRPr="0098634D">
        <w:rPr>
          <w:color w:val="333333"/>
          <w:bdr w:val="none" w:sz="0" w:space="0" w:color="auto" w:frame="1"/>
        </w:rPr>
        <w:t>March 1, 2020</w:t>
      </w:r>
    </w:p>
    <w:p w14:paraId="0C597D40" w14:textId="77777777" w:rsidR="00BA7F5A" w:rsidRPr="0098634D" w:rsidRDefault="00BA7F5A" w:rsidP="00BA7F5A">
      <w:pPr>
        <w:pStyle w:val="xmsonormal"/>
        <w:shd w:val="clear" w:color="auto" w:fill="FFFFFF"/>
        <w:spacing w:before="0" w:beforeAutospacing="0" w:after="0" w:afterAutospacing="0"/>
        <w:textAlignment w:val="baseline"/>
        <w:rPr>
          <w:color w:val="201F1E"/>
        </w:rPr>
      </w:pPr>
      <w:r w:rsidRPr="0098634D">
        <w:rPr>
          <w:color w:val="333333"/>
          <w:bdr w:val="none" w:sz="0" w:space="0" w:color="auto" w:frame="1"/>
        </w:rPr>
        <w:t> </w:t>
      </w:r>
    </w:p>
    <w:p w14:paraId="6026B825" w14:textId="77777777" w:rsidR="00BA7F5A" w:rsidRPr="0098634D" w:rsidRDefault="00BA7F5A" w:rsidP="00BA7F5A">
      <w:pPr>
        <w:pStyle w:val="xmsonormal"/>
        <w:shd w:val="clear" w:color="auto" w:fill="FFFFFF"/>
        <w:spacing w:before="0" w:beforeAutospacing="0" w:after="0" w:afterAutospacing="0"/>
        <w:textAlignment w:val="baseline"/>
        <w:rPr>
          <w:color w:val="201F1E"/>
        </w:rPr>
      </w:pPr>
      <w:r w:rsidRPr="0098634D">
        <w:rPr>
          <w:color w:val="333333"/>
          <w:bdr w:val="none" w:sz="0" w:space="0" w:color="auto" w:frame="1"/>
        </w:rPr>
        <w:t>Dear Members of the General Court:</w:t>
      </w:r>
    </w:p>
    <w:p w14:paraId="48735C1D" w14:textId="77777777" w:rsidR="00BA7F5A" w:rsidRPr="0098634D" w:rsidRDefault="00BA7F5A" w:rsidP="00BA7F5A">
      <w:pPr>
        <w:pStyle w:val="xmsonormal"/>
        <w:shd w:val="clear" w:color="auto" w:fill="FFFFFF"/>
        <w:spacing w:before="0" w:beforeAutospacing="0" w:after="0" w:afterAutospacing="0"/>
        <w:textAlignment w:val="baseline"/>
        <w:rPr>
          <w:color w:val="201F1E"/>
        </w:rPr>
      </w:pPr>
      <w:r w:rsidRPr="0098634D">
        <w:rPr>
          <w:color w:val="333333"/>
          <w:bdr w:val="none" w:sz="0" w:space="0" w:color="auto" w:frame="1"/>
        </w:rPr>
        <w:t> </w:t>
      </w:r>
    </w:p>
    <w:p w14:paraId="0CA19FA7" w14:textId="77777777" w:rsidR="00BA7F5A" w:rsidRDefault="00BA7F5A" w:rsidP="00BA7F5A">
      <w:pPr>
        <w:pStyle w:val="xmsonormal"/>
        <w:shd w:val="clear" w:color="auto" w:fill="FFFFFF"/>
        <w:spacing w:before="0" w:beforeAutospacing="0" w:after="0" w:afterAutospacing="0"/>
        <w:textAlignment w:val="baseline"/>
        <w:rPr>
          <w:color w:val="333333"/>
          <w:bdr w:val="none" w:sz="0" w:space="0" w:color="auto" w:frame="1"/>
          <w:shd w:val="clear" w:color="auto" w:fill="FFFFFF"/>
        </w:rPr>
      </w:pPr>
      <w:r w:rsidRPr="00F176E7">
        <w:rPr>
          <w:color w:val="333333"/>
          <w:bdr w:val="none" w:sz="0" w:space="0" w:color="auto" w:frame="1"/>
          <w:shd w:val="clear" w:color="auto" w:fill="FFFFFF"/>
        </w:rPr>
        <w:t>I am pleased to submit this Report to the Legislature</w:t>
      </w:r>
      <w:r>
        <w:rPr>
          <w:color w:val="333333"/>
          <w:bdr w:val="none" w:sz="0" w:space="0" w:color="auto" w:frame="1"/>
          <w:shd w:val="clear" w:color="auto" w:fill="FFFFFF"/>
        </w:rPr>
        <w:t xml:space="preserve">, </w:t>
      </w:r>
      <w:r w:rsidRPr="00F176E7">
        <w:rPr>
          <w:i/>
          <w:color w:val="333333"/>
          <w:bdr w:val="none" w:sz="0" w:space="0" w:color="auto" w:frame="1"/>
        </w:rPr>
        <w:t xml:space="preserve">The Average Cost per Pupil </w:t>
      </w:r>
      <w:r>
        <w:rPr>
          <w:i/>
          <w:color w:val="333333"/>
          <w:bdr w:val="none" w:sz="0" w:space="0" w:color="auto" w:frame="1"/>
        </w:rPr>
        <w:t xml:space="preserve">at </w:t>
      </w:r>
      <w:r w:rsidRPr="00F176E7">
        <w:rPr>
          <w:i/>
          <w:color w:val="333333"/>
          <w:bdr w:val="none" w:sz="0" w:space="0" w:color="auto" w:frame="1"/>
        </w:rPr>
        <w:t>Recovery High Schools</w:t>
      </w:r>
      <w:r>
        <w:rPr>
          <w:i/>
          <w:color w:val="333333"/>
          <w:bdr w:val="none" w:sz="0" w:space="0" w:color="auto" w:frame="1"/>
        </w:rPr>
        <w:t>,</w:t>
      </w:r>
      <w:r w:rsidRPr="00F176E7">
        <w:rPr>
          <w:color w:val="333333"/>
          <w:bdr w:val="none" w:sz="0" w:space="0" w:color="auto" w:frame="1"/>
          <w:shd w:val="clear" w:color="auto" w:fill="FFFFFF"/>
        </w:rPr>
        <w:t xml:space="preserve"> </w:t>
      </w:r>
      <w:r>
        <w:rPr>
          <w:color w:val="333333"/>
          <w:bdr w:val="none" w:sz="0" w:space="0" w:color="auto" w:frame="1"/>
          <w:shd w:val="clear" w:color="auto" w:fill="FFFFFF"/>
        </w:rPr>
        <w:t>pursuant to</w:t>
      </w:r>
      <w:r w:rsidRPr="00F176E7">
        <w:rPr>
          <w:color w:val="333333"/>
          <w:bdr w:val="none" w:sz="0" w:space="0" w:color="auto" w:frame="1"/>
          <w:shd w:val="clear" w:color="auto" w:fill="FFFFFF"/>
        </w:rPr>
        <w:t xml:space="preserve"> An Act Relat</w:t>
      </w:r>
      <w:r>
        <w:rPr>
          <w:color w:val="333333"/>
          <w:bdr w:val="none" w:sz="0" w:space="0" w:color="auto" w:frame="1"/>
          <w:shd w:val="clear" w:color="auto" w:fill="FFFFFF"/>
        </w:rPr>
        <w:t>ive to Educational Opportunity f</w:t>
      </w:r>
      <w:r w:rsidRPr="00F176E7">
        <w:rPr>
          <w:color w:val="333333"/>
          <w:bdr w:val="none" w:sz="0" w:space="0" w:color="auto" w:frame="1"/>
          <w:shd w:val="clear" w:color="auto" w:fill="FFFFFF"/>
        </w:rPr>
        <w:t>or Students, </w:t>
      </w:r>
      <w:hyperlink r:id="rId14" w:history="1">
        <w:r w:rsidRPr="00FE4685">
          <w:rPr>
            <w:rStyle w:val="Hyperlink"/>
            <w:bdr w:val="none" w:sz="0" w:space="0" w:color="auto" w:frame="1"/>
            <w:shd w:val="clear" w:color="auto" w:fill="FFFFFF"/>
          </w:rPr>
          <w:t>Chapter 132 of Acts 2019</w:t>
        </w:r>
      </w:hyperlink>
      <w:r w:rsidRPr="00F176E7">
        <w:rPr>
          <w:color w:val="333333"/>
          <w:bdr w:val="none" w:sz="0" w:space="0" w:color="auto" w:frame="1"/>
          <w:shd w:val="clear" w:color="auto" w:fill="FFFFFF"/>
        </w:rPr>
        <w:t>, Section 28</w:t>
      </w:r>
      <w:r>
        <w:rPr>
          <w:color w:val="333333"/>
          <w:bdr w:val="none" w:sz="0" w:space="0" w:color="auto" w:frame="1"/>
          <w:shd w:val="clear" w:color="auto" w:fill="FFFFFF"/>
        </w:rPr>
        <w:t>, that reads in part</w:t>
      </w:r>
      <w:r w:rsidRPr="00F176E7">
        <w:rPr>
          <w:color w:val="333333"/>
          <w:bdr w:val="none" w:sz="0" w:space="0" w:color="auto" w:frame="1"/>
          <w:shd w:val="clear" w:color="auto" w:fill="FFFFFF"/>
        </w:rPr>
        <w:t xml:space="preserve">:  </w:t>
      </w:r>
    </w:p>
    <w:p w14:paraId="2F76785A" w14:textId="77777777" w:rsidR="00BA7F5A" w:rsidRDefault="00BA7F5A" w:rsidP="00BA7F5A">
      <w:pPr>
        <w:pStyle w:val="xmsonormal"/>
        <w:shd w:val="clear" w:color="auto" w:fill="FFFFFF"/>
        <w:spacing w:before="0" w:beforeAutospacing="0" w:after="0" w:afterAutospacing="0"/>
        <w:textAlignment w:val="baseline"/>
        <w:rPr>
          <w:color w:val="333333"/>
          <w:bdr w:val="none" w:sz="0" w:space="0" w:color="auto" w:frame="1"/>
          <w:shd w:val="clear" w:color="auto" w:fill="FFFFFF"/>
        </w:rPr>
      </w:pPr>
    </w:p>
    <w:p w14:paraId="6EF3CE63" w14:textId="77777777" w:rsidR="00BA7F5A" w:rsidRDefault="00BA7F5A" w:rsidP="00BA7F5A">
      <w:pPr>
        <w:pStyle w:val="xmsonormal"/>
        <w:shd w:val="clear" w:color="auto" w:fill="FFFFFF"/>
        <w:spacing w:before="0" w:beforeAutospacing="0" w:after="0" w:afterAutospacing="0"/>
        <w:ind w:left="720"/>
        <w:textAlignment w:val="baseline"/>
        <w:rPr>
          <w:i/>
          <w:color w:val="333333"/>
          <w:bdr w:val="none" w:sz="0" w:space="0" w:color="auto" w:frame="1"/>
          <w:shd w:val="clear" w:color="auto" w:fill="FFFFFF"/>
        </w:rPr>
      </w:pPr>
      <w:r w:rsidRPr="000477B3">
        <w:rPr>
          <w:i/>
          <w:color w:val="333333"/>
          <w:bdr w:val="none" w:sz="0" w:space="0" w:color="auto" w:frame="1"/>
          <w:shd w:val="clear" w:color="auto" w:fill="FFFFFF"/>
        </w:rPr>
        <w:t>“</w:t>
      </w:r>
      <w:r>
        <w:rPr>
          <w:i/>
          <w:color w:val="333333"/>
          <w:bdr w:val="none" w:sz="0" w:space="0" w:color="auto" w:frame="1"/>
          <w:shd w:val="clear" w:color="auto" w:fill="FFFFFF"/>
        </w:rPr>
        <w:t>…</w:t>
      </w:r>
      <w:r w:rsidRPr="00F176E7">
        <w:rPr>
          <w:i/>
          <w:color w:val="333333"/>
          <w:bdr w:val="none" w:sz="0" w:space="0" w:color="auto" w:frame="1"/>
          <w:shd w:val="clear" w:color="auto" w:fill="FFFFFF"/>
        </w:rPr>
        <w:t>the department of elementary and secondary education, in consultation with the principals of the 5 recovery high schools in the commonwealth, shall examine the costs associated with sending students to a recovery high school, as defined in subsection (a) of section 91 of chapter 71 of the General Laws, and shall determine the average cost per pupil at recovery high schools in the commonwealth</w:t>
      </w:r>
      <w:r>
        <w:rPr>
          <w:i/>
          <w:color w:val="333333"/>
          <w:bdr w:val="none" w:sz="0" w:space="0" w:color="auto" w:frame="1"/>
          <w:shd w:val="clear" w:color="auto" w:fill="FFFFFF"/>
        </w:rPr>
        <w:t>…</w:t>
      </w:r>
      <w:r w:rsidRPr="00F176E7">
        <w:rPr>
          <w:i/>
          <w:color w:val="333333"/>
          <w:bdr w:val="none" w:sz="0" w:space="0" w:color="auto" w:frame="1"/>
          <w:shd w:val="clear" w:color="auto" w:fill="FFFFFF"/>
        </w:rPr>
        <w:t xml:space="preserve">”  </w:t>
      </w:r>
    </w:p>
    <w:p w14:paraId="1A41A6ED" w14:textId="77777777" w:rsidR="00BA7F5A" w:rsidRDefault="00BA7F5A" w:rsidP="00BA7F5A">
      <w:pPr>
        <w:pStyle w:val="xmsonormal"/>
        <w:shd w:val="clear" w:color="auto" w:fill="FFFFFF"/>
        <w:spacing w:before="0" w:beforeAutospacing="0" w:after="0" w:afterAutospacing="0"/>
        <w:ind w:left="720"/>
        <w:textAlignment w:val="baseline"/>
        <w:rPr>
          <w:i/>
          <w:color w:val="333333"/>
          <w:bdr w:val="none" w:sz="0" w:space="0" w:color="auto" w:frame="1"/>
          <w:shd w:val="clear" w:color="auto" w:fill="FFFFFF"/>
        </w:rPr>
      </w:pPr>
    </w:p>
    <w:p w14:paraId="63AD886B" w14:textId="77777777" w:rsidR="00BA7F5A" w:rsidRPr="00F176E7" w:rsidRDefault="00BA7F5A" w:rsidP="00BA7F5A">
      <w:pPr>
        <w:pStyle w:val="xmsonormal"/>
        <w:shd w:val="clear" w:color="auto" w:fill="FFFFFF"/>
        <w:spacing w:before="0" w:beforeAutospacing="0" w:after="0" w:afterAutospacing="0"/>
        <w:textAlignment w:val="baseline"/>
        <w:rPr>
          <w:i/>
          <w:color w:val="333333"/>
          <w:bdr w:val="none" w:sz="0" w:space="0" w:color="auto" w:frame="1"/>
          <w:shd w:val="clear" w:color="auto" w:fill="FFFFFF"/>
        </w:rPr>
      </w:pPr>
      <w:r w:rsidRPr="00F176E7">
        <w:rPr>
          <w:color w:val="333333"/>
          <w:bdr w:val="none" w:sz="0" w:space="0" w:color="auto" w:frame="1"/>
          <w:shd w:val="clear" w:color="auto" w:fill="FFFFFF"/>
        </w:rPr>
        <w:t xml:space="preserve">The data compiled in this report was submitted by the </w:t>
      </w:r>
      <w:r>
        <w:rPr>
          <w:color w:val="333333"/>
          <w:bdr w:val="none" w:sz="0" w:space="0" w:color="auto" w:frame="1"/>
          <w:shd w:val="clear" w:color="auto" w:fill="FFFFFF"/>
        </w:rPr>
        <w:t>five</w:t>
      </w:r>
      <w:r w:rsidRPr="00F176E7">
        <w:rPr>
          <w:color w:val="333333"/>
          <w:bdr w:val="none" w:sz="0" w:space="0" w:color="auto" w:frame="1"/>
          <w:shd w:val="clear" w:color="auto" w:fill="FFFFFF"/>
        </w:rPr>
        <w:t xml:space="preserve"> recovery high schools in the Commonwealth to the Massachusetts Department of Elementary and Secondary Education (Department).</w:t>
      </w:r>
    </w:p>
    <w:p w14:paraId="1357652A" w14:textId="77777777" w:rsidR="00BA7F5A" w:rsidRDefault="00BA7F5A" w:rsidP="00BA7F5A">
      <w:pPr>
        <w:pStyle w:val="xmsonormal"/>
        <w:shd w:val="clear" w:color="auto" w:fill="FFFFFF"/>
        <w:spacing w:before="0" w:beforeAutospacing="0" w:after="0" w:afterAutospacing="0"/>
        <w:textAlignment w:val="baseline"/>
        <w:rPr>
          <w:color w:val="333333"/>
          <w:bdr w:val="none" w:sz="0" w:space="0" w:color="auto" w:frame="1"/>
        </w:rPr>
      </w:pPr>
    </w:p>
    <w:p w14:paraId="1AD0AC24" w14:textId="77777777" w:rsidR="00BA7F5A" w:rsidRDefault="00BA7F5A" w:rsidP="00BA7F5A">
      <w:pPr>
        <w:pStyle w:val="xmsonormal"/>
        <w:shd w:val="clear" w:color="auto" w:fill="FFFFFF"/>
        <w:spacing w:before="0" w:beforeAutospacing="0" w:after="0" w:afterAutospacing="0"/>
        <w:textAlignment w:val="baseline"/>
        <w:rPr>
          <w:color w:val="201F1E"/>
        </w:rPr>
      </w:pPr>
      <w:r w:rsidRPr="0098634D">
        <w:rPr>
          <w:color w:val="201F1E"/>
        </w:rPr>
        <w:t>If you have any questions about this report, please feel free to contact Kathleen Cross, in the Office of Resource Allocation, Strategy and Planning via </w:t>
      </w:r>
      <w:hyperlink r:id="rId15" w:tgtFrame="_blank" w:history="1">
        <w:r w:rsidRPr="009511A6">
          <w:rPr>
            <w:rStyle w:val="Hyperlink"/>
          </w:rPr>
          <w:t>Kathleen.Cross@mass.gov</w:t>
        </w:r>
      </w:hyperlink>
      <w:r w:rsidRPr="0098634D">
        <w:rPr>
          <w:color w:val="201F1E"/>
        </w:rPr>
        <w:t xml:space="preserve"> or </w:t>
      </w:r>
    </w:p>
    <w:p w14:paraId="5268972D" w14:textId="77777777" w:rsidR="00BA7F5A" w:rsidRPr="0098634D" w:rsidRDefault="00BA7F5A" w:rsidP="00BA7F5A">
      <w:pPr>
        <w:pStyle w:val="xmsonormal"/>
        <w:shd w:val="clear" w:color="auto" w:fill="FFFFFF"/>
        <w:spacing w:before="0" w:beforeAutospacing="0" w:after="0" w:afterAutospacing="0"/>
        <w:textAlignment w:val="baseline"/>
        <w:rPr>
          <w:color w:val="201F1E"/>
        </w:rPr>
      </w:pPr>
      <w:r w:rsidRPr="0098634D">
        <w:rPr>
          <w:color w:val="201F1E"/>
        </w:rPr>
        <w:t>781-338-3231 or Samantha Graham, in the Office of Student and Family Support</w:t>
      </w:r>
      <w:r>
        <w:rPr>
          <w:color w:val="201F1E"/>
        </w:rPr>
        <w:t xml:space="preserve"> via</w:t>
      </w:r>
      <w:r w:rsidRPr="0098634D">
        <w:rPr>
          <w:color w:val="201F1E"/>
        </w:rPr>
        <w:t xml:space="preserve"> </w:t>
      </w:r>
      <w:hyperlink r:id="rId16" w:history="1">
        <w:r w:rsidRPr="000F169D">
          <w:rPr>
            <w:rStyle w:val="Hyperlink"/>
          </w:rPr>
          <w:t>Samantha.Graham@mass.gov</w:t>
        </w:r>
      </w:hyperlink>
      <w:r w:rsidRPr="0098634D">
        <w:rPr>
          <w:color w:val="201F1E"/>
        </w:rPr>
        <w:t> or 781-338-6305.</w:t>
      </w:r>
    </w:p>
    <w:p w14:paraId="117C78BC" w14:textId="77777777" w:rsidR="00BA7F5A" w:rsidRPr="0098634D" w:rsidRDefault="00BA7F5A" w:rsidP="00BA7F5A">
      <w:pPr>
        <w:pStyle w:val="xmsonormal"/>
        <w:shd w:val="clear" w:color="auto" w:fill="FFFFFF"/>
        <w:spacing w:before="0" w:beforeAutospacing="0" w:after="0" w:afterAutospacing="0"/>
        <w:textAlignment w:val="baseline"/>
        <w:rPr>
          <w:color w:val="201F1E"/>
        </w:rPr>
      </w:pPr>
      <w:r w:rsidRPr="0098634D">
        <w:rPr>
          <w:color w:val="201F1E"/>
        </w:rPr>
        <w:t> </w:t>
      </w:r>
    </w:p>
    <w:p w14:paraId="6F308089" w14:textId="77777777" w:rsidR="00BA7F5A" w:rsidRPr="0098634D" w:rsidRDefault="00BA7F5A" w:rsidP="00BA7F5A">
      <w:pPr>
        <w:pStyle w:val="xmsonormal"/>
        <w:shd w:val="clear" w:color="auto" w:fill="FFFFFF"/>
        <w:spacing w:before="0" w:beforeAutospacing="0" w:after="0" w:afterAutospacing="0"/>
        <w:textAlignment w:val="baseline"/>
        <w:rPr>
          <w:color w:val="201F1E"/>
        </w:rPr>
      </w:pPr>
      <w:r w:rsidRPr="0098634D">
        <w:rPr>
          <w:color w:val="201F1E"/>
        </w:rPr>
        <w:t>Sincerely,</w:t>
      </w:r>
    </w:p>
    <w:p w14:paraId="32C00979" w14:textId="77777777" w:rsidR="00BA7F5A" w:rsidRPr="0098634D" w:rsidRDefault="00BA7F5A" w:rsidP="00BA7F5A">
      <w:pPr>
        <w:pStyle w:val="xmsonormal"/>
        <w:shd w:val="clear" w:color="auto" w:fill="FFFFFF"/>
        <w:spacing w:before="0" w:beforeAutospacing="0" w:after="0" w:afterAutospacing="0"/>
        <w:textAlignment w:val="baseline"/>
        <w:rPr>
          <w:color w:val="201F1E"/>
        </w:rPr>
      </w:pPr>
      <w:r w:rsidRPr="0098634D">
        <w:rPr>
          <w:color w:val="201F1E"/>
        </w:rPr>
        <w:t> </w:t>
      </w:r>
    </w:p>
    <w:p w14:paraId="0C382A9F" w14:textId="77777777" w:rsidR="00BA7F5A" w:rsidRPr="0098634D" w:rsidRDefault="00BA7F5A" w:rsidP="00BA7F5A">
      <w:pPr>
        <w:pStyle w:val="xmsonormal"/>
        <w:shd w:val="clear" w:color="auto" w:fill="FFFFFF"/>
        <w:spacing w:before="0" w:beforeAutospacing="0" w:after="0" w:afterAutospacing="0"/>
        <w:textAlignment w:val="baseline"/>
        <w:rPr>
          <w:color w:val="201F1E"/>
        </w:rPr>
      </w:pPr>
      <w:r w:rsidRPr="0098634D">
        <w:rPr>
          <w:color w:val="201F1E"/>
        </w:rPr>
        <w:t> </w:t>
      </w:r>
    </w:p>
    <w:p w14:paraId="61C7CA0F" w14:textId="77777777" w:rsidR="00BA7F5A" w:rsidRPr="0098634D" w:rsidRDefault="00BA7F5A" w:rsidP="00BA7F5A">
      <w:pPr>
        <w:pStyle w:val="xmsonormal"/>
        <w:shd w:val="clear" w:color="auto" w:fill="FFFFFF"/>
        <w:spacing w:before="0" w:beforeAutospacing="0" w:after="0" w:afterAutospacing="0"/>
        <w:textAlignment w:val="baseline"/>
        <w:rPr>
          <w:color w:val="201F1E"/>
        </w:rPr>
      </w:pPr>
      <w:r w:rsidRPr="0098634D">
        <w:rPr>
          <w:color w:val="201F1E"/>
        </w:rPr>
        <w:t> </w:t>
      </w:r>
    </w:p>
    <w:p w14:paraId="489F9969" w14:textId="77777777" w:rsidR="00BA7F5A" w:rsidRPr="0098634D" w:rsidRDefault="00BA7F5A" w:rsidP="00BA7F5A">
      <w:pPr>
        <w:pStyle w:val="xmsonormal"/>
        <w:shd w:val="clear" w:color="auto" w:fill="FFFFFF"/>
        <w:spacing w:before="0" w:beforeAutospacing="0" w:after="0" w:afterAutospacing="0"/>
        <w:textAlignment w:val="baseline"/>
        <w:rPr>
          <w:color w:val="201F1E"/>
        </w:rPr>
      </w:pPr>
      <w:r w:rsidRPr="0098634D">
        <w:rPr>
          <w:color w:val="201F1E"/>
        </w:rPr>
        <w:t>Jeffrey C. Riley</w:t>
      </w:r>
    </w:p>
    <w:p w14:paraId="2DCD2391" w14:textId="77777777" w:rsidR="00BA7F5A" w:rsidRPr="0098634D" w:rsidRDefault="00BA7F5A" w:rsidP="00BA7F5A">
      <w:pPr>
        <w:pStyle w:val="xmsonormal"/>
        <w:shd w:val="clear" w:color="auto" w:fill="FFFFFF"/>
        <w:spacing w:before="0" w:beforeAutospacing="0" w:after="0" w:afterAutospacing="0"/>
        <w:textAlignment w:val="baseline"/>
        <w:rPr>
          <w:color w:val="201F1E"/>
        </w:rPr>
      </w:pPr>
      <w:r w:rsidRPr="0098634D">
        <w:rPr>
          <w:color w:val="201F1E"/>
        </w:rPr>
        <w:t>Commissioner of Elementary and Secondary Education</w:t>
      </w:r>
    </w:p>
    <w:p w14:paraId="31DA4406" w14:textId="77777777" w:rsidR="00BA7F5A" w:rsidRDefault="00BA7F5A" w:rsidP="00BA7F5A">
      <w:pPr>
        <w:sectPr w:rsidR="00BA7F5A" w:rsidSect="007102D5">
          <w:endnotePr>
            <w:numFmt w:val="decimal"/>
          </w:endnotePr>
          <w:type w:val="continuous"/>
          <w:pgSz w:w="12240" w:h="15840"/>
          <w:pgMar w:top="1440" w:right="1440" w:bottom="1440" w:left="1440" w:header="1440" w:footer="1440" w:gutter="0"/>
          <w:cols w:space="720"/>
          <w:noEndnote/>
          <w:docGrid w:linePitch="326"/>
        </w:sectPr>
      </w:pPr>
      <w:r w:rsidRPr="0098634D">
        <w:rPr>
          <w:color w:val="201F1E"/>
          <w:bdr w:val="none" w:sz="0" w:space="0" w:color="auto" w:frame="1"/>
          <w:shd w:val="clear" w:color="auto" w:fill="FFFFFF"/>
        </w:rPr>
        <w:br/>
      </w:r>
    </w:p>
    <w:p w14:paraId="1D70658F" w14:textId="77777777" w:rsidR="00BA7F5A" w:rsidRPr="009A5EBB" w:rsidRDefault="00BA7F5A" w:rsidP="00BA7F5A">
      <w:pPr>
        <w:pStyle w:val="ESETOCHeading"/>
        <w:rPr>
          <w:rFonts w:ascii="Times New Roman" w:hAnsi="Times New Roman"/>
        </w:rPr>
      </w:pPr>
      <w:r w:rsidRPr="009A5EBB">
        <w:rPr>
          <w:rFonts w:ascii="Times New Roman" w:hAnsi="Times New Roman"/>
        </w:rPr>
        <w:lastRenderedPageBreak/>
        <w:t>Table of Contents</w:t>
      </w:r>
    </w:p>
    <w:p w14:paraId="7BF4EE72" w14:textId="77777777" w:rsidR="00BA7F5A" w:rsidRDefault="00CC30CD" w:rsidP="00BA7F5A">
      <w:pPr>
        <w:pStyle w:val="TOC1"/>
        <w:rPr>
          <w:rFonts w:asciiTheme="minorHAnsi" w:eastAsiaTheme="minorEastAsia" w:hAnsiTheme="minorHAnsi" w:cstheme="minorBidi"/>
          <w:b w:val="0"/>
          <w:noProof/>
          <w:sz w:val="22"/>
          <w:szCs w:val="22"/>
        </w:rPr>
      </w:pPr>
      <w:hyperlink w:anchor="_Toc33535694" w:history="1">
        <w:r w:rsidR="00BA7F5A" w:rsidRPr="00FD43BD">
          <w:rPr>
            <w:rStyle w:val="Hyperlink"/>
            <w:rFonts w:ascii="Times New Roman" w:hAnsi="Times New Roman"/>
            <w:noProof/>
          </w:rPr>
          <w:t>Introduction</w:t>
        </w:r>
        <w:r w:rsidR="00BA7F5A">
          <w:rPr>
            <w:noProof/>
            <w:webHidden/>
          </w:rPr>
          <w:tab/>
        </w:r>
        <w:r w:rsidR="00BA7F5A">
          <w:rPr>
            <w:noProof/>
            <w:webHidden/>
          </w:rPr>
          <w:fldChar w:fldCharType="begin"/>
        </w:r>
        <w:r w:rsidR="00BA7F5A">
          <w:rPr>
            <w:noProof/>
            <w:webHidden/>
          </w:rPr>
          <w:instrText xml:space="preserve"> PAGEREF _Toc33535694 \h </w:instrText>
        </w:r>
        <w:r w:rsidR="00BA7F5A">
          <w:rPr>
            <w:noProof/>
            <w:webHidden/>
          </w:rPr>
        </w:r>
        <w:r w:rsidR="00BA7F5A">
          <w:rPr>
            <w:noProof/>
            <w:webHidden/>
          </w:rPr>
          <w:fldChar w:fldCharType="separate"/>
        </w:r>
        <w:r w:rsidR="00BA7F5A">
          <w:rPr>
            <w:noProof/>
            <w:webHidden/>
          </w:rPr>
          <w:t>1</w:t>
        </w:r>
        <w:r w:rsidR="00BA7F5A">
          <w:rPr>
            <w:noProof/>
            <w:webHidden/>
          </w:rPr>
          <w:fldChar w:fldCharType="end"/>
        </w:r>
      </w:hyperlink>
    </w:p>
    <w:p w14:paraId="7E6C80E6" w14:textId="77777777" w:rsidR="00BA7F5A" w:rsidRDefault="00CC30CD" w:rsidP="00BA7F5A">
      <w:pPr>
        <w:pStyle w:val="TOC1"/>
        <w:rPr>
          <w:rFonts w:asciiTheme="minorHAnsi" w:eastAsiaTheme="minorEastAsia" w:hAnsiTheme="minorHAnsi" w:cstheme="minorBidi"/>
          <w:b w:val="0"/>
          <w:noProof/>
          <w:sz w:val="22"/>
          <w:szCs w:val="22"/>
        </w:rPr>
      </w:pPr>
      <w:hyperlink w:anchor="_Toc33535695" w:history="1">
        <w:r w:rsidR="00BA7F5A" w:rsidRPr="00FD43BD">
          <w:rPr>
            <w:rStyle w:val="Hyperlink"/>
            <w:rFonts w:ascii="Times New Roman" w:hAnsi="Times New Roman"/>
            <w:noProof/>
          </w:rPr>
          <w:t>The Average Cost Per Pupil at Recovery High Schools</w:t>
        </w:r>
        <w:r w:rsidR="00BA7F5A">
          <w:rPr>
            <w:noProof/>
            <w:webHidden/>
          </w:rPr>
          <w:tab/>
          <w:t>1</w:t>
        </w:r>
      </w:hyperlink>
    </w:p>
    <w:p w14:paraId="2399F091" w14:textId="77777777" w:rsidR="00BA7F5A" w:rsidRDefault="00CC30CD" w:rsidP="00BA7F5A">
      <w:pPr>
        <w:pStyle w:val="TOC1"/>
        <w:rPr>
          <w:rFonts w:asciiTheme="minorHAnsi" w:eastAsiaTheme="minorEastAsia" w:hAnsiTheme="minorHAnsi" w:cstheme="minorBidi"/>
          <w:b w:val="0"/>
          <w:noProof/>
          <w:sz w:val="22"/>
          <w:szCs w:val="22"/>
        </w:rPr>
      </w:pPr>
      <w:hyperlink w:anchor="_Toc33535696" w:history="1">
        <w:r w:rsidR="00BA7F5A" w:rsidRPr="00FD43BD">
          <w:rPr>
            <w:rStyle w:val="Hyperlink"/>
            <w:rFonts w:ascii="Times New Roman" w:hAnsi="Times New Roman"/>
            <w:noProof/>
          </w:rPr>
          <w:t>Enrollment at Recovery High School Programs</w:t>
        </w:r>
        <w:r w:rsidR="00BA7F5A">
          <w:rPr>
            <w:noProof/>
            <w:webHidden/>
          </w:rPr>
          <w:tab/>
          <w:t>3</w:t>
        </w:r>
      </w:hyperlink>
    </w:p>
    <w:p w14:paraId="63AEABA3" w14:textId="77777777" w:rsidR="00BA7F5A" w:rsidRDefault="00BA7F5A" w:rsidP="00BA7F5A"/>
    <w:p w14:paraId="3EFB7890" w14:textId="77777777" w:rsidR="00BA7F5A" w:rsidRDefault="00BA7F5A" w:rsidP="00BA7F5A"/>
    <w:p w14:paraId="504CF8D0" w14:textId="77777777" w:rsidR="00BA7F5A" w:rsidRDefault="00BA7F5A" w:rsidP="00BA7F5A"/>
    <w:p w14:paraId="33F22EDC" w14:textId="77777777" w:rsidR="00BA7F5A" w:rsidRDefault="00BA7F5A" w:rsidP="00BA7F5A"/>
    <w:p w14:paraId="6CFC8BF4" w14:textId="77777777" w:rsidR="00BA7F5A" w:rsidRDefault="00BA7F5A" w:rsidP="00BA7F5A"/>
    <w:p w14:paraId="2F920E45" w14:textId="77777777" w:rsidR="00BA7F5A" w:rsidRDefault="00BA7F5A" w:rsidP="00BA7F5A"/>
    <w:p w14:paraId="113A4602" w14:textId="77777777" w:rsidR="00BA7F5A" w:rsidRDefault="00BA7F5A" w:rsidP="00BA7F5A"/>
    <w:p w14:paraId="039C8582" w14:textId="77777777" w:rsidR="00BA7F5A" w:rsidRDefault="00BA7F5A" w:rsidP="00BA7F5A"/>
    <w:p w14:paraId="26BA8A58" w14:textId="77777777" w:rsidR="00BA7F5A" w:rsidRDefault="00BA7F5A" w:rsidP="00BA7F5A"/>
    <w:p w14:paraId="5D5A1BB2" w14:textId="77777777" w:rsidR="00BA7F5A" w:rsidRDefault="00BA7F5A" w:rsidP="00BA7F5A"/>
    <w:p w14:paraId="64E571AD" w14:textId="77777777" w:rsidR="00BA7F5A" w:rsidRDefault="00BA7F5A" w:rsidP="00BA7F5A"/>
    <w:p w14:paraId="5146D6E8" w14:textId="77777777" w:rsidR="00BA7F5A" w:rsidRDefault="00BA7F5A" w:rsidP="00BA7F5A"/>
    <w:p w14:paraId="25AF730D" w14:textId="77777777" w:rsidR="00BA7F5A" w:rsidRDefault="00BA7F5A" w:rsidP="00BA7F5A"/>
    <w:p w14:paraId="56DD7B5C" w14:textId="77777777" w:rsidR="00BA7F5A" w:rsidRDefault="00BA7F5A" w:rsidP="00BA7F5A"/>
    <w:p w14:paraId="09D256C3" w14:textId="77777777" w:rsidR="00BA7F5A" w:rsidRDefault="00BA7F5A" w:rsidP="00BA7F5A"/>
    <w:p w14:paraId="65571E40" w14:textId="77777777" w:rsidR="00BA7F5A" w:rsidRDefault="00BA7F5A" w:rsidP="00BA7F5A"/>
    <w:p w14:paraId="5A306BEB" w14:textId="77777777" w:rsidR="00BA7F5A" w:rsidRDefault="00BA7F5A" w:rsidP="00BA7F5A"/>
    <w:p w14:paraId="0EA8FB14" w14:textId="77777777" w:rsidR="00BA7F5A" w:rsidRDefault="00BA7F5A" w:rsidP="00BA7F5A"/>
    <w:p w14:paraId="03B4E68A" w14:textId="77777777" w:rsidR="00BA7F5A" w:rsidRDefault="00BA7F5A" w:rsidP="00BA7F5A"/>
    <w:p w14:paraId="4DFCFF6B" w14:textId="77777777" w:rsidR="00BA7F5A" w:rsidRDefault="00BA7F5A" w:rsidP="00BA7F5A"/>
    <w:p w14:paraId="7DDF8A0D" w14:textId="77777777" w:rsidR="00BA7F5A" w:rsidRDefault="00BA7F5A" w:rsidP="00BA7F5A"/>
    <w:p w14:paraId="03C0214B" w14:textId="77777777" w:rsidR="00BA7F5A" w:rsidRDefault="00BA7F5A" w:rsidP="00BA7F5A"/>
    <w:p w14:paraId="7CC9E46D" w14:textId="77777777" w:rsidR="00BA7F5A" w:rsidRDefault="00BA7F5A" w:rsidP="00BA7F5A"/>
    <w:p w14:paraId="684D33EA" w14:textId="77777777" w:rsidR="00BA7F5A" w:rsidRDefault="00BA7F5A" w:rsidP="00BA7F5A"/>
    <w:p w14:paraId="74CD7DD5" w14:textId="77777777" w:rsidR="00BA7F5A" w:rsidRDefault="00BA7F5A" w:rsidP="00BA7F5A">
      <w:pPr>
        <w:sectPr w:rsidR="00BA7F5A" w:rsidSect="007102D5">
          <w:pgSz w:w="12240" w:h="15840"/>
          <w:pgMar w:top="1440" w:right="1440" w:bottom="1440" w:left="1440" w:header="720" w:footer="720" w:gutter="0"/>
          <w:cols w:space="720"/>
          <w:docGrid w:linePitch="326"/>
        </w:sectPr>
      </w:pPr>
    </w:p>
    <w:p w14:paraId="0A614ED1" w14:textId="77777777" w:rsidR="00BA7F5A" w:rsidRPr="009A5EBB" w:rsidRDefault="00BA7F5A" w:rsidP="00BA7F5A">
      <w:pPr>
        <w:pStyle w:val="Heading1"/>
        <w:rPr>
          <w:rFonts w:ascii="Times New Roman" w:hAnsi="Times New Roman" w:cs="Times New Roman"/>
        </w:rPr>
      </w:pPr>
      <w:bookmarkStart w:id="0" w:name="_Toc33535694"/>
      <w:r w:rsidRPr="009A5EBB">
        <w:rPr>
          <w:rFonts w:ascii="Times New Roman" w:hAnsi="Times New Roman" w:cs="Times New Roman"/>
        </w:rPr>
        <w:lastRenderedPageBreak/>
        <w:t>Introduction</w:t>
      </w:r>
      <w:bookmarkEnd w:id="0"/>
    </w:p>
    <w:p w14:paraId="521953E8" w14:textId="77777777" w:rsidR="00BA7F5A" w:rsidRPr="0098634D" w:rsidRDefault="00BA7F5A" w:rsidP="00BA7F5A">
      <w:pPr>
        <w:pStyle w:val="xmsonormal"/>
        <w:shd w:val="clear" w:color="auto" w:fill="FFFFFF"/>
        <w:spacing w:before="0" w:beforeAutospacing="0" w:after="0" w:afterAutospacing="0"/>
        <w:rPr>
          <w:color w:val="201F1E"/>
        </w:rPr>
      </w:pPr>
      <w:r w:rsidRPr="0098634D">
        <w:rPr>
          <w:color w:val="201F1E"/>
        </w:rPr>
        <w:t xml:space="preserve">The Department of Elementary and Secondary Education (Department) respectfully submits this Report to the Legislature: </w:t>
      </w:r>
      <w:r>
        <w:rPr>
          <w:color w:val="201F1E"/>
        </w:rPr>
        <w:t>The Average Cost per Pupil at Recovery High Schools, pursuant to An Act Relative to Educational Opportunities f</w:t>
      </w:r>
      <w:r w:rsidRPr="0098634D">
        <w:rPr>
          <w:color w:val="201F1E"/>
        </w:rPr>
        <w:t>or Students</w:t>
      </w:r>
      <w:r>
        <w:rPr>
          <w:color w:val="201F1E"/>
        </w:rPr>
        <w:t>,</w:t>
      </w:r>
      <w:r w:rsidRPr="0098634D">
        <w:rPr>
          <w:color w:val="201F1E"/>
        </w:rPr>
        <w:t> </w:t>
      </w:r>
      <w:hyperlink r:id="rId17" w:tgtFrame="_blank" w:history="1">
        <w:r w:rsidRPr="009511A6">
          <w:rPr>
            <w:rStyle w:val="Hyperlink"/>
          </w:rPr>
          <w:t>Chapter 132 Section 28</w:t>
        </w:r>
      </w:hyperlink>
      <w:r w:rsidRPr="0098634D">
        <w:rPr>
          <w:color w:val="201F1E"/>
        </w:rPr>
        <w:t> of Acts 2019:</w:t>
      </w:r>
    </w:p>
    <w:p w14:paraId="30B4DD06" w14:textId="77777777" w:rsidR="00BA7F5A" w:rsidRPr="0098634D" w:rsidRDefault="00BA7F5A" w:rsidP="00BA7F5A">
      <w:pPr>
        <w:pStyle w:val="xmsonormal"/>
        <w:shd w:val="clear" w:color="auto" w:fill="FFFFFF"/>
        <w:spacing w:before="0" w:beforeAutospacing="0" w:after="0" w:afterAutospacing="0"/>
        <w:rPr>
          <w:color w:val="201F1E"/>
        </w:rPr>
      </w:pPr>
      <w:r w:rsidRPr="0098634D">
        <w:rPr>
          <w:color w:val="201F1E"/>
        </w:rPr>
        <w:t> </w:t>
      </w:r>
    </w:p>
    <w:p w14:paraId="258FFEAE" w14:textId="77777777" w:rsidR="00BA7F5A" w:rsidRPr="006E4B04" w:rsidRDefault="00BA7F5A" w:rsidP="00BA7F5A">
      <w:pPr>
        <w:pStyle w:val="xmsonormal"/>
        <w:shd w:val="clear" w:color="auto" w:fill="FFFFFF"/>
        <w:spacing w:before="0" w:beforeAutospacing="0" w:after="0" w:afterAutospacing="0"/>
        <w:ind w:left="720"/>
      </w:pPr>
      <w:r w:rsidRPr="006E4B04">
        <w:rPr>
          <w:i/>
          <w:iCs/>
          <w:bdr w:val="none" w:sz="0" w:space="0" w:color="auto" w:frame="1"/>
        </w:rPr>
        <w:t>“Notwithstanding any general or special law to the contrary, the department of elementary and secondary education, in consultation with the principals of the 5 recovery high schools in the commonwealth, shall examine the costs associated with sending students to a recovery high school, as defined in subsection (a) of section 91 of chapter 71 of the General Laws, and shall determine the average cost per pupil at recovery high schools in the commonwealth. The department shall submit its findings to the chairs of the house and senate committees on ways and means, the chairs of the joint committee on education and the chairs of the joint committee on mental health, substance use and recovery not later than March 1, 2020.”</w:t>
      </w:r>
    </w:p>
    <w:p w14:paraId="202A2856" w14:textId="77777777" w:rsidR="00BA7F5A" w:rsidRPr="006E4B04" w:rsidRDefault="00BA7F5A" w:rsidP="00BA7F5A">
      <w:pPr>
        <w:pStyle w:val="xmsonormal"/>
        <w:shd w:val="clear" w:color="auto" w:fill="FFFFFF"/>
        <w:spacing w:before="0" w:beforeAutospacing="0" w:after="0" w:afterAutospacing="0"/>
      </w:pPr>
      <w:r w:rsidRPr="006E4B04">
        <w:t> </w:t>
      </w:r>
    </w:p>
    <w:p w14:paraId="0C5A3DE4" w14:textId="0701FCBD" w:rsidR="00BA7F5A" w:rsidRPr="006E4B04" w:rsidRDefault="00BA7F5A" w:rsidP="00BA7F5A">
      <w:pPr>
        <w:pStyle w:val="xmsonormal"/>
        <w:shd w:val="clear" w:color="auto" w:fill="FFFFFF"/>
        <w:spacing w:before="0" w:beforeAutospacing="0" w:after="0" w:afterAutospacing="0"/>
      </w:pPr>
      <w:r w:rsidRPr="006E4B04">
        <w:rPr>
          <w:bdr w:val="none" w:sz="0" w:space="0" w:color="auto" w:frame="1"/>
        </w:rPr>
        <w:t>Recovery High School (RHS) programs, as set forth in</w:t>
      </w:r>
      <w:r w:rsidRPr="0056352D">
        <w:rPr>
          <w:rStyle w:val="Hyperlink"/>
        </w:rPr>
        <w:t> </w:t>
      </w:r>
      <w:hyperlink r:id="rId18" w:tgtFrame="_blank" w:tooltip="External Link, Opens in New Window" w:history="1">
        <w:r w:rsidRPr="0056352D">
          <w:rPr>
            <w:rStyle w:val="Hyperlink"/>
          </w:rPr>
          <w:t>G.L. c. 71, § 91</w:t>
        </w:r>
      </w:hyperlink>
      <w:r w:rsidRPr="006E4B04">
        <w:rPr>
          <w:bdr w:val="none" w:sz="0" w:space="0" w:color="auto" w:frame="1"/>
        </w:rPr>
        <w:t>, provide a structured plan of recovery for students diagnosed with substance use disorder or dependency</w:t>
      </w:r>
      <w:r>
        <w:rPr>
          <w:bdr w:val="none" w:sz="0" w:space="0" w:color="auto" w:frame="1"/>
        </w:rPr>
        <w:t>,</w:t>
      </w:r>
      <w:r w:rsidRPr="006E4B04">
        <w:rPr>
          <w:bdr w:val="none" w:sz="0" w:space="0" w:color="auto" w:frame="1"/>
        </w:rPr>
        <w:t xml:space="preserve"> and offer the students a comprehensive four-year high school education. </w:t>
      </w:r>
      <w:r w:rsidRPr="006E4B04">
        <w:t>RHS programs serve a complex student population</w:t>
      </w:r>
      <w:r>
        <w:t>,</w:t>
      </w:r>
      <w:r w:rsidRPr="006E4B04">
        <w:t xml:space="preserve"> and while each RHS program varies to meet the needs of their given population, they all play an important role for these students by offering them another</w:t>
      </w:r>
      <w:r w:rsidR="00413B8C">
        <w:t xml:space="preserve"> educational</w:t>
      </w:r>
      <w:r w:rsidRPr="006E4B04">
        <w:t xml:space="preserve"> option in which they can feel supported in their recovery while still working towards a high school degree.</w:t>
      </w:r>
    </w:p>
    <w:p w14:paraId="7D0514B6" w14:textId="77777777" w:rsidR="00BA7F5A" w:rsidRPr="006E4B04" w:rsidRDefault="00BA7F5A" w:rsidP="00BA7F5A">
      <w:pPr>
        <w:pStyle w:val="xmsonormal"/>
        <w:shd w:val="clear" w:color="auto" w:fill="FFFFFF"/>
        <w:spacing w:before="0" w:beforeAutospacing="0" w:after="0" w:afterAutospacing="0"/>
        <w:rPr>
          <w:bdr w:val="none" w:sz="0" w:space="0" w:color="auto" w:frame="1"/>
        </w:rPr>
      </w:pPr>
    </w:p>
    <w:p w14:paraId="46F895DC" w14:textId="77777777" w:rsidR="00BA7F5A" w:rsidRPr="006E4B04" w:rsidRDefault="00BA7F5A" w:rsidP="00BA7F5A">
      <w:pPr>
        <w:pStyle w:val="xmsonormal"/>
        <w:shd w:val="clear" w:color="auto" w:fill="FFFFFF"/>
        <w:spacing w:before="0" w:beforeAutospacing="0" w:after="0" w:afterAutospacing="0"/>
      </w:pPr>
      <w:r w:rsidRPr="006E4B04">
        <w:rPr>
          <w:bdr w:val="none" w:sz="0" w:space="0" w:color="auto" w:frame="1"/>
        </w:rPr>
        <w:t>The five RHS programs throughout the Commonwealth are:</w:t>
      </w:r>
    </w:p>
    <w:p w14:paraId="4999E99F" w14:textId="419686B3" w:rsidR="00BA7F5A" w:rsidRPr="00CE61A0" w:rsidRDefault="0037655B" w:rsidP="00BA7F5A">
      <w:pPr>
        <w:numPr>
          <w:ilvl w:val="0"/>
          <w:numId w:val="7"/>
        </w:numPr>
        <w:shd w:val="clear" w:color="auto" w:fill="FFFFFF"/>
        <w:ind w:right="-540"/>
      </w:pPr>
      <w:r w:rsidRPr="006E4B04">
        <w:rPr>
          <w:bdr w:val="none" w:sz="0" w:space="0" w:color="auto" w:frame="1"/>
        </w:rPr>
        <w:t>Independence Academy </w:t>
      </w:r>
      <w:r w:rsidRPr="006E4B04">
        <w:t>in Brockton</w:t>
      </w:r>
      <w:r w:rsidR="00BA7F5A" w:rsidRPr="006E4B04">
        <w:t xml:space="preserve"> operated in partnership with North</w:t>
      </w:r>
      <w:r w:rsidR="00BA7F5A" w:rsidRPr="00CE61A0">
        <w:t xml:space="preserve"> River Collaborative.</w:t>
      </w:r>
    </w:p>
    <w:p w14:paraId="30A4444A" w14:textId="5D8BEA92" w:rsidR="00BA7F5A" w:rsidRPr="00CE61A0" w:rsidRDefault="0037655B" w:rsidP="00BA7F5A">
      <w:pPr>
        <w:numPr>
          <w:ilvl w:val="0"/>
          <w:numId w:val="7"/>
        </w:numPr>
        <w:shd w:val="clear" w:color="auto" w:fill="FFFFFF"/>
      </w:pPr>
      <w:r w:rsidRPr="00CE61A0">
        <w:rPr>
          <w:bdr w:val="none" w:sz="0" w:space="0" w:color="auto" w:frame="1"/>
        </w:rPr>
        <w:t>Liberty Preparatory Academy in </w:t>
      </w:r>
      <w:r w:rsidRPr="00CE61A0">
        <w:t>Springfield</w:t>
      </w:r>
      <w:r w:rsidR="00BA7F5A" w:rsidRPr="00CE61A0">
        <w:t xml:space="preserve"> operated in partnership with </w:t>
      </w:r>
      <w:r w:rsidR="00BA7F5A" w:rsidRPr="00CE61A0">
        <w:rPr>
          <w:bdr w:val="none" w:sz="0" w:space="0" w:color="auto" w:frame="1"/>
        </w:rPr>
        <w:t>Springfield Public Schools.</w:t>
      </w:r>
    </w:p>
    <w:p w14:paraId="28DCA852" w14:textId="1ECD4A3D" w:rsidR="00BA7F5A" w:rsidRPr="00CE61A0" w:rsidRDefault="0037655B" w:rsidP="00BA7F5A">
      <w:pPr>
        <w:numPr>
          <w:ilvl w:val="0"/>
          <w:numId w:val="7"/>
        </w:numPr>
        <w:shd w:val="clear" w:color="auto" w:fill="FFFFFF"/>
      </w:pPr>
      <w:r w:rsidRPr="00CE61A0">
        <w:rPr>
          <w:bdr w:val="none" w:sz="0" w:space="0" w:color="auto" w:frame="1"/>
        </w:rPr>
        <w:t>North Shore Recovery High School in </w:t>
      </w:r>
      <w:r w:rsidRPr="00CE61A0">
        <w:t>Beverly</w:t>
      </w:r>
      <w:r w:rsidR="00BA7F5A" w:rsidRPr="00CE61A0">
        <w:t xml:space="preserve"> operated in partnership with </w:t>
      </w:r>
      <w:r w:rsidR="00BA7F5A" w:rsidRPr="00CE61A0">
        <w:rPr>
          <w:bdr w:val="none" w:sz="0" w:space="0" w:color="auto" w:frame="1"/>
        </w:rPr>
        <w:t>Northshore Education Consortium.</w:t>
      </w:r>
    </w:p>
    <w:p w14:paraId="343218AC" w14:textId="247937C5" w:rsidR="00BA7F5A" w:rsidRPr="00CE61A0" w:rsidRDefault="0037655B" w:rsidP="00BA7F5A">
      <w:pPr>
        <w:numPr>
          <w:ilvl w:val="0"/>
          <w:numId w:val="7"/>
        </w:numPr>
        <w:shd w:val="clear" w:color="auto" w:fill="FFFFFF"/>
      </w:pPr>
      <w:r w:rsidRPr="00CE61A0">
        <w:t>Rockdale Recovery High School in Worcester</w:t>
      </w:r>
      <w:r w:rsidR="00BA7F5A" w:rsidRPr="00CE61A0">
        <w:t xml:space="preserve"> operated in partnership with Central Mass. SPED Collaborative.</w:t>
      </w:r>
    </w:p>
    <w:p w14:paraId="00E951E2" w14:textId="677706D3" w:rsidR="00BA7F5A" w:rsidRPr="0098634D" w:rsidRDefault="0037655B" w:rsidP="00BA7F5A">
      <w:pPr>
        <w:numPr>
          <w:ilvl w:val="0"/>
          <w:numId w:val="7"/>
        </w:numPr>
        <w:shd w:val="clear" w:color="auto" w:fill="FFFFFF"/>
        <w:ind w:right="-630"/>
        <w:rPr>
          <w:color w:val="333333"/>
        </w:rPr>
      </w:pPr>
      <w:r w:rsidRPr="00CE61A0">
        <w:rPr>
          <w:bdr w:val="none" w:sz="0" w:space="0" w:color="auto" w:frame="1"/>
        </w:rPr>
        <w:t>William J. Ostiguy High School </w:t>
      </w:r>
      <w:r w:rsidRPr="00CE61A0">
        <w:t>in Boston</w:t>
      </w:r>
      <w:r w:rsidR="00BA7F5A" w:rsidRPr="00CE61A0">
        <w:t xml:space="preserve"> operated in partnership with Boston Public Schools</w:t>
      </w:r>
      <w:r w:rsidR="00BA7F5A" w:rsidRPr="0098634D">
        <w:rPr>
          <w:color w:val="333333"/>
        </w:rPr>
        <w:t>.</w:t>
      </w:r>
    </w:p>
    <w:p w14:paraId="11F704F3" w14:textId="77777777" w:rsidR="00BA7F5A" w:rsidRDefault="00BA7F5A" w:rsidP="00BA7F5A">
      <w:pPr>
        <w:pStyle w:val="Heading1"/>
      </w:pPr>
      <w:bookmarkStart w:id="1" w:name="_Toc33535695"/>
      <w:r w:rsidRPr="0098634D">
        <w:rPr>
          <w:rFonts w:ascii="Times New Roman" w:hAnsi="Times New Roman" w:cs="Times New Roman"/>
        </w:rPr>
        <w:t>The Average Cost Per Pupil at Recovery High Schools</w:t>
      </w:r>
      <w:bookmarkEnd w:id="1"/>
    </w:p>
    <w:p w14:paraId="4C859A72" w14:textId="2E2151D3" w:rsidR="00BA7F5A" w:rsidRDefault="00BA7F5A" w:rsidP="00BA7F5A">
      <w:pPr>
        <w:pStyle w:val="xmsonormal"/>
        <w:shd w:val="clear" w:color="auto" w:fill="FFFFFF"/>
        <w:spacing w:before="0" w:beforeAutospacing="0" w:after="0" w:afterAutospacing="0"/>
        <w:rPr>
          <w:color w:val="201F1E"/>
        </w:rPr>
      </w:pPr>
      <w:r w:rsidRPr="006E4B04">
        <w:rPr>
          <w:color w:val="201F1E"/>
        </w:rPr>
        <w:t>Calculating an average per-pupil cost</w:t>
      </w:r>
      <w:r w:rsidR="00F42331">
        <w:rPr>
          <w:rStyle w:val="FootnoteReference"/>
          <w:color w:val="201F1E"/>
        </w:rPr>
        <w:footnoteReference w:id="1"/>
      </w:r>
      <w:r w:rsidRPr="006E4B04">
        <w:rPr>
          <w:color w:val="201F1E"/>
        </w:rPr>
        <w:t xml:space="preserve"> is complicated by the variation in enrollment days among students in RHS (ranging from 1 to 364 days) and the variation in the days in school years among the five RHS (ranging from 180 to 365 days). In an attempt to standardize data to account for this variation, the average per-pupil cost is presented in four ways: by Full </w:t>
      </w:r>
      <w:r>
        <w:rPr>
          <w:color w:val="201F1E"/>
        </w:rPr>
        <w:t>T</w:t>
      </w:r>
      <w:r w:rsidRPr="006E4B04">
        <w:rPr>
          <w:color w:val="201F1E"/>
        </w:rPr>
        <w:t xml:space="preserve">ime </w:t>
      </w:r>
      <w:r>
        <w:rPr>
          <w:color w:val="201F1E"/>
        </w:rPr>
        <w:t xml:space="preserve">Equivalent </w:t>
      </w:r>
      <w:r w:rsidRPr="006E4B04">
        <w:rPr>
          <w:color w:val="201F1E"/>
        </w:rPr>
        <w:t>(FTE) students [$50,794 for fiscal year 2018-2019 (FY2019)]</w:t>
      </w:r>
      <w:r>
        <w:rPr>
          <w:color w:val="201F1E"/>
        </w:rPr>
        <w:t>;</w:t>
      </w:r>
      <w:r w:rsidRPr="006E4B04">
        <w:rPr>
          <w:color w:val="201F1E"/>
        </w:rPr>
        <w:t xml:space="preserve"> by FTE and a 180-day school year ($42,979 for FY2019)</w:t>
      </w:r>
      <w:r>
        <w:rPr>
          <w:color w:val="201F1E"/>
        </w:rPr>
        <w:t>;</w:t>
      </w:r>
      <w:r w:rsidRPr="006E4B04">
        <w:rPr>
          <w:color w:val="201F1E"/>
        </w:rPr>
        <w:t xml:space="preserve"> by simultaneous high enrollment ($43,005 for FY2019)</w:t>
      </w:r>
      <w:r>
        <w:rPr>
          <w:color w:val="201F1E"/>
        </w:rPr>
        <w:t>;</w:t>
      </w:r>
      <w:r w:rsidRPr="006E4B04">
        <w:rPr>
          <w:color w:val="201F1E"/>
        </w:rPr>
        <w:t xml:space="preserve"> and by all enrollment</w:t>
      </w:r>
      <w:r>
        <w:rPr>
          <w:color w:val="201F1E"/>
        </w:rPr>
        <w:t xml:space="preserve">, including all </w:t>
      </w:r>
      <w:r w:rsidRPr="006E4B04">
        <w:rPr>
          <w:color w:val="201F1E"/>
        </w:rPr>
        <w:t xml:space="preserve">students attending at least one day ($25,206 for FY2019). The benefits </w:t>
      </w:r>
      <w:r w:rsidRPr="006E4B04">
        <w:rPr>
          <w:color w:val="201F1E"/>
        </w:rPr>
        <w:lastRenderedPageBreak/>
        <w:t>and potential weaknesses of each method, as well as per-pupil costs for FY2017 and FY2018, are discussed below.</w:t>
      </w:r>
    </w:p>
    <w:p w14:paraId="3C82E749" w14:textId="34CDEA7A" w:rsidR="00BA7F5A" w:rsidRDefault="00BA7F5A" w:rsidP="00BA7F5A">
      <w:pPr>
        <w:pStyle w:val="xmsonormal"/>
        <w:shd w:val="clear" w:color="auto" w:fill="FFFFFF"/>
        <w:spacing w:before="0" w:beforeAutospacing="0" w:after="0" w:afterAutospacing="0"/>
        <w:rPr>
          <w:color w:val="201F1E"/>
        </w:rPr>
      </w:pPr>
      <w:r>
        <w:rPr>
          <w:color w:val="201F1E"/>
        </w:rPr>
        <w:br/>
        <w:t>This report provides information based on available data. It includes expenditures by the RHS programs (whether or not the source of the funds was the Department or elsewhere</w:t>
      </w:r>
      <w:r w:rsidR="009D0588">
        <w:rPr>
          <w:color w:val="201F1E"/>
        </w:rPr>
        <w:t xml:space="preserve"> such as grants, donations or chargebacks to districts</w:t>
      </w:r>
      <w:r>
        <w:rPr>
          <w:color w:val="201F1E"/>
        </w:rPr>
        <w:t xml:space="preserve">), on costs such as salaries and stipends, fringe benefits and fixed charges, contractual services, supplies and materials, travel, operations, maintenance, pupil services, and other expenditures. It does not include associated costs </w:t>
      </w:r>
      <w:r w:rsidR="00F42331">
        <w:rPr>
          <w:color w:val="201F1E"/>
        </w:rPr>
        <w:t xml:space="preserve">incurred </w:t>
      </w:r>
      <w:r>
        <w:rPr>
          <w:color w:val="201F1E"/>
        </w:rPr>
        <w:t xml:space="preserve">by the families or others, such as transportation </w:t>
      </w:r>
      <w:r w:rsidR="00F42331">
        <w:rPr>
          <w:color w:val="201F1E"/>
        </w:rPr>
        <w:t xml:space="preserve">not provided by schools </w:t>
      </w:r>
      <w:r>
        <w:rPr>
          <w:color w:val="201F1E"/>
        </w:rPr>
        <w:t>(a big challenge for many families and schools)</w:t>
      </w:r>
      <w:r w:rsidR="00796EAE">
        <w:rPr>
          <w:color w:val="201F1E"/>
        </w:rPr>
        <w:t>.</w:t>
      </w:r>
      <w:r>
        <w:rPr>
          <w:color w:val="201F1E"/>
        </w:rPr>
        <w:t xml:space="preserve"> </w:t>
      </w:r>
    </w:p>
    <w:p w14:paraId="04EFB1D7" w14:textId="77777777" w:rsidR="00BA7F5A" w:rsidRDefault="00BA7F5A" w:rsidP="00BA7F5A">
      <w:pPr>
        <w:pStyle w:val="xmsonormal"/>
        <w:shd w:val="clear" w:color="auto" w:fill="FFFFFF"/>
        <w:spacing w:before="0" w:beforeAutospacing="0" w:after="0" w:afterAutospacing="0"/>
        <w:rPr>
          <w:i/>
          <w:iCs/>
          <w:color w:val="201F1E"/>
        </w:rPr>
      </w:pPr>
    </w:p>
    <w:p w14:paraId="7A86422B" w14:textId="77777777" w:rsidR="00BA7F5A" w:rsidRDefault="00BA7F5A" w:rsidP="00BA7F5A">
      <w:pPr>
        <w:pStyle w:val="xmsonormal"/>
        <w:shd w:val="clear" w:color="auto" w:fill="FFFFFF"/>
        <w:spacing w:before="0" w:beforeAutospacing="0" w:after="0" w:afterAutospacing="0"/>
        <w:rPr>
          <w:color w:val="201F1E"/>
        </w:rPr>
      </w:pPr>
      <w:r w:rsidRPr="000477B3">
        <w:rPr>
          <w:i/>
          <w:iCs/>
          <w:color w:val="201F1E"/>
        </w:rPr>
        <w:t>Cost per pupil</w:t>
      </w:r>
      <w:r w:rsidRPr="000477B3">
        <w:rPr>
          <w:color w:val="201F1E"/>
        </w:rPr>
        <w:t>.</w:t>
      </w:r>
      <w:r>
        <w:rPr>
          <w:color w:val="201F1E"/>
        </w:rPr>
        <w:t xml:space="preserve"> </w:t>
      </w:r>
      <w:r w:rsidRPr="0098634D">
        <w:rPr>
          <w:color w:val="201F1E"/>
        </w:rPr>
        <w:t xml:space="preserve">Because of the variations in school year and enrollment (both in-school and among schools), the per-pupil cost data </w:t>
      </w:r>
      <w:r>
        <w:rPr>
          <w:color w:val="201F1E"/>
        </w:rPr>
        <w:t xml:space="preserve">is presented </w:t>
      </w:r>
      <w:r w:rsidRPr="0098634D">
        <w:rPr>
          <w:color w:val="201F1E"/>
        </w:rPr>
        <w:t>in four ways (see Figure 1):</w:t>
      </w:r>
    </w:p>
    <w:p w14:paraId="0BA56D40" w14:textId="77777777" w:rsidR="00BA7F5A" w:rsidRPr="0098634D" w:rsidRDefault="00BA7F5A" w:rsidP="00BA7F5A">
      <w:pPr>
        <w:pStyle w:val="xmsonormal"/>
        <w:shd w:val="clear" w:color="auto" w:fill="FFFFFF"/>
        <w:spacing w:before="0" w:beforeAutospacing="0" w:after="0" w:afterAutospacing="0"/>
        <w:rPr>
          <w:color w:val="201F1E"/>
        </w:rPr>
      </w:pPr>
    </w:p>
    <w:p w14:paraId="645CED04" w14:textId="77777777" w:rsidR="00BA7F5A" w:rsidRPr="0098634D" w:rsidRDefault="00BA7F5A" w:rsidP="00BA7F5A">
      <w:pPr>
        <w:pStyle w:val="xmsonormal"/>
        <w:shd w:val="clear" w:color="auto" w:fill="FFFFFF"/>
        <w:spacing w:before="0" w:beforeAutospacing="0" w:after="0" w:afterAutospacing="0"/>
        <w:rPr>
          <w:color w:val="201F1E"/>
        </w:rPr>
      </w:pPr>
      <w:r w:rsidRPr="0098634D">
        <w:rPr>
          <w:color w:val="201F1E"/>
        </w:rPr>
        <w:t> </w:t>
      </w:r>
      <w:r>
        <w:rPr>
          <w:noProof/>
        </w:rPr>
        <w:drawing>
          <wp:inline distT="0" distB="0" distL="0" distR="0" wp14:anchorId="762B9EA3" wp14:editId="0271C543">
            <wp:extent cx="5429250" cy="3133090"/>
            <wp:effectExtent l="0" t="0" r="0" b="10160"/>
            <wp:docPr id="7" name="Chart 7" descr="Average Per-Pupil Cost Across RHS High Schools FY2017-2019&#10;&#10;FY19 / FY18 / FY17&#10;&#10;Cost per FTE Student: $50,794 / $48,123 / $47,775&#10;&#10;Cost per FTE Student - 180 days: $42,979 / $42,076 / $38,864&#10;&#10;Cost per Student (based on high enrollment for year): $43,005 / $40,682 / $44,038&#10;&#10;Cost per Student (based on total students enrolled at least one day): $25,206 / $25,877 / $28,812&#10;&#10;" title="Average Per-Pupil Cost Across RHS High Schools FY2017-2019">
              <a:extLst xmlns:a="http://schemas.openxmlformats.org/drawingml/2006/main">
                <a:ext uri="{FF2B5EF4-FFF2-40B4-BE49-F238E27FC236}">
                  <a16:creationId xmlns:a16="http://schemas.microsoft.com/office/drawing/2014/main" id="{26939116-7A4D-4EDA-97BF-F4A302967B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BFD9834" w14:textId="77777777" w:rsidR="00BA7F5A" w:rsidRPr="00434065" w:rsidRDefault="00BA7F5A" w:rsidP="00BA7F5A">
      <w:pPr>
        <w:pStyle w:val="xmsonormal"/>
        <w:shd w:val="clear" w:color="auto" w:fill="FFFFFF"/>
        <w:spacing w:before="0" w:beforeAutospacing="0" w:after="0" w:afterAutospacing="0"/>
        <w:rPr>
          <w:rFonts w:ascii="Arial Narrow" w:hAnsi="Arial Narrow" w:cs="Arial"/>
          <w:color w:val="201F1E"/>
          <w:sz w:val="20"/>
          <w:szCs w:val="20"/>
        </w:rPr>
      </w:pPr>
      <w:r w:rsidRPr="00434065">
        <w:rPr>
          <w:rFonts w:ascii="Arial Narrow" w:hAnsi="Arial Narrow" w:cs="Arial"/>
          <w:i/>
          <w:iCs/>
          <w:color w:val="201F1E"/>
          <w:sz w:val="20"/>
          <w:szCs w:val="20"/>
        </w:rPr>
        <w:t>Figure 1. Average per-pupil costs for</w:t>
      </w:r>
      <w:r>
        <w:rPr>
          <w:rFonts w:ascii="Arial Narrow" w:hAnsi="Arial Narrow" w:cs="Arial"/>
          <w:i/>
          <w:iCs/>
          <w:color w:val="201F1E"/>
          <w:sz w:val="20"/>
          <w:szCs w:val="20"/>
        </w:rPr>
        <w:t xml:space="preserve"> RHS for FY2017 through FY2019.</w:t>
      </w:r>
      <w:r w:rsidRPr="00434065">
        <w:rPr>
          <w:rFonts w:ascii="Arial Narrow" w:hAnsi="Arial Narrow" w:cs="Arial"/>
          <w:i/>
          <w:iCs/>
          <w:color w:val="201F1E"/>
          <w:sz w:val="20"/>
          <w:szCs w:val="20"/>
        </w:rPr>
        <w:t xml:space="preserve"> Note that cost per student based on high enrollment includes only four of the five high schools because of data gaps.</w:t>
      </w:r>
    </w:p>
    <w:p w14:paraId="2AC4F65B" w14:textId="77777777" w:rsidR="00BA7F5A" w:rsidRPr="0098634D" w:rsidRDefault="00BA7F5A" w:rsidP="00BA7F5A">
      <w:pPr>
        <w:pStyle w:val="xmsonormal"/>
        <w:shd w:val="clear" w:color="auto" w:fill="FFFFFF"/>
        <w:spacing w:before="0" w:beforeAutospacing="0" w:after="0" w:afterAutospacing="0"/>
        <w:rPr>
          <w:color w:val="201F1E"/>
        </w:rPr>
      </w:pPr>
      <w:r w:rsidRPr="0098634D">
        <w:rPr>
          <w:color w:val="201F1E"/>
        </w:rPr>
        <w:t> </w:t>
      </w:r>
    </w:p>
    <w:p w14:paraId="612BD760" w14:textId="77777777" w:rsidR="00BA7F5A" w:rsidRPr="0098634D" w:rsidRDefault="00BA7F5A" w:rsidP="00BA7F5A">
      <w:pPr>
        <w:numPr>
          <w:ilvl w:val="0"/>
          <w:numId w:val="8"/>
        </w:numPr>
        <w:shd w:val="clear" w:color="auto" w:fill="FFFFFF"/>
        <w:rPr>
          <w:color w:val="201F1E"/>
        </w:rPr>
      </w:pPr>
      <w:r w:rsidRPr="000477B3">
        <w:rPr>
          <w:i/>
          <w:iCs/>
          <w:color w:val="201F1E"/>
        </w:rPr>
        <w:t>Cost per FTE student</w:t>
      </w:r>
      <w:r>
        <w:rPr>
          <w:i/>
          <w:iCs/>
          <w:color w:val="201F1E"/>
        </w:rPr>
        <w:t xml:space="preserve"> </w:t>
      </w:r>
      <w:r w:rsidRPr="0098634D">
        <w:rPr>
          <w:color w:val="201F1E"/>
        </w:rPr>
        <w:t>(averaged $50,794 for FY2019) – This average takes the total number of enrollment days for all students for a school year and divides by the number of days in the school year, resulting in the number of FTE students. Because days of enrollment vary by student, this method attempts to standardize the per-pupil cost based on a simulated number of students enrolled for the entire school year. This method may not capture the costs associate with volatility (onboarding/orienting students), nor that an RHS likely needs to plan (and spend) for the highest projected enrollment at any point in a school year. Note that costs for one RHS program for FY2017 and FY2018 may be slightly elevated because its costs included summer programming but its enrollment numbers for those months was not available.</w:t>
      </w:r>
    </w:p>
    <w:p w14:paraId="69F2614D" w14:textId="77777777" w:rsidR="00BA7F5A" w:rsidRPr="0098634D" w:rsidRDefault="00BA7F5A" w:rsidP="00BA7F5A">
      <w:pPr>
        <w:pStyle w:val="xmsonormal"/>
        <w:shd w:val="clear" w:color="auto" w:fill="FFFFFF"/>
        <w:spacing w:before="0" w:beforeAutospacing="0" w:after="0" w:afterAutospacing="0"/>
        <w:ind w:left="720"/>
        <w:rPr>
          <w:color w:val="201F1E"/>
        </w:rPr>
      </w:pPr>
      <w:r w:rsidRPr="0098634D">
        <w:rPr>
          <w:color w:val="201F1E"/>
          <w:bdr w:val="none" w:sz="0" w:space="0" w:color="auto" w:frame="1"/>
        </w:rPr>
        <w:t> </w:t>
      </w:r>
    </w:p>
    <w:p w14:paraId="128BC89A" w14:textId="77777777" w:rsidR="00BA7F5A" w:rsidRPr="0098634D" w:rsidRDefault="00BA7F5A" w:rsidP="00BA7F5A">
      <w:pPr>
        <w:numPr>
          <w:ilvl w:val="0"/>
          <w:numId w:val="9"/>
        </w:numPr>
        <w:shd w:val="clear" w:color="auto" w:fill="FFFFFF"/>
        <w:rPr>
          <w:color w:val="201F1E"/>
        </w:rPr>
      </w:pPr>
      <w:r w:rsidRPr="000477B3">
        <w:rPr>
          <w:i/>
          <w:iCs/>
          <w:color w:val="201F1E"/>
        </w:rPr>
        <w:t>Cost per FTE student/180 days</w:t>
      </w:r>
      <w:r w:rsidRPr="0098634D">
        <w:rPr>
          <w:color w:val="201F1E"/>
        </w:rPr>
        <w:t> (averaged $42,979 for FY2019) – This average is based on the cost per FTE student per school day multiplied by 180 days (typical school year). In addition to the benefit of using FTE students described above, because the schools reported different school years (one is year-round), this calculation attempts consistency in cost per pupil using a standard school year.</w:t>
      </w:r>
      <w:r>
        <w:rPr>
          <w:color w:val="201F1E"/>
        </w:rPr>
        <w:t xml:space="preserve"> </w:t>
      </w:r>
      <w:r w:rsidRPr="0098634D">
        <w:rPr>
          <w:color w:val="201F1E"/>
        </w:rPr>
        <w:t>As described for FTE calculation, this method may mask costs associated with enrollment volatility.</w:t>
      </w:r>
    </w:p>
    <w:p w14:paraId="179B7891" w14:textId="77777777" w:rsidR="00BA7F5A" w:rsidRPr="0098634D" w:rsidRDefault="00BA7F5A" w:rsidP="00BA7F5A">
      <w:pPr>
        <w:pStyle w:val="xmsonormal"/>
        <w:shd w:val="clear" w:color="auto" w:fill="FFFFFF"/>
        <w:spacing w:before="0" w:beforeAutospacing="0" w:after="0" w:afterAutospacing="0"/>
        <w:rPr>
          <w:color w:val="201F1E"/>
        </w:rPr>
      </w:pPr>
      <w:r w:rsidRPr="0098634D">
        <w:rPr>
          <w:color w:val="201F1E"/>
          <w:bdr w:val="none" w:sz="0" w:space="0" w:color="auto" w:frame="1"/>
        </w:rPr>
        <w:t> </w:t>
      </w:r>
    </w:p>
    <w:p w14:paraId="426D0421" w14:textId="77777777" w:rsidR="00BA7F5A" w:rsidRPr="0098634D" w:rsidRDefault="00BA7F5A" w:rsidP="00BA7F5A">
      <w:pPr>
        <w:numPr>
          <w:ilvl w:val="0"/>
          <w:numId w:val="10"/>
        </w:numPr>
        <w:shd w:val="clear" w:color="auto" w:fill="FFFFFF"/>
        <w:rPr>
          <w:color w:val="201F1E"/>
        </w:rPr>
      </w:pPr>
      <w:r w:rsidRPr="000477B3">
        <w:rPr>
          <w:i/>
          <w:iCs/>
          <w:color w:val="201F1E"/>
        </w:rPr>
        <w:t>Cost per student using high enrollment</w:t>
      </w:r>
      <w:r w:rsidRPr="0098634D">
        <w:rPr>
          <w:color w:val="201F1E"/>
        </w:rPr>
        <w:t> (averaged $43,005 for FY2019) – This average takes all expenditures for each school for each year divided by the highest number of students simultaneously enrolled for each school year. Assumedly schools incur costs to ensure that their projected highest number of students can receive necessary educational and intervention services, even if the school does not maintain that enrollment number for the full year, as most costs (e.g., salaries) are not fungible. </w:t>
      </w:r>
      <w:r w:rsidRPr="0098634D">
        <w:rPr>
          <w:i/>
          <w:iCs/>
          <w:color w:val="201F1E"/>
        </w:rPr>
        <w:t>Note that this cost is not standardized for variation in the number of days in school years across the five RHS.</w:t>
      </w:r>
    </w:p>
    <w:p w14:paraId="6B443B54" w14:textId="77777777" w:rsidR="00BA7F5A" w:rsidRPr="0098634D" w:rsidRDefault="00BA7F5A" w:rsidP="00BA7F5A">
      <w:pPr>
        <w:pStyle w:val="xmsonormal"/>
        <w:shd w:val="clear" w:color="auto" w:fill="FFFFFF"/>
        <w:spacing w:before="0" w:beforeAutospacing="0" w:after="0" w:afterAutospacing="0"/>
        <w:rPr>
          <w:color w:val="201F1E"/>
        </w:rPr>
      </w:pPr>
      <w:r w:rsidRPr="0098634D">
        <w:rPr>
          <w:color w:val="201F1E"/>
        </w:rPr>
        <w:t> </w:t>
      </w:r>
    </w:p>
    <w:p w14:paraId="33A50173" w14:textId="368B0098" w:rsidR="00BA7F5A" w:rsidRPr="000477B3" w:rsidRDefault="00BA7F5A" w:rsidP="00BA7F5A">
      <w:pPr>
        <w:numPr>
          <w:ilvl w:val="0"/>
          <w:numId w:val="11"/>
        </w:numPr>
        <w:shd w:val="clear" w:color="auto" w:fill="FFFFFF"/>
        <w:rPr>
          <w:b/>
          <w:bCs/>
          <w:color w:val="333333"/>
          <w:bdr w:val="none" w:sz="0" w:space="0" w:color="auto" w:frame="1"/>
        </w:rPr>
      </w:pPr>
      <w:r w:rsidRPr="000477B3">
        <w:rPr>
          <w:i/>
          <w:iCs/>
          <w:color w:val="201F1E"/>
        </w:rPr>
        <w:t>Cost per student using all enrollment</w:t>
      </w:r>
      <w:r w:rsidRPr="0098634D">
        <w:rPr>
          <w:color w:val="201F1E"/>
        </w:rPr>
        <w:t> (averaged $25,206 for FY2019) – This average divide all annual costs by the total number of students who were enrolled for at least one day for each school and each school year. This cost is the least standardized as enrollment varies substantially from 1 to 365 days per student among the five schools with relatively low numbers of students enrolling for the entire school year. This average assumes that all students, regardless of length of enrollment, are creating the same cost, which seems unlikely.</w:t>
      </w:r>
    </w:p>
    <w:p w14:paraId="5C355D09" w14:textId="77777777" w:rsidR="00BA7F5A" w:rsidRDefault="00BA7F5A" w:rsidP="00BA7F5A">
      <w:pPr>
        <w:pStyle w:val="Heading1"/>
      </w:pPr>
      <w:bookmarkStart w:id="2" w:name="_Toc33535696"/>
      <w:r>
        <w:rPr>
          <w:rFonts w:ascii="Times New Roman" w:hAnsi="Times New Roman" w:cs="Times New Roman"/>
        </w:rPr>
        <w:t>Enrollment at Recovery High School Programs</w:t>
      </w:r>
      <w:bookmarkEnd w:id="2"/>
    </w:p>
    <w:p w14:paraId="063F0E52" w14:textId="3396BF6E" w:rsidR="00BA7F5A" w:rsidRPr="0098634D" w:rsidRDefault="00435CD5" w:rsidP="00BA7F5A">
      <w:pPr>
        <w:pStyle w:val="xmsonormal"/>
        <w:shd w:val="clear" w:color="auto" w:fill="FFFFFF"/>
        <w:spacing w:before="0" w:beforeAutospacing="0" w:after="0" w:afterAutospacing="0"/>
        <w:rPr>
          <w:color w:val="201F1E"/>
        </w:rPr>
      </w:pPr>
      <w:r>
        <w:rPr>
          <w:color w:val="201F1E"/>
        </w:rPr>
        <w:t>Enrollment numbers</w:t>
      </w:r>
      <w:r w:rsidR="009C175E">
        <w:rPr>
          <w:rStyle w:val="FootnoteReference"/>
          <w:color w:val="201F1E"/>
        </w:rPr>
        <w:footnoteReference w:id="2"/>
      </w:r>
      <w:r>
        <w:rPr>
          <w:color w:val="201F1E"/>
        </w:rPr>
        <w:t xml:space="preserve"> vary among the five R</w:t>
      </w:r>
      <w:r w:rsidR="008211E6">
        <w:rPr>
          <w:color w:val="201F1E"/>
        </w:rPr>
        <w:t>HS programs</w:t>
      </w:r>
      <w:r>
        <w:rPr>
          <w:color w:val="201F1E"/>
        </w:rPr>
        <w:t xml:space="preserve"> ranging from a low of 10 to a high of 37</w:t>
      </w:r>
      <w:r w:rsidR="009C175E">
        <w:rPr>
          <w:color w:val="201F1E"/>
        </w:rPr>
        <w:t>.</w:t>
      </w:r>
      <w:r w:rsidR="005411E6">
        <w:rPr>
          <w:color w:val="201F1E"/>
        </w:rPr>
        <w:t xml:space="preserve"> This v</w:t>
      </w:r>
      <w:r w:rsidR="00D63F80">
        <w:rPr>
          <w:color w:val="201F1E"/>
        </w:rPr>
        <w:t>ariation in t</w:t>
      </w:r>
      <w:r w:rsidR="00BA7F5A" w:rsidRPr="0098634D">
        <w:rPr>
          <w:color w:val="201F1E"/>
        </w:rPr>
        <w:t>he enrollment data for RHS raised difficulties in arriving at a representative per-pupil cost averaged across the five programs. School years varied from 180-365 days in each of the programs and enrollment is unique in a RHS as students can attend more than one RHS in a given year and can also transition back to their home district. </w:t>
      </w:r>
    </w:p>
    <w:p w14:paraId="3C15106B" w14:textId="77777777" w:rsidR="00BA7F5A" w:rsidRPr="0098634D" w:rsidRDefault="00BA7F5A" w:rsidP="00BA7F5A">
      <w:pPr>
        <w:pStyle w:val="xmsonormal"/>
        <w:shd w:val="clear" w:color="auto" w:fill="FFFFFF"/>
        <w:spacing w:before="0" w:beforeAutospacing="0" w:after="0" w:afterAutospacing="0"/>
        <w:rPr>
          <w:color w:val="201F1E"/>
        </w:rPr>
      </w:pPr>
      <w:r w:rsidRPr="0098634D">
        <w:rPr>
          <w:color w:val="201F1E"/>
        </w:rPr>
        <w:t> </w:t>
      </w:r>
    </w:p>
    <w:p w14:paraId="0F23AE4B" w14:textId="3BC809CE" w:rsidR="00BA7F5A" w:rsidRDefault="00BA7F5A" w:rsidP="00BA7F5A">
      <w:pPr>
        <w:pStyle w:val="xmsonormal"/>
        <w:shd w:val="clear" w:color="auto" w:fill="FFFFFF"/>
        <w:spacing w:before="0" w:beforeAutospacing="0" w:after="0" w:afterAutospacing="0"/>
        <w:rPr>
          <w:color w:val="201F1E"/>
        </w:rPr>
      </w:pPr>
      <w:r w:rsidRPr="0098634D">
        <w:rPr>
          <w:color w:val="201F1E"/>
        </w:rPr>
        <w:t>Student enrollment</w:t>
      </w:r>
      <w:r>
        <w:rPr>
          <w:color w:val="201F1E"/>
        </w:rPr>
        <w:t xml:space="preserve"> va</w:t>
      </w:r>
      <w:r w:rsidRPr="0098634D">
        <w:rPr>
          <w:color w:val="201F1E"/>
        </w:rPr>
        <w:t xml:space="preserve">ried from 1 to 364 days with the average enrollment among the five schools over a three-year period being slightly more than half of the school year </w:t>
      </w:r>
      <w:r w:rsidR="00DF7B9F">
        <w:rPr>
          <w:color w:val="201F1E"/>
        </w:rPr>
        <w:t>(58.9 percent). See Figure 2</w:t>
      </w:r>
      <w:r w:rsidR="003D3386">
        <w:rPr>
          <w:color w:val="201F1E"/>
        </w:rPr>
        <w:t>,</w:t>
      </w:r>
      <w:r w:rsidR="00DF7B9F">
        <w:rPr>
          <w:color w:val="201F1E"/>
        </w:rPr>
        <w:t xml:space="preserve"> </w:t>
      </w:r>
      <w:r w:rsidR="003D3386">
        <w:rPr>
          <w:color w:val="201F1E"/>
        </w:rPr>
        <w:t xml:space="preserve">on page four, </w:t>
      </w:r>
      <w:r w:rsidR="00DF7B9F">
        <w:rPr>
          <w:color w:val="201F1E"/>
        </w:rPr>
        <w:t>for a representation of enrollment over a school year for on</w:t>
      </w:r>
      <w:r w:rsidR="003D3386">
        <w:rPr>
          <w:color w:val="201F1E"/>
        </w:rPr>
        <w:t>e</w:t>
      </w:r>
      <w:r w:rsidR="00DF7B9F">
        <w:rPr>
          <w:color w:val="201F1E"/>
        </w:rPr>
        <w:t xml:space="preserve"> RHS in FY2019.</w:t>
      </w:r>
    </w:p>
    <w:p w14:paraId="66E2296B" w14:textId="1FF36E70" w:rsidR="00BA7F5A" w:rsidRPr="00434065" w:rsidRDefault="00A709C5" w:rsidP="00BA7F5A">
      <w:pPr>
        <w:pStyle w:val="xmsonormal"/>
        <w:shd w:val="clear" w:color="auto" w:fill="FFFFFF"/>
        <w:spacing w:before="0" w:beforeAutospacing="0" w:after="0" w:afterAutospacing="0"/>
        <w:rPr>
          <w:color w:val="201F1E"/>
        </w:rPr>
      </w:pPr>
      <w:r w:rsidRPr="00434065">
        <w:rPr>
          <w:rFonts w:ascii="Arial Narrow" w:hAnsi="Arial Narrow"/>
          <w:noProof/>
          <w:sz w:val="20"/>
          <w:szCs w:val="20"/>
        </w:rPr>
        <w:drawing>
          <wp:anchor distT="0" distB="0" distL="114300" distR="114300" simplePos="0" relativeHeight="251660288" behindDoc="1" locked="0" layoutInCell="1" allowOverlap="1" wp14:anchorId="61A93A22" wp14:editId="3F0CD069">
            <wp:simplePos x="0" y="0"/>
            <wp:positionH relativeFrom="margin">
              <wp:align>left</wp:align>
            </wp:positionH>
            <wp:positionV relativeFrom="paragraph">
              <wp:posOffset>457835</wp:posOffset>
            </wp:positionV>
            <wp:extent cx="5753100" cy="3028950"/>
            <wp:effectExtent l="0" t="0" r="0" b="0"/>
            <wp:wrapThrough wrapText="bothSides">
              <wp:wrapPolygon edited="0">
                <wp:start x="0" y="0"/>
                <wp:lineTo x="0" y="21464"/>
                <wp:lineTo x="21528" y="21464"/>
                <wp:lineTo x="21528" y="0"/>
                <wp:lineTo x="0" y="0"/>
              </wp:wrapPolygon>
            </wp:wrapThrough>
            <wp:docPr id="9" name="Chart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DF7B9F" w:rsidRPr="0098634D" w:rsidDel="00DF7B9F">
        <w:rPr>
          <w:color w:val="201F1E"/>
        </w:rPr>
        <w:t xml:space="preserve"> </w:t>
      </w:r>
    </w:p>
    <w:p w14:paraId="11C20AA5" w14:textId="77777777" w:rsidR="00DF7B9F" w:rsidRDefault="00DF7B9F" w:rsidP="00BA7F5A">
      <w:pPr>
        <w:pStyle w:val="xmsonormal"/>
        <w:shd w:val="clear" w:color="auto" w:fill="FFFFFF"/>
        <w:spacing w:before="0" w:beforeAutospacing="0" w:after="0" w:afterAutospacing="0"/>
        <w:rPr>
          <w:rFonts w:ascii="Arial Narrow" w:hAnsi="Arial Narrow"/>
          <w:i/>
          <w:iCs/>
          <w:sz w:val="20"/>
          <w:szCs w:val="20"/>
        </w:rPr>
      </w:pPr>
    </w:p>
    <w:p w14:paraId="520FC1D9" w14:textId="38AAF692" w:rsidR="00F42331" w:rsidRPr="001D7F53" w:rsidRDefault="00BA7F5A" w:rsidP="00BA7F5A">
      <w:pPr>
        <w:pStyle w:val="xmsonormal"/>
        <w:shd w:val="clear" w:color="auto" w:fill="FFFFFF"/>
        <w:spacing w:before="0" w:beforeAutospacing="0" w:after="0" w:afterAutospacing="0"/>
        <w:rPr>
          <w:rFonts w:ascii="Arial Narrow" w:hAnsi="Arial Narrow"/>
          <w:i/>
          <w:iCs/>
          <w:sz w:val="20"/>
          <w:szCs w:val="20"/>
        </w:rPr>
      </w:pPr>
      <w:r w:rsidRPr="00434065">
        <w:rPr>
          <w:rFonts w:ascii="Arial Narrow" w:hAnsi="Arial Narrow"/>
          <w:i/>
          <w:iCs/>
          <w:sz w:val="20"/>
          <w:szCs w:val="20"/>
        </w:rPr>
        <w:t>Figure 2. Variation in the period of enrollment for each student at one RHS</w:t>
      </w:r>
      <w:r>
        <w:rPr>
          <w:i/>
          <w:iCs/>
        </w:rPr>
        <w:t xml:space="preserve">. </w:t>
      </w:r>
      <w:r w:rsidRPr="001D7F53">
        <w:rPr>
          <w:rFonts w:ascii="Arial Narrow" w:hAnsi="Arial Narrow"/>
          <w:i/>
          <w:iCs/>
          <w:sz w:val="20"/>
          <w:szCs w:val="20"/>
        </w:rPr>
        <w:t>Each red bar represents enrollment period for one student.</w:t>
      </w:r>
    </w:p>
    <w:p w14:paraId="14EC0455" w14:textId="0AEA0798" w:rsidR="00434065" w:rsidRDefault="00434065" w:rsidP="00BA7F5A"/>
    <w:p w14:paraId="4F321A39" w14:textId="3797B490" w:rsidR="004D6D80" w:rsidRPr="00BA7F5A" w:rsidRDefault="004D6D80" w:rsidP="00BA7F5A">
      <w:r>
        <w:t>Recovery High School programs serve a complex population</w:t>
      </w:r>
      <w:r w:rsidR="00413B8C">
        <w:t xml:space="preserve"> and </w:t>
      </w:r>
      <w:r w:rsidR="000B2053">
        <w:t>play</w:t>
      </w:r>
      <w:r w:rsidR="00F34A0B">
        <w:t xml:space="preserve"> an important role for students diagnosed with a substance use disorder</w:t>
      </w:r>
      <w:r w:rsidR="00413B8C">
        <w:t>. They support the individual needs of their students by developing and following an Individualized Recovery Plan while providing a comprehensive four-year high school education</w:t>
      </w:r>
      <w:r w:rsidR="00A361CE">
        <w:t xml:space="preserve"> helping these students reach success in their academic and personal lives.</w:t>
      </w:r>
      <w:r w:rsidR="00F34A0B">
        <w:t xml:space="preserve"> </w:t>
      </w:r>
    </w:p>
    <w:sectPr w:rsidR="004D6D80" w:rsidRPr="00BA7F5A" w:rsidSect="00D4610D">
      <w:footerReference w:type="default" r:id="rId21"/>
      <w:pgSz w:w="12240" w:h="15840"/>
      <w:pgMar w:top="1440" w:right="1440" w:bottom="117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EA230" w14:textId="77777777" w:rsidR="005048C2" w:rsidRDefault="005048C2" w:rsidP="00FD2C86">
      <w:r>
        <w:separator/>
      </w:r>
    </w:p>
  </w:endnote>
  <w:endnote w:type="continuationSeparator" w:id="0">
    <w:p w14:paraId="39EEE6D6" w14:textId="77777777" w:rsidR="005048C2" w:rsidRDefault="005048C2"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6237450"/>
      <w:docPartObj>
        <w:docPartGallery w:val="Page Numbers (Bottom of Page)"/>
        <w:docPartUnique/>
      </w:docPartObj>
    </w:sdtPr>
    <w:sdtEndPr>
      <w:rPr>
        <w:noProof/>
      </w:rPr>
    </w:sdtEndPr>
    <w:sdtContent>
      <w:p w14:paraId="52CC1F4B" w14:textId="5C02F3EE" w:rsidR="002949E2" w:rsidRDefault="002949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3BF4A7" w14:textId="106A22F7" w:rsidR="007012FA" w:rsidRDefault="007012FA" w:rsidP="00D6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5A75A" w14:textId="77777777" w:rsidR="005048C2" w:rsidRDefault="005048C2" w:rsidP="00FD2C86">
      <w:r>
        <w:separator/>
      </w:r>
    </w:p>
  </w:footnote>
  <w:footnote w:type="continuationSeparator" w:id="0">
    <w:p w14:paraId="716CE94E" w14:textId="77777777" w:rsidR="005048C2" w:rsidRDefault="005048C2" w:rsidP="00FD2C86">
      <w:r>
        <w:continuationSeparator/>
      </w:r>
    </w:p>
  </w:footnote>
  <w:footnote w:id="1">
    <w:p w14:paraId="4F4CE677" w14:textId="2EA7030A" w:rsidR="00F42331" w:rsidRDefault="00F42331">
      <w:pPr>
        <w:pStyle w:val="FootnoteText"/>
      </w:pPr>
      <w:r>
        <w:rPr>
          <w:rStyle w:val="FootnoteReference"/>
        </w:rPr>
        <w:footnoteRef/>
      </w:r>
      <w:r>
        <w:t xml:space="preserve"> The term “cost” as used in this report is based on expenditure data (actual and in-kind, see next paragraph) and not on economic cost analysis that considers the opportunity costs of these programs.</w:t>
      </w:r>
    </w:p>
  </w:footnote>
  <w:footnote w:id="2">
    <w:p w14:paraId="0D180558" w14:textId="77777777" w:rsidR="009C175E" w:rsidRDefault="009C175E" w:rsidP="009C175E">
      <w:pPr>
        <w:pStyle w:val="FootnoteText"/>
      </w:pPr>
      <w:r>
        <w:rPr>
          <w:rStyle w:val="FootnoteReference"/>
        </w:rPr>
        <w:footnoteRef/>
      </w:r>
      <w:r>
        <w:t xml:space="preserve"> Number of enrolled students from the March 2019 Student Information Management System (SIMS) for the five recovery high school programs across the state. When comparing enrollment data at each program with their two previous years, there is some variability but the trend in enrollment remains fairly consistent.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1596A7B"/>
    <w:multiLevelType w:val="multilevel"/>
    <w:tmpl w:val="626E9F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567063"/>
    <w:multiLevelType w:val="multilevel"/>
    <w:tmpl w:val="9728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418841B8"/>
    <w:multiLevelType w:val="multilevel"/>
    <w:tmpl w:val="F36C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6"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2E6181E"/>
    <w:multiLevelType w:val="multilevel"/>
    <w:tmpl w:val="DD40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172A50"/>
    <w:multiLevelType w:val="hybridMultilevel"/>
    <w:tmpl w:val="7A28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F7D6B0E"/>
    <w:multiLevelType w:val="multilevel"/>
    <w:tmpl w:val="8B68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7674C6"/>
    <w:multiLevelType w:val="multilevel"/>
    <w:tmpl w:val="58C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6"/>
  </w:num>
  <w:num w:numId="4">
    <w:abstractNumId w:val="5"/>
  </w:num>
  <w:num w:numId="5">
    <w:abstractNumId w:val="3"/>
  </w:num>
  <w:num w:numId="6">
    <w:abstractNumId w:val="8"/>
  </w:num>
  <w:num w:numId="7">
    <w:abstractNumId w:val="2"/>
  </w:num>
  <w:num w:numId="8">
    <w:abstractNumId w:val="11"/>
  </w:num>
  <w:num w:numId="9">
    <w:abstractNumId w:val="12"/>
  </w:num>
  <w:num w:numId="10">
    <w:abstractNumId w:val="7"/>
  </w:num>
  <w:num w:numId="11">
    <w:abstractNumId w:val="4"/>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BE"/>
    <w:rsid w:val="00042A51"/>
    <w:rsid w:val="000477B3"/>
    <w:rsid w:val="000506EE"/>
    <w:rsid w:val="00063AB9"/>
    <w:rsid w:val="000711BA"/>
    <w:rsid w:val="00076BD2"/>
    <w:rsid w:val="0008556B"/>
    <w:rsid w:val="00091A5F"/>
    <w:rsid w:val="00092A27"/>
    <w:rsid w:val="000A3165"/>
    <w:rsid w:val="000A7F57"/>
    <w:rsid w:val="000B2053"/>
    <w:rsid w:val="000B4C65"/>
    <w:rsid w:val="000C3B85"/>
    <w:rsid w:val="000C5AF1"/>
    <w:rsid w:val="000D0E81"/>
    <w:rsid w:val="000D1FA5"/>
    <w:rsid w:val="0010001F"/>
    <w:rsid w:val="00100600"/>
    <w:rsid w:val="001042D1"/>
    <w:rsid w:val="00112CE2"/>
    <w:rsid w:val="00114A93"/>
    <w:rsid w:val="0013726F"/>
    <w:rsid w:val="00137B48"/>
    <w:rsid w:val="0014102A"/>
    <w:rsid w:val="00144CB4"/>
    <w:rsid w:val="00147F76"/>
    <w:rsid w:val="00152CC8"/>
    <w:rsid w:val="00154761"/>
    <w:rsid w:val="00161A3F"/>
    <w:rsid w:val="0017022D"/>
    <w:rsid w:val="00184ACF"/>
    <w:rsid w:val="00187373"/>
    <w:rsid w:val="00191705"/>
    <w:rsid w:val="00197AB6"/>
    <w:rsid w:val="001A028D"/>
    <w:rsid w:val="001B0849"/>
    <w:rsid w:val="001B25AC"/>
    <w:rsid w:val="001C1CF3"/>
    <w:rsid w:val="001C1E0E"/>
    <w:rsid w:val="001D7F53"/>
    <w:rsid w:val="002034A0"/>
    <w:rsid w:val="0020780F"/>
    <w:rsid w:val="00247105"/>
    <w:rsid w:val="002625B1"/>
    <w:rsid w:val="00270FB2"/>
    <w:rsid w:val="00271731"/>
    <w:rsid w:val="00272C35"/>
    <w:rsid w:val="00274356"/>
    <w:rsid w:val="002753B5"/>
    <w:rsid w:val="002949E2"/>
    <w:rsid w:val="00294DFB"/>
    <w:rsid w:val="002C120B"/>
    <w:rsid w:val="002C2113"/>
    <w:rsid w:val="002D1F95"/>
    <w:rsid w:val="002D411F"/>
    <w:rsid w:val="002D750F"/>
    <w:rsid w:val="002E7C44"/>
    <w:rsid w:val="002F201B"/>
    <w:rsid w:val="00313DEF"/>
    <w:rsid w:val="003151B0"/>
    <w:rsid w:val="00324E05"/>
    <w:rsid w:val="00345DE2"/>
    <w:rsid w:val="00374C53"/>
    <w:rsid w:val="0037655B"/>
    <w:rsid w:val="00376D21"/>
    <w:rsid w:val="0038056C"/>
    <w:rsid w:val="00397FCF"/>
    <w:rsid w:val="003B1D70"/>
    <w:rsid w:val="003D0635"/>
    <w:rsid w:val="003D3386"/>
    <w:rsid w:val="003D40D2"/>
    <w:rsid w:val="003E01D3"/>
    <w:rsid w:val="003F3636"/>
    <w:rsid w:val="003F766F"/>
    <w:rsid w:val="00404140"/>
    <w:rsid w:val="0041110B"/>
    <w:rsid w:val="00413B8C"/>
    <w:rsid w:val="004206A1"/>
    <w:rsid w:val="00426714"/>
    <w:rsid w:val="00426D86"/>
    <w:rsid w:val="00434065"/>
    <w:rsid w:val="00435CD5"/>
    <w:rsid w:val="00440BAB"/>
    <w:rsid w:val="00441F51"/>
    <w:rsid w:val="0044758D"/>
    <w:rsid w:val="00452287"/>
    <w:rsid w:val="00464491"/>
    <w:rsid w:val="00484A33"/>
    <w:rsid w:val="004872B7"/>
    <w:rsid w:val="004C1FFA"/>
    <w:rsid w:val="004D3CD6"/>
    <w:rsid w:val="004D45D4"/>
    <w:rsid w:val="004D6D80"/>
    <w:rsid w:val="004E0CA6"/>
    <w:rsid w:val="004E5242"/>
    <w:rsid w:val="004F1C4B"/>
    <w:rsid w:val="004F70F5"/>
    <w:rsid w:val="0050106C"/>
    <w:rsid w:val="005048C2"/>
    <w:rsid w:val="005152E7"/>
    <w:rsid w:val="00522BFB"/>
    <w:rsid w:val="005350D7"/>
    <w:rsid w:val="005411E6"/>
    <w:rsid w:val="00543117"/>
    <w:rsid w:val="00543C6D"/>
    <w:rsid w:val="0056352D"/>
    <w:rsid w:val="005746AC"/>
    <w:rsid w:val="00595540"/>
    <w:rsid w:val="005A0983"/>
    <w:rsid w:val="005A28C5"/>
    <w:rsid w:val="005A367D"/>
    <w:rsid w:val="005B30C7"/>
    <w:rsid w:val="005E1054"/>
    <w:rsid w:val="005E6ACA"/>
    <w:rsid w:val="005E7464"/>
    <w:rsid w:val="005F037D"/>
    <w:rsid w:val="005F152D"/>
    <w:rsid w:val="005F1897"/>
    <w:rsid w:val="00603BD5"/>
    <w:rsid w:val="00650898"/>
    <w:rsid w:val="0065736C"/>
    <w:rsid w:val="0066221E"/>
    <w:rsid w:val="00675B1B"/>
    <w:rsid w:val="0069558B"/>
    <w:rsid w:val="006B5927"/>
    <w:rsid w:val="006C5ACA"/>
    <w:rsid w:val="006C6F88"/>
    <w:rsid w:val="006D1B5E"/>
    <w:rsid w:val="006E4B04"/>
    <w:rsid w:val="006F4CF2"/>
    <w:rsid w:val="006F7E53"/>
    <w:rsid w:val="007012FA"/>
    <w:rsid w:val="007102D5"/>
    <w:rsid w:val="00712E66"/>
    <w:rsid w:val="00714D4D"/>
    <w:rsid w:val="007204A2"/>
    <w:rsid w:val="00731017"/>
    <w:rsid w:val="00740C0D"/>
    <w:rsid w:val="00741DF2"/>
    <w:rsid w:val="00755977"/>
    <w:rsid w:val="00763DDA"/>
    <w:rsid w:val="00765318"/>
    <w:rsid w:val="0077336E"/>
    <w:rsid w:val="007771D5"/>
    <w:rsid w:val="0077761F"/>
    <w:rsid w:val="00781000"/>
    <w:rsid w:val="00782514"/>
    <w:rsid w:val="007848DF"/>
    <w:rsid w:val="00796EAE"/>
    <w:rsid w:val="007A56E5"/>
    <w:rsid w:val="007C3083"/>
    <w:rsid w:val="007E6DA4"/>
    <w:rsid w:val="00807292"/>
    <w:rsid w:val="008179D6"/>
    <w:rsid w:val="008211E6"/>
    <w:rsid w:val="00826061"/>
    <w:rsid w:val="00832115"/>
    <w:rsid w:val="00854537"/>
    <w:rsid w:val="00871349"/>
    <w:rsid w:val="008734A6"/>
    <w:rsid w:val="00876A58"/>
    <w:rsid w:val="0088258A"/>
    <w:rsid w:val="00884567"/>
    <w:rsid w:val="008C2431"/>
    <w:rsid w:val="008C575C"/>
    <w:rsid w:val="008C65E5"/>
    <w:rsid w:val="008E260F"/>
    <w:rsid w:val="00900BF3"/>
    <w:rsid w:val="00901891"/>
    <w:rsid w:val="00907BC7"/>
    <w:rsid w:val="00917329"/>
    <w:rsid w:val="009511A6"/>
    <w:rsid w:val="00975F4D"/>
    <w:rsid w:val="00976882"/>
    <w:rsid w:val="00976DC3"/>
    <w:rsid w:val="0098634D"/>
    <w:rsid w:val="00992913"/>
    <w:rsid w:val="0099682E"/>
    <w:rsid w:val="009A3016"/>
    <w:rsid w:val="009A5EBB"/>
    <w:rsid w:val="009C175E"/>
    <w:rsid w:val="009C4322"/>
    <w:rsid w:val="009C550C"/>
    <w:rsid w:val="009D0588"/>
    <w:rsid w:val="009D1266"/>
    <w:rsid w:val="009D7BA2"/>
    <w:rsid w:val="009E45FA"/>
    <w:rsid w:val="009E52E7"/>
    <w:rsid w:val="00A03535"/>
    <w:rsid w:val="00A11174"/>
    <w:rsid w:val="00A361CE"/>
    <w:rsid w:val="00A476CE"/>
    <w:rsid w:val="00A5157F"/>
    <w:rsid w:val="00A60B29"/>
    <w:rsid w:val="00A657B8"/>
    <w:rsid w:val="00A709C5"/>
    <w:rsid w:val="00A70C54"/>
    <w:rsid w:val="00A72209"/>
    <w:rsid w:val="00A72DB3"/>
    <w:rsid w:val="00A73051"/>
    <w:rsid w:val="00A73BCC"/>
    <w:rsid w:val="00AA2AF8"/>
    <w:rsid w:val="00AB0D8E"/>
    <w:rsid w:val="00AC7F81"/>
    <w:rsid w:val="00AD0A1F"/>
    <w:rsid w:val="00AD298F"/>
    <w:rsid w:val="00AD72FC"/>
    <w:rsid w:val="00AE264E"/>
    <w:rsid w:val="00AE53BE"/>
    <w:rsid w:val="00AF11FB"/>
    <w:rsid w:val="00AF1841"/>
    <w:rsid w:val="00B129CE"/>
    <w:rsid w:val="00B205B5"/>
    <w:rsid w:val="00B206F3"/>
    <w:rsid w:val="00B310C9"/>
    <w:rsid w:val="00B316B3"/>
    <w:rsid w:val="00B42CA2"/>
    <w:rsid w:val="00B55562"/>
    <w:rsid w:val="00B601E6"/>
    <w:rsid w:val="00B616AF"/>
    <w:rsid w:val="00B61B2F"/>
    <w:rsid w:val="00B66AF4"/>
    <w:rsid w:val="00B7278D"/>
    <w:rsid w:val="00B778F9"/>
    <w:rsid w:val="00B81EF9"/>
    <w:rsid w:val="00B86124"/>
    <w:rsid w:val="00B87F39"/>
    <w:rsid w:val="00B9061D"/>
    <w:rsid w:val="00B90DFB"/>
    <w:rsid w:val="00B97EA1"/>
    <w:rsid w:val="00BA12E2"/>
    <w:rsid w:val="00BA33A2"/>
    <w:rsid w:val="00BA7F5A"/>
    <w:rsid w:val="00BB2B16"/>
    <w:rsid w:val="00BC227D"/>
    <w:rsid w:val="00BE39EF"/>
    <w:rsid w:val="00C052D1"/>
    <w:rsid w:val="00C0573F"/>
    <w:rsid w:val="00C118B2"/>
    <w:rsid w:val="00C444A9"/>
    <w:rsid w:val="00C65476"/>
    <w:rsid w:val="00C6738A"/>
    <w:rsid w:val="00C73C1E"/>
    <w:rsid w:val="00C850EA"/>
    <w:rsid w:val="00C87B1B"/>
    <w:rsid w:val="00CA455D"/>
    <w:rsid w:val="00CB3873"/>
    <w:rsid w:val="00CB5EE8"/>
    <w:rsid w:val="00CB6781"/>
    <w:rsid w:val="00CC22F1"/>
    <w:rsid w:val="00CC30CD"/>
    <w:rsid w:val="00CD5012"/>
    <w:rsid w:val="00CE1085"/>
    <w:rsid w:val="00CE61A0"/>
    <w:rsid w:val="00CF6B07"/>
    <w:rsid w:val="00D0485D"/>
    <w:rsid w:val="00D16C52"/>
    <w:rsid w:val="00D267A5"/>
    <w:rsid w:val="00D3078C"/>
    <w:rsid w:val="00D40A4A"/>
    <w:rsid w:val="00D42AD8"/>
    <w:rsid w:val="00D4610D"/>
    <w:rsid w:val="00D53B5E"/>
    <w:rsid w:val="00D63F80"/>
    <w:rsid w:val="00D674EF"/>
    <w:rsid w:val="00D72BD5"/>
    <w:rsid w:val="00D769F8"/>
    <w:rsid w:val="00D774EF"/>
    <w:rsid w:val="00D95A11"/>
    <w:rsid w:val="00D95C96"/>
    <w:rsid w:val="00D97241"/>
    <w:rsid w:val="00DC2200"/>
    <w:rsid w:val="00DD07C4"/>
    <w:rsid w:val="00DD4A21"/>
    <w:rsid w:val="00DE0201"/>
    <w:rsid w:val="00DE1217"/>
    <w:rsid w:val="00DF7B9F"/>
    <w:rsid w:val="00E04B8E"/>
    <w:rsid w:val="00E068D5"/>
    <w:rsid w:val="00E165D0"/>
    <w:rsid w:val="00E253B2"/>
    <w:rsid w:val="00E309C2"/>
    <w:rsid w:val="00E34296"/>
    <w:rsid w:val="00E3460D"/>
    <w:rsid w:val="00E346C2"/>
    <w:rsid w:val="00E47872"/>
    <w:rsid w:val="00E53ECD"/>
    <w:rsid w:val="00E72815"/>
    <w:rsid w:val="00E94E92"/>
    <w:rsid w:val="00E953B5"/>
    <w:rsid w:val="00EB1F6F"/>
    <w:rsid w:val="00EB21ED"/>
    <w:rsid w:val="00EB344E"/>
    <w:rsid w:val="00EB7F04"/>
    <w:rsid w:val="00EC4160"/>
    <w:rsid w:val="00ED25CF"/>
    <w:rsid w:val="00ED40BE"/>
    <w:rsid w:val="00ED55E0"/>
    <w:rsid w:val="00EE4165"/>
    <w:rsid w:val="00F03CB1"/>
    <w:rsid w:val="00F13965"/>
    <w:rsid w:val="00F176E7"/>
    <w:rsid w:val="00F32E02"/>
    <w:rsid w:val="00F34A0B"/>
    <w:rsid w:val="00F36062"/>
    <w:rsid w:val="00F37C71"/>
    <w:rsid w:val="00F42331"/>
    <w:rsid w:val="00F44C7B"/>
    <w:rsid w:val="00F47C49"/>
    <w:rsid w:val="00F57AAE"/>
    <w:rsid w:val="00F66EB7"/>
    <w:rsid w:val="00F67E40"/>
    <w:rsid w:val="00F7310B"/>
    <w:rsid w:val="00F7387F"/>
    <w:rsid w:val="00F80753"/>
    <w:rsid w:val="00F81FE7"/>
    <w:rsid w:val="00F87373"/>
    <w:rsid w:val="00FA0025"/>
    <w:rsid w:val="00FA37DE"/>
    <w:rsid w:val="00FB4643"/>
    <w:rsid w:val="00FC06EE"/>
    <w:rsid w:val="00FD2C86"/>
    <w:rsid w:val="00FD69E2"/>
    <w:rsid w:val="00FD72F8"/>
    <w:rsid w:val="00FE10F5"/>
    <w:rsid w:val="00FE46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00B814F"/>
  <w15:docId w15:val="{8A972C43-92DC-4A1D-8815-B6E38111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paragraph" w:customStyle="1" w:styleId="xmsonormal">
    <w:name w:val="x_msonormal"/>
    <w:basedOn w:val="Normal"/>
    <w:rsid w:val="0098634D"/>
    <w:pPr>
      <w:spacing w:before="100" w:beforeAutospacing="1" w:after="100" w:afterAutospacing="1"/>
    </w:pPr>
  </w:style>
  <w:style w:type="paragraph" w:customStyle="1" w:styleId="xesereportname">
    <w:name w:val="x_esereportname"/>
    <w:basedOn w:val="Normal"/>
    <w:rsid w:val="0098634D"/>
    <w:pPr>
      <w:spacing w:before="100" w:beforeAutospacing="1" w:after="100" w:afterAutospacing="1"/>
    </w:pPr>
  </w:style>
  <w:style w:type="character" w:styleId="CommentReference">
    <w:name w:val="annotation reference"/>
    <w:basedOn w:val="DefaultParagraphFont"/>
    <w:semiHidden/>
    <w:unhideWhenUsed/>
    <w:rsid w:val="0098634D"/>
    <w:rPr>
      <w:sz w:val="16"/>
      <w:szCs w:val="16"/>
    </w:rPr>
  </w:style>
  <w:style w:type="paragraph" w:styleId="CommentText">
    <w:name w:val="annotation text"/>
    <w:basedOn w:val="Normal"/>
    <w:link w:val="CommentTextChar"/>
    <w:semiHidden/>
    <w:unhideWhenUsed/>
    <w:rsid w:val="0098634D"/>
    <w:rPr>
      <w:sz w:val="20"/>
      <w:szCs w:val="20"/>
    </w:rPr>
  </w:style>
  <w:style w:type="character" w:customStyle="1" w:styleId="CommentTextChar">
    <w:name w:val="Comment Text Char"/>
    <w:basedOn w:val="DefaultParagraphFont"/>
    <w:link w:val="CommentText"/>
    <w:semiHidden/>
    <w:rsid w:val="0098634D"/>
  </w:style>
  <w:style w:type="paragraph" w:styleId="CommentSubject">
    <w:name w:val="annotation subject"/>
    <w:basedOn w:val="CommentText"/>
    <w:next w:val="CommentText"/>
    <w:link w:val="CommentSubjectChar"/>
    <w:semiHidden/>
    <w:unhideWhenUsed/>
    <w:rsid w:val="0098634D"/>
    <w:rPr>
      <w:b/>
      <w:bCs/>
    </w:rPr>
  </w:style>
  <w:style w:type="character" w:customStyle="1" w:styleId="CommentSubjectChar">
    <w:name w:val="Comment Subject Char"/>
    <w:basedOn w:val="CommentTextChar"/>
    <w:link w:val="CommentSubject"/>
    <w:semiHidden/>
    <w:rsid w:val="0098634D"/>
    <w:rPr>
      <w:b/>
      <w:bCs/>
    </w:rPr>
  </w:style>
  <w:style w:type="character" w:styleId="FollowedHyperlink">
    <w:name w:val="FollowedHyperlink"/>
    <w:basedOn w:val="DefaultParagraphFont"/>
    <w:semiHidden/>
    <w:unhideWhenUsed/>
    <w:rsid w:val="00FE4685"/>
    <w:rPr>
      <w:color w:val="800080" w:themeColor="followedHyperlink"/>
      <w:u w:val="single"/>
    </w:rPr>
  </w:style>
  <w:style w:type="character" w:customStyle="1" w:styleId="UnresolvedMention1">
    <w:name w:val="Unresolved Mention1"/>
    <w:basedOn w:val="DefaultParagraphFont"/>
    <w:uiPriority w:val="99"/>
    <w:semiHidden/>
    <w:unhideWhenUsed/>
    <w:rsid w:val="00FE4685"/>
    <w:rPr>
      <w:color w:val="605E5C"/>
      <w:shd w:val="clear" w:color="auto" w:fill="E1DFDD"/>
    </w:rPr>
  </w:style>
  <w:style w:type="paragraph" w:styleId="FootnoteText">
    <w:name w:val="footnote text"/>
    <w:basedOn w:val="Normal"/>
    <w:link w:val="FootnoteTextChar"/>
    <w:semiHidden/>
    <w:unhideWhenUsed/>
    <w:rsid w:val="00F42331"/>
    <w:rPr>
      <w:sz w:val="20"/>
      <w:szCs w:val="20"/>
    </w:rPr>
  </w:style>
  <w:style w:type="character" w:customStyle="1" w:styleId="FootnoteTextChar">
    <w:name w:val="Footnote Text Char"/>
    <w:basedOn w:val="DefaultParagraphFont"/>
    <w:link w:val="FootnoteText"/>
    <w:semiHidden/>
    <w:rsid w:val="00F42331"/>
  </w:style>
  <w:style w:type="character" w:styleId="FootnoteReference">
    <w:name w:val="footnote reference"/>
    <w:basedOn w:val="DefaultParagraphFont"/>
    <w:semiHidden/>
    <w:unhideWhenUsed/>
    <w:rsid w:val="00F42331"/>
    <w:rPr>
      <w:vertAlign w:val="superscript"/>
    </w:rPr>
  </w:style>
  <w:style w:type="paragraph" w:styleId="ListParagraph">
    <w:name w:val="List Paragraph"/>
    <w:basedOn w:val="Normal"/>
    <w:uiPriority w:val="34"/>
    <w:qFormat/>
    <w:rsid w:val="00F42331"/>
    <w:pPr>
      <w:spacing w:after="200"/>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217280015">
      <w:bodyDiv w:val="1"/>
      <w:marLeft w:val="0"/>
      <w:marRight w:val="0"/>
      <w:marTop w:val="0"/>
      <w:marBottom w:val="0"/>
      <w:divBdr>
        <w:top w:val="none" w:sz="0" w:space="0" w:color="auto"/>
        <w:left w:val="none" w:sz="0" w:space="0" w:color="auto"/>
        <w:bottom w:val="none" w:sz="0" w:space="0" w:color="auto"/>
        <w:right w:val="none" w:sz="0" w:space="0" w:color="auto"/>
      </w:divBdr>
      <w:divsChild>
        <w:div w:id="387533756">
          <w:marLeft w:val="0"/>
          <w:marRight w:val="0"/>
          <w:marTop w:val="0"/>
          <w:marBottom w:val="0"/>
          <w:divBdr>
            <w:top w:val="none" w:sz="0" w:space="0" w:color="auto"/>
            <w:left w:val="none" w:sz="0" w:space="0" w:color="auto"/>
            <w:bottom w:val="none" w:sz="0" w:space="0" w:color="auto"/>
            <w:right w:val="none" w:sz="0" w:space="0" w:color="auto"/>
          </w:divBdr>
        </w:div>
      </w:divsChild>
    </w:div>
    <w:div w:id="318506669">
      <w:bodyDiv w:val="1"/>
      <w:marLeft w:val="0"/>
      <w:marRight w:val="0"/>
      <w:marTop w:val="0"/>
      <w:marBottom w:val="0"/>
      <w:divBdr>
        <w:top w:val="none" w:sz="0" w:space="0" w:color="auto"/>
        <w:left w:val="none" w:sz="0" w:space="0" w:color="auto"/>
        <w:bottom w:val="none" w:sz="0" w:space="0" w:color="auto"/>
        <w:right w:val="none" w:sz="0" w:space="0" w:color="auto"/>
      </w:divBdr>
    </w:div>
    <w:div w:id="356469822">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826823799">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Narrow" panose="020B0606020202030204" pitchFamily="34" charset="0"/>
                <a:ea typeface="+mn-ea"/>
                <a:cs typeface="+mn-cs"/>
              </a:defRPr>
            </a:pPr>
            <a:r>
              <a:rPr lang="en-US"/>
              <a:t>Average Per-Pupil Cost Across RHS High Schools Fiscal Years FY2017-FY2019 </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Narrow" panose="020B0606020202030204" pitchFamily="34" charset="0"/>
              <a:ea typeface="+mn-ea"/>
              <a:cs typeface="+mn-cs"/>
            </a:defRPr>
          </a:pPr>
          <a:endParaRPr lang="en-US"/>
        </a:p>
      </c:txPr>
    </c:title>
    <c:autoTitleDeleted val="0"/>
    <c:plotArea>
      <c:layout/>
      <c:barChart>
        <c:barDir val="col"/>
        <c:grouping val="clustered"/>
        <c:varyColors val="0"/>
        <c:ser>
          <c:idx val="0"/>
          <c:order val="0"/>
          <c:tx>
            <c:strRef>
              <c:f>All_RHS_Financials!$C$28</c:f>
              <c:strCache>
                <c:ptCount val="1"/>
                <c:pt idx="0">
                  <c:v>FY19</c:v>
                </c:pt>
              </c:strCache>
            </c:strRef>
          </c:tx>
          <c:spPr>
            <a:solidFill>
              <a:schemeClr val="accent1"/>
            </a:solidFill>
            <a:ln>
              <a:noFill/>
            </a:ln>
            <a:effectLst/>
          </c:spPr>
          <c:invertIfNegative val="0"/>
          <c:cat>
            <c:strRef>
              <c:f>All_RHS_Financials!$D$27:$G$27</c:f>
              <c:strCache>
                <c:ptCount val="4"/>
                <c:pt idx="0">
                  <c:v>Cost per FTE Student</c:v>
                </c:pt>
                <c:pt idx="1">
                  <c:v>Cost per FTE Student/180 days</c:v>
                </c:pt>
                <c:pt idx="2">
                  <c:v>Cost per Student (based on high enrollment for year)</c:v>
                </c:pt>
                <c:pt idx="3">
                  <c:v>Cost per Student (based on total students enrolled at least one day)</c:v>
                </c:pt>
              </c:strCache>
            </c:strRef>
          </c:cat>
          <c:val>
            <c:numRef>
              <c:f>All_RHS_Financials!$D$28:$G$28</c:f>
              <c:numCache>
                <c:formatCode>_("$"* #,##0_);_("$"* \(#,##0\);_("$"* "-"??_);_(@_)</c:formatCode>
                <c:ptCount val="4"/>
                <c:pt idx="0">
                  <c:v>50793.817992369724</c:v>
                </c:pt>
                <c:pt idx="1">
                  <c:v>42979.459262883349</c:v>
                </c:pt>
                <c:pt idx="2">
                  <c:v>43004.538932540207</c:v>
                </c:pt>
                <c:pt idx="3">
                  <c:v>25206.301467733756</c:v>
                </c:pt>
              </c:numCache>
            </c:numRef>
          </c:val>
          <c:extLst>
            <c:ext xmlns:c16="http://schemas.microsoft.com/office/drawing/2014/chart" uri="{C3380CC4-5D6E-409C-BE32-E72D297353CC}">
              <c16:uniqueId val="{00000000-5BA3-4D7F-83E1-3D14912E44E8}"/>
            </c:ext>
          </c:extLst>
        </c:ser>
        <c:ser>
          <c:idx val="1"/>
          <c:order val="1"/>
          <c:tx>
            <c:strRef>
              <c:f>All_RHS_Financials!$C$29</c:f>
              <c:strCache>
                <c:ptCount val="1"/>
                <c:pt idx="0">
                  <c:v>FY18</c:v>
                </c:pt>
              </c:strCache>
            </c:strRef>
          </c:tx>
          <c:spPr>
            <a:solidFill>
              <a:schemeClr val="accent2"/>
            </a:solidFill>
            <a:ln>
              <a:noFill/>
            </a:ln>
            <a:effectLst/>
          </c:spPr>
          <c:invertIfNegative val="0"/>
          <c:cat>
            <c:strRef>
              <c:f>All_RHS_Financials!$D$27:$G$27</c:f>
              <c:strCache>
                <c:ptCount val="4"/>
                <c:pt idx="0">
                  <c:v>Cost per FTE Student</c:v>
                </c:pt>
                <c:pt idx="1">
                  <c:v>Cost per FTE Student/180 days</c:v>
                </c:pt>
                <c:pt idx="2">
                  <c:v>Cost per Student (based on high enrollment for year)</c:v>
                </c:pt>
                <c:pt idx="3">
                  <c:v>Cost per Student (based on total students enrolled at least one day)</c:v>
                </c:pt>
              </c:strCache>
            </c:strRef>
          </c:cat>
          <c:val>
            <c:numRef>
              <c:f>All_RHS_Financials!$D$29:$G$29</c:f>
              <c:numCache>
                <c:formatCode>_("$"* #,##0_);_("$"* \(#,##0\);_("$"* "-"??_);_(@_)</c:formatCode>
                <c:ptCount val="4"/>
                <c:pt idx="0">
                  <c:v>48123.276055683964</c:v>
                </c:pt>
                <c:pt idx="1">
                  <c:v>42076.290819792936</c:v>
                </c:pt>
                <c:pt idx="2">
                  <c:v>40682.169166799242</c:v>
                </c:pt>
                <c:pt idx="3">
                  <c:v>25877.112522913387</c:v>
                </c:pt>
              </c:numCache>
            </c:numRef>
          </c:val>
          <c:extLst>
            <c:ext xmlns:c16="http://schemas.microsoft.com/office/drawing/2014/chart" uri="{C3380CC4-5D6E-409C-BE32-E72D297353CC}">
              <c16:uniqueId val="{00000001-5BA3-4D7F-83E1-3D14912E44E8}"/>
            </c:ext>
          </c:extLst>
        </c:ser>
        <c:ser>
          <c:idx val="2"/>
          <c:order val="2"/>
          <c:tx>
            <c:strRef>
              <c:f>All_RHS_Financials!$C$30</c:f>
              <c:strCache>
                <c:ptCount val="1"/>
                <c:pt idx="0">
                  <c:v>FY17</c:v>
                </c:pt>
              </c:strCache>
            </c:strRef>
          </c:tx>
          <c:spPr>
            <a:solidFill>
              <a:schemeClr val="accent3"/>
            </a:solidFill>
            <a:ln>
              <a:noFill/>
            </a:ln>
            <a:effectLst/>
          </c:spPr>
          <c:invertIfNegative val="0"/>
          <c:cat>
            <c:strRef>
              <c:f>All_RHS_Financials!$D$27:$G$27</c:f>
              <c:strCache>
                <c:ptCount val="4"/>
                <c:pt idx="0">
                  <c:v>Cost per FTE Student</c:v>
                </c:pt>
                <c:pt idx="1">
                  <c:v>Cost per FTE Student/180 days</c:v>
                </c:pt>
                <c:pt idx="2">
                  <c:v>Cost per Student (based on high enrollment for year)</c:v>
                </c:pt>
                <c:pt idx="3">
                  <c:v>Cost per Student (based on total students enrolled at least one day)</c:v>
                </c:pt>
              </c:strCache>
            </c:strRef>
          </c:cat>
          <c:val>
            <c:numRef>
              <c:f>All_RHS_Financials!$D$30:$G$30</c:f>
              <c:numCache>
                <c:formatCode>_("$"* #,##0_);_("$"* \(#,##0\);_("$"* "-"??_);_(@_)</c:formatCode>
                <c:ptCount val="4"/>
                <c:pt idx="0">
                  <c:v>47774.910835460658</c:v>
                </c:pt>
                <c:pt idx="1">
                  <c:v>38864.180285573981</c:v>
                </c:pt>
                <c:pt idx="2">
                  <c:v>44037.556444548878</c:v>
                </c:pt>
                <c:pt idx="3">
                  <c:v>28812.004616043043</c:v>
                </c:pt>
              </c:numCache>
            </c:numRef>
          </c:val>
          <c:extLst>
            <c:ext xmlns:c16="http://schemas.microsoft.com/office/drawing/2014/chart" uri="{C3380CC4-5D6E-409C-BE32-E72D297353CC}">
              <c16:uniqueId val="{00000002-5BA3-4D7F-83E1-3D14912E44E8}"/>
            </c:ext>
          </c:extLst>
        </c:ser>
        <c:dLbls>
          <c:showLegendKey val="0"/>
          <c:showVal val="0"/>
          <c:showCatName val="0"/>
          <c:showSerName val="0"/>
          <c:showPercent val="0"/>
          <c:showBubbleSize val="0"/>
        </c:dLbls>
        <c:gapWidth val="219"/>
        <c:overlap val="-27"/>
        <c:axId val="112485888"/>
        <c:axId val="110019136"/>
      </c:barChart>
      <c:catAx>
        <c:axId val="11248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crossAx val="110019136"/>
        <c:crosses val="autoZero"/>
        <c:auto val="1"/>
        <c:lblAlgn val="ctr"/>
        <c:lblOffset val="100"/>
        <c:noMultiLvlLbl val="0"/>
      </c:catAx>
      <c:valAx>
        <c:axId val="110019136"/>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crossAx val="1124858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ysClr val="windowText" lastClr="000000"/>
                </a:solidFill>
                <a:latin typeface="Arial Narrow" panose="020B0606020202030204" pitchFamily="34" charset="0"/>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1000">
          <a:solidFill>
            <a:sysClr val="windowText" lastClr="000000"/>
          </a:solidFill>
          <a:latin typeface="Arial Narrow" panose="020B0606020202030204" pitchFamily="34" charset="0"/>
        </a:defRPr>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b="0" i="0" u="none" strike="noStrike" baseline="0">
                <a:solidFill>
                  <a:srgbClr val="000000"/>
                </a:solidFill>
                <a:latin typeface="Calibri"/>
                <a:ea typeface="Calibri"/>
                <a:cs typeface="Calibri"/>
              </a:defRPr>
            </a:pPr>
            <a:r>
              <a:rPr lang="en-US" sz="1000" b="1" i="0" u="none" strike="noStrike" baseline="0">
                <a:solidFill>
                  <a:srgbClr val="000000"/>
                </a:solidFill>
                <a:latin typeface="Arial Narrow" panose="020B0606020202030204" pitchFamily="34" charset="0"/>
              </a:rPr>
              <a:t>A Sample of a Recovery High School</a:t>
            </a:r>
          </a:p>
          <a:p>
            <a:pPr>
              <a:defRPr sz="1050" b="0" i="0" u="none" strike="noStrike" baseline="0">
                <a:solidFill>
                  <a:srgbClr val="000000"/>
                </a:solidFill>
                <a:latin typeface="Calibri"/>
                <a:ea typeface="Calibri"/>
                <a:cs typeface="Calibri"/>
              </a:defRPr>
            </a:pPr>
            <a:r>
              <a:rPr lang="en-US" sz="1000" b="1" i="0" u="none" strike="noStrike" baseline="0">
                <a:solidFill>
                  <a:srgbClr val="000000"/>
                </a:solidFill>
                <a:latin typeface="Arial Narrow" panose="020B0606020202030204" pitchFamily="34" charset="0"/>
              </a:rPr>
              <a:t>Days of Enrollment for FY2019 by Student</a:t>
            </a:r>
          </a:p>
          <a:p>
            <a:pPr>
              <a:defRPr sz="1050" b="0" i="0" u="none" strike="noStrike" baseline="0">
                <a:solidFill>
                  <a:srgbClr val="000000"/>
                </a:solidFill>
                <a:latin typeface="Calibri"/>
                <a:ea typeface="Calibri"/>
                <a:cs typeface="Calibri"/>
              </a:defRPr>
            </a:pPr>
            <a:endParaRPr lang="en-US" sz="1000" b="1" i="0" u="none" strike="noStrike" baseline="0">
              <a:solidFill>
                <a:srgbClr val="000000"/>
              </a:solidFill>
              <a:latin typeface="Arial Narrow" panose="020B0606020202030204" pitchFamily="34" charset="0"/>
            </a:endParaRPr>
          </a:p>
          <a:p>
            <a:pPr>
              <a:defRPr sz="1050" b="0" i="0" u="none" strike="noStrike" baseline="0">
                <a:solidFill>
                  <a:srgbClr val="000000"/>
                </a:solidFill>
                <a:latin typeface="Calibri"/>
                <a:ea typeface="Calibri"/>
                <a:cs typeface="Calibri"/>
              </a:defRPr>
            </a:pPr>
            <a:endParaRPr lang="en-US" sz="1000" b="0" i="0" u="none" strike="noStrike" baseline="0">
              <a:solidFill>
                <a:srgbClr val="000000"/>
              </a:solidFill>
              <a:latin typeface="Arial Narrow" panose="020B0606020202030204" pitchFamily="34" charset="0"/>
            </a:endParaRPr>
          </a:p>
        </c:rich>
      </c:tx>
      <c:overlay val="0"/>
    </c:title>
    <c:autoTitleDeleted val="0"/>
    <c:plotArea>
      <c:layout>
        <c:manualLayout>
          <c:layoutTarget val="inner"/>
          <c:xMode val="edge"/>
          <c:yMode val="edge"/>
          <c:x val="7.1379777858893462E-2"/>
          <c:y val="0.21989914897001511"/>
          <c:w val="0.88169977924944809"/>
          <c:h val="0.60144691004533524"/>
        </c:manualLayout>
      </c:layout>
      <c:barChart>
        <c:barDir val="bar"/>
        <c:grouping val="stacked"/>
        <c:varyColors val="0"/>
        <c:ser>
          <c:idx val="0"/>
          <c:order val="0"/>
          <c:tx>
            <c:strRef>
              <c:f>'FY19'!$D$1</c:f>
              <c:strCache>
                <c:ptCount val="1"/>
                <c:pt idx="0">
                  <c:v>Start Date</c:v>
                </c:pt>
              </c:strCache>
            </c:strRef>
          </c:tx>
          <c:spPr>
            <a:noFill/>
          </c:spPr>
          <c:invertIfNegative val="0"/>
          <c:val>
            <c:numRef>
              <c:f>'FY19'!$D$2:$D$49</c:f>
              <c:numCache>
                <c:formatCode>mm/dd/yy</c:formatCode>
                <c:ptCount val="48"/>
                <c:pt idx="0">
                  <c:v>43367</c:v>
                </c:pt>
                <c:pt idx="1">
                  <c:v>43349</c:v>
                </c:pt>
                <c:pt idx="2" formatCode="m/d/yyyy">
                  <c:v>43349</c:v>
                </c:pt>
                <c:pt idx="3">
                  <c:v>43349</c:v>
                </c:pt>
                <c:pt idx="4" formatCode="m/d/yyyy">
                  <c:v>43475</c:v>
                </c:pt>
                <c:pt idx="5" formatCode="m/d/yyyy">
                  <c:v>43652</c:v>
                </c:pt>
                <c:pt idx="6" formatCode="m/d/yyyy">
                  <c:v>43654</c:v>
                </c:pt>
                <c:pt idx="7" formatCode="m/d/yyyy">
                  <c:v>43349</c:v>
                </c:pt>
                <c:pt idx="8" formatCode="m/d/yyyy">
                  <c:v>43472</c:v>
                </c:pt>
                <c:pt idx="9" formatCode="m/d/yyyy">
                  <c:v>43647</c:v>
                </c:pt>
                <c:pt idx="10" formatCode="m/d/yyyy">
                  <c:v>43389</c:v>
                </c:pt>
                <c:pt idx="11" formatCode="m/d/yyyy">
                  <c:v>43537</c:v>
                </c:pt>
                <c:pt idx="12" formatCode="m/d/yyyy">
                  <c:v>43349</c:v>
                </c:pt>
                <c:pt idx="13" formatCode="m/d/yyyy">
                  <c:v>43620</c:v>
                </c:pt>
                <c:pt idx="14" formatCode="m/d/yyyy">
                  <c:v>43619</c:v>
                </c:pt>
                <c:pt idx="16" formatCode="m/d/yyyy">
                  <c:v>43417</c:v>
                </c:pt>
                <c:pt idx="17" formatCode="m/d/yyyy">
                  <c:v>43619</c:v>
                </c:pt>
                <c:pt idx="18" formatCode="m/d/yyyy">
                  <c:v>43402</c:v>
                </c:pt>
                <c:pt idx="19">
                  <c:v>43349</c:v>
                </c:pt>
                <c:pt idx="20">
                  <c:v>43349</c:v>
                </c:pt>
                <c:pt idx="21" formatCode="m/d/yyyy">
                  <c:v>43619</c:v>
                </c:pt>
                <c:pt idx="22" formatCode="m/d/yyyy">
                  <c:v>43598</c:v>
                </c:pt>
                <c:pt idx="23" formatCode="m/d/yyyy">
                  <c:v>43349</c:v>
                </c:pt>
                <c:pt idx="24" formatCode="m/d/yyyy">
                  <c:v>43537</c:v>
                </c:pt>
                <c:pt idx="25">
                  <c:v>43349</c:v>
                </c:pt>
                <c:pt idx="26" formatCode="m/d/yyyy">
                  <c:v>43349</c:v>
                </c:pt>
                <c:pt idx="27">
                  <c:v>43349</c:v>
                </c:pt>
                <c:pt idx="28" formatCode="m/d/yyyy">
                  <c:v>43598</c:v>
                </c:pt>
                <c:pt idx="29" formatCode="m/d/yyyy">
                  <c:v>43406</c:v>
                </c:pt>
                <c:pt idx="30" formatCode="m/d/yyyy">
                  <c:v>43647</c:v>
                </c:pt>
                <c:pt idx="31">
                  <c:v>43349</c:v>
                </c:pt>
                <c:pt idx="32" formatCode="m/d/yyyy">
                  <c:v>43424</c:v>
                </c:pt>
                <c:pt idx="33">
                  <c:v>43349</c:v>
                </c:pt>
                <c:pt idx="34" formatCode="m/d/yyyy">
                  <c:v>43598</c:v>
                </c:pt>
                <c:pt idx="35">
                  <c:v>43349</c:v>
                </c:pt>
                <c:pt idx="36" formatCode="m/d/yyyy">
                  <c:v>43479</c:v>
                </c:pt>
                <c:pt idx="37" formatCode="m/d/yyyy">
                  <c:v>43507</c:v>
                </c:pt>
                <c:pt idx="38">
                  <c:v>43349</c:v>
                </c:pt>
                <c:pt idx="39">
                  <c:v>43349</c:v>
                </c:pt>
                <c:pt idx="40" formatCode="m/d/yyyy">
                  <c:v>43434</c:v>
                </c:pt>
                <c:pt idx="41" formatCode="m/d/yyyy">
                  <c:v>43479</c:v>
                </c:pt>
                <c:pt idx="42" formatCode="m/d/yyyy">
                  <c:v>43647</c:v>
                </c:pt>
                <c:pt idx="43" formatCode="m/d/yyyy">
                  <c:v>43521</c:v>
                </c:pt>
                <c:pt idx="44" formatCode="m/d/yyyy">
                  <c:v>43507</c:v>
                </c:pt>
                <c:pt idx="45">
                  <c:v>43349</c:v>
                </c:pt>
                <c:pt idx="46">
                  <c:v>43349</c:v>
                </c:pt>
                <c:pt idx="47">
                  <c:v>43349</c:v>
                </c:pt>
              </c:numCache>
            </c:numRef>
          </c:val>
          <c:extLst>
            <c:ext xmlns:c16="http://schemas.microsoft.com/office/drawing/2014/chart" uri="{C3380CC4-5D6E-409C-BE32-E72D297353CC}">
              <c16:uniqueId val="{00000000-6F29-43B2-A9C9-A4D4EFDC4295}"/>
            </c:ext>
          </c:extLst>
        </c:ser>
        <c:ser>
          <c:idx val="1"/>
          <c:order val="1"/>
          <c:tx>
            <c:v>Days of Enrollment</c:v>
          </c:tx>
          <c:invertIfNegative val="0"/>
          <c:val>
            <c:numRef>
              <c:f>'FY19'!$F$2:$F$49</c:f>
              <c:numCache>
                <c:formatCode>General</c:formatCode>
                <c:ptCount val="48"/>
                <c:pt idx="0">
                  <c:v>58</c:v>
                </c:pt>
                <c:pt idx="1">
                  <c:v>50</c:v>
                </c:pt>
                <c:pt idx="2">
                  <c:v>127</c:v>
                </c:pt>
                <c:pt idx="3">
                  <c:v>106</c:v>
                </c:pt>
                <c:pt idx="4">
                  <c:v>171</c:v>
                </c:pt>
                <c:pt idx="5">
                  <c:v>55</c:v>
                </c:pt>
                <c:pt idx="6">
                  <c:v>53</c:v>
                </c:pt>
                <c:pt idx="7">
                  <c:v>76</c:v>
                </c:pt>
                <c:pt idx="8">
                  <c:v>4</c:v>
                </c:pt>
                <c:pt idx="9">
                  <c:v>29</c:v>
                </c:pt>
                <c:pt idx="10">
                  <c:v>9</c:v>
                </c:pt>
                <c:pt idx="11">
                  <c:v>50</c:v>
                </c:pt>
                <c:pt idx="12">
                  <c:v>2</c:v>
                </c:pt>
                <c:pt idx="13">
                  <c:v>17</c:v>
                </c:pt>
                <c:pt idx="14">
                  <c:v>88</c:v>
                </c:pt>
                <c:pt idx="16">
                  <c:v>8</c:v>
                </c:pt>
                <c:pt idx="17">
                  <c:v>95</c:v>
                </c:pt>
                <c:pt idx="18">
                  <c:v>235</c:v>
                </c:pt>
                <c:pt idx="19">
                  <c:v>358</c:v>
                </c:pt>
                <c:pt idx="20">
                  <c:v>15</c:v>
                </c:pt>
                <c:pt idx="21">
                  <c:v>18</c:v>
                </c:pt>
                <c:pt idx="22">
                  <c:v>109</c:v>
                </c:pt>
                <c:pt idx="23">
                  <c:v>288</c:v>
                </c:pt>
                <c:pt idx="24">
                  <c:v>100</c:v>
                </c:pt>
                <c:pt idx="25">
                  <c:v>106</c:v>
                </c:pt>
                <c:pt idx="26">
                  <c:v>106</c:v>
                </c:pt>
                <c:pt idx="27">
                  <c:v>358</c:v>
                </c:pt>
                <c:pt idx="28">
                  <c:v>109</c:v>
                </c:pt>
                <c:pt idx="29">
                  <c:v>84</c:v>
                </c:pt>
                <c:pt idx="30">
                  <c:v>67</c:v>
                </c:pt>
                <c:pt idx="31">
                  <c:v>288</c:v>
                </c:pt>
                <c:pt idx="32">
                  <c:v>87</c:v>
                </c:pt>
                <c:pt idx="33">
                  <c:v>154</c:v>
                </c:pt>
                <c:pt idx="34">
                  <c:v>116</c:v>
                </c:pt>
                <c:pt idx="35">
                  <c:v>50</c:v>
                </c:pt>
                <c:pt idx="36">
                  <c:v>53</c:v>
                </c:pt>
                <c:pt idx="37">
                  <c:v>60</c:v>
                </c:pt>
                <c:pt idx="38">
                  <c:v>358</c:v>
                </c:pt>
                <c:pt idx="39">
                  <c:v>358</c:v>
                </c:pt>
                <c:pt idx="40">
                  <c:v>273</c:v>
                </c:pt>
                <c:pt idx="41">
                  <c:v>228</c:v>
                </c:pt>
                <c:pt idx="42">
                  <c:v>60</c:v>
                </c:pt>
                <c:pt idx="43">
                  <c:v>116</c:v>
                </c:pt>
                <c:pt idx="44">
                  <c:v>200</c:v>
                </c:pt>
                <c:pt idx="45">
                  <c:v>106</c:v>
                </c:pt>
                <c:pt idx="46">
                  <c:v>288</c:v>
                </c:pt>
                <c:pt idx="47">
                  <c:v>358</c:v>
                </c:pt>
              </c:numCache>
            </c:numRef>
          </c:val>
          <c:extLst>
            <c:ext xmlns:c16="http://schemas.microsoft.com/office/drawing/2014/chart" uri="{C3380CC4-5D6E-409C-BE32-E72D297353CC}">
              <c16:uniqueId val="{00000001-6F29-43B2-A9C9-A4D4EFDC4295}"/>
            </c:ext>
          </c:extLst>
        </c:ser>
        <c:dLbls>
          <c:showLegendKey val="0"/>
          <c:showVal val="0"/>
          <c:showCatName val="0"/>
          <c:showSerName val="0"/>
          <c:showPercent val="0"/>
          <c:showBubbleSize val="0"/>
        </c:dLbls>
        <c:gapWidth val="150"/>
        <c:overlap val="100"/>
        <c:axId val="41807872"/>
        <c:axId val="133630208"/>
      </c:barChart>
      <c:catAx>
        <c:axId val="41807872"/>
        <c:scaling>
          <c:orientation val="minMax"/>
        </c:scaling>
        <c:delete val="1"/>
        <c:axPos val="l"/>
        <c:title>
          <c:tx>
            <c:rich>
              <a:bodyPr rot="0" vert="wordArtVert"/>
              <a:lstStyle/>
              <a:p>
                <a:pPr algn="ctr">
                  <a:defRPr sz="1000" b="1" i="0" u="none" strike="noStrike" baseline="0">
                    <a:solidFill>
                      <a:srgbClr val="000000"/>
                    </a:solidFill>
                    <a:latin typeface="Arial Narrow" panose="020B0606020202030204" pitchFamily="34" charset="0"/>
                    <a:ea typeface="Calibri"/>
                    <a:cs typeface="Calibri"/>
                  </a:defRPr>
                </a:pPr>
                <a:r>
                  <a:rPr lang="en-US" sz="1000">
                    <a:latin typeface="Arial Narrow" panose="020B0606020202030204" pitchFamily="34" charset="0"/>
                  </a:rPr>
                  <a:t>Individual Students</a:t>
                </a:r>
              </a:p>
            </c:rich>
          </c:tx>
          <c:overlay val="0"/>
        </c:title>
        <c:numFmt formatCode="General" sourceLinked="1"/>
        <c:majorTickMark val="out"/>
        <c:minorTickMark val="none"/>
        <c:tickLblPos val="nextTo"/>
        <c:crossAx val="133630208"/>
        <c:crosses val="autoZero"/>
        <c:auto val="1"/>
        <c:lblAlgn val="ctr"/>
        <c:lblOffset val="100"/>
        <c:noMultiLvlLbl val="0"/>
      </c:catAx>
      <c:valAx>
        <c:axId val="133630208"/>
        <c:scaling>
          <c:orientation val="minMax"/>
          <c:max val="43707"/>
          <c:min val="43349"/>
        </c:scaling>
        <c:delete val="0"/>
        <c:axPos val="b"/>
        <c:majorGridlines/>
        <c:numFmt formatCode="mm/dd/yy"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en-US"/>
          </a:p>
        </c:txPr>
        <c:crossAx val="41807872"/>
        <c:crosses val="autoZero"/>
        <c:crossBetween val="between"/>
      </c:valAx>
    </c:plotArea>
    <c:legend>
      <c:legendPos val="b"/>
      <c:legendEntry>
        <c:idx val="0"/>
        <c:delete val="1"/>
      </c:legendEntry>
      <c:layout>
        <c:manualLayout>
          <c:xMode val="edge"/>
          <c:yMode val="edge"/>
          <c:x val="0.39477881489979316"/>
          <c:y val="0.90757528036268198"/>
          <c:w val="0.2965349116128696"/>
          <c:h val="6.8182295394893816E-2"/>
        </c:manualLayout>
      </c:layout>
      <c:overlay val="0"/>
      <c:txPr>
        <a:bodyPr/>
        <a:lstStyle/>
        <a:p>
          <a:pPr>
            <a:defRPr sz="900" b="0" i="0" u="none" strike="noStrike" baseline="0">
              <a:solidFill>
                <a:srgbClr val="000000"/>
              </a:solidFill>
              <a:latin typeface="Calibri"/>
              <a:ea typeface="Calibri"/>
              <a:cs typeface="Calibri"/>
            </a:defRPr>
          </a:pPr>
          <a:endParaRPr lang="en-US"/>
        </a:p>
      </c:txPr>
    </c:legend>
    <c:plotVisOnly val="1"/>
    <c:dispBlanksAs val="gap"/>
    <c:showDLblsOverMax val="0"/>
  </c:chart>
  <c:spPr>
    <a:ln>
      <a:solidFill>
        <a:sysClr val="windowText" lastClr="000000"/>
      </a:solidFill>
    </a:ln>
  </c:spPr>
  <c:txPr>
    <a:bodyPr/>
    <a:lstStyle/>
    <a:p>
      <a:pPr>
        <a:defRPr sz="1000" b="0" i="0" u="none" strike="noStrike" baseline="0">
          <a:solidFill>
            <a:srgbClr val="000000"/>
          </a:solidFill>
          <a:latin typeface="Calibri"/>
          <a:ea typeface="Calibri"/>
          <a:cs typeface="Calibri"/>
        </a:defRPr>
      </a:pPr>
      <a:endParaRPr lang="en-US"/>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116AD0B87B144592FAC5CFBFB7993A" ma:contentTypeVersion="2" ma:contentTypeDescription="Create a new document." ma:contentTypeScope="" ma:versionID="7e167f0f38b08e366180af7b1af688c4">
  <xsd:schema xmlns:xsd="http://www.w3.org/2001/XMLSchema" xmlns:xs="http://www.w3.org/2001/XMLSchema" xmlns:p="http://schemas.microsoft.com/office/2006/metadata/properties" xmlns:ns2="ec710b58-47a0-4465-ab00-b9120c73393c" targetNamespace="http://schemas.microsoft.com/office/2006/metadata/properties" ma:root="true" ma:fieldsID="6030a48873103e4c8e4e25590eabb283" ns2:_="">
    <xsd:import namespace="ec710b58-47a0-4465-ab00-b9120c7339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10b58-47a0-4465-ab00-b9120c733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49CDA-4FE6-4EFD-8199-647BBF2DE2F5}">
  <ds:schemaRefs>
    <ds:schemaRef ds:uri="http://schemas.openxmlformats.org/officeDocument/2006/bibliography"/>
  </ds:schemaRefs>
</ds:datastoreItem>
</file>

<file path=customXml/itemProps2.xml><?xml version="1.0" encoding="utf-8"?>
<ds:datastoreItem xmlns:ds="http://schemas.openxmlformats.org/officeDocument/2006/customXml" ds:itemID="{0519B649-4E2D-4FF8-970F-42A3F828B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10b58-47a0-4465-ab00-b9120c733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58556-B976-4E67-AE26-0710575E71D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c710b58-47a0-4465-ab00-b9120c73393c"/>
    <ds:schemaRef ds:uri="http://www.w3.org/XML/1998/namespace"/>
    <ds:schemaRef ds:uri="http://purl.org/dc/dcmitype/"/>
  </ds:schemaRefs>
</ds:datastoreItem>
</file>

<file path=customXml/itemProps4.xml><?xml version="1.0" encoding="utf-8"?>
<ds:datastoreItem xmlns:ds="http://schemas.openxmlformats.org/officeDocument/2006/customXml" ds:itemID="{35CB3329-1B43-43E9-9AD2-F3AFF164B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1870</Words>
  <Characters>10250</Characters>
  <Application>Microsoft Office Word</Application>
  <DocSecurity>0</DocSecurity>
  <Lines>277</Lines>
  <Paragraphs>96</Paragraphs>
  <ScaleCrop>false</ScaleCrop>
  <HeadingPairs>
    <vt:vector size="2" baseType="variant">
      <vt:variant>
        <vt:lpstr>Title</vt:lpstr>
      </vt:variant>
      <vt:variant>
        <vt:i4>1</vt:i4>
      </vt:variant>
    </vt:vector>
  </HeadingPairs>
  <TitlesOfParts>
    <vt:vector size="1" baseType="lpstr">
      <vt:lpstr>Legislative REPORT - Recovery HIgh Schools Average Cost per Pupil</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REPORT - Recovery HIgh Schools Average Cost per Pupil</dc:title>
  <dc:subject/>
  <dc:creator>DESE</dc:creator>
  <cp:keywords/>
  <cp:lastModifiedBy>Zou, Dong (EOE)</cp:lastModifiedBy>
  <cp:revision>4</cp:revision>
  <cp:lastPrinted>2020-02-27T16:41:00Z</cp:lastPrinted>
  <dcterms:created xsi:type="dcterms:W3CDTF">2023-01-06T21:36:00Z</dcterms:created>
  <dcterms:modified xsi:type="dcterms:W3CDTF">2023-01-06T21:52:00Z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6 2023 12:00AM</vt:lpwstr>
  </property>
</Properties>
</file>